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版本号：GGZC-2026-053（ZR20GN2026-CS-066)20260810001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GW2-1-6地块项目围墙圈建工程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GGZC-2026-053（ZR20GN2026-CS-066)</w:t>
      </w:r>
      <w:r>
        <w:br/>
      </w:r>
      <w:r>
        <w:br/>
      </w:r>
      <w:r>
        <w:br/>
      </w:r>
    </w:p>
    <w:p>
      <w:pPr>
        <w:pStyle w:val="null3"/>
        <w:jc w:val="center"/>
        <w:outlineLvl w:val="2"/>
      </w:pPr>
      <w:r>
        <w:rPr>
          <w:rFonts w:ascii="仿宋_GB2312" w:hAnsi="仿宋_GB2312" w:cs="仿宋_GB2312" w:eastAsia="仿宋_GB2312"/>
          <w:sz w:val="28"/>
          <w:b/>
        </w:rPr>
        <w:t>西安市灞桥区人民政府新合街道办事处</w:t>
      </w:r>
    </w:p>
    <w:p>
      <w:pPr>
        <w:pStyle w:val="null3"/>
        <w:jc w:val="center"/>
        <w:outlineLvl w:val="2"/>
      </w:pPr>
      <w:r>
        <w:rPr>
          <w:rFonts w:ascii="仿宋_GB2312" w:hAnsi="仿宋_GB2312" w:cs="仿宋_GB2312" w:eastAsia="仿宋_GB2312"/>
          <w:sz w:val="28"/>
          <w:b/>
        </w:rPr>
        <w:t>陕西中润国际招标有限公司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陕西中润国际招标有限公司</w:t>
      </w:r>
      <w:r>
        <w:rPr>
          <w:rFonts w:ascii="仿宋_GB2312" w:hAnsi="仿宋_GB2312" w:cs="仿宋_GB2312" w:eastAsia="仿宋_GB2312"/>
        </w:rPr>
        <w:t>（以下简称“代理机构”）受</w:t>
      </w:r>
      <w:r>
        <w:rPr>
          <w:rFonts w:ascii="仿宋_GB2312" w:hAnsi="仿宋_GB2312" w:cs="仿宋_GB2312" w:eastAsia="仿宋_GB2312"/>
        </w:rPr>
        <w:t>西安市灞桥区人民政府新合街道办事处</w:t>
      </w:r>
      <w:r>
        <w:rPr>
          <w:rFonts w:ascii="仿宋_GB2312" w:hAnsi="仿宋_GB2312" w:cs="仿宋_GB2312" w:eastAsia="仿宋_GB2312"/>
        </w:rPr>
        <w:t>委托，拟对</w:t>
      </w:r>
      <w:r>
        <w:rPr>
          <w:rFonts w:ascii="仿宋_GB2312" w:hAnsi="仿宋_GB2312" w:cs="仿宋_GB2312" w:eastAsia="仿宋_GB2312"/>
        </w:rPr>
        <w:t>GW2-1-6地块项目围墙圈建工程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GGZC-2026-053（ZR20GN2026-CS-066)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GW2-1-6地块项目围墙圈建工程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GW2-1-6地块项目围墙圈建工程，具体内容详见第三章。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采购包1（GW2-1-6地块项目围墙圈建工程）：属于专门面向中小企业采购。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2、供应商基本资格条件承诺函：供应商需在项目电子化交易系统中按要求填写《基本资格条件承诺函》完成承诺并进行电子签章。</w:t>
      </w:r>
    </w:p>
    <w:p>
      <w:pPr>
        <w:pStyle w:val="null3"/>
      </w:pPr>
      <w:r>
        <w:rPr>
          <w:rFonts w:ascii="仿宋_GB2312" w:hAnsi="仿宋_GB2312" w:cs="仿宋_GB2312" w:eastAsia="仿宋_GB2312"/>
        </w:rPr>
        <w:t>3、身份证明文件：法定代表人或单位负责人参加磋商的，应提供法定代表人或单位负责人身份证明。授权代表参加磋商的，应提供法定代表人或单位负责人身份证明、授权委托书及授权代表在本单位的社保缴纳证明；供应商需在项目电子化交易系统中按要求上传相应证明文件并进行电子签章。</w:t>
      </w:r>
    </w:p>
    <w:p>
      <w:pPr>
        <w:pStyle w:val="null3"/>
      </w:pPr>
      <w:r>
        <w:rPr>
          <w:rFonts w:ascii="仿宋_GB2312" w:hAnsi="仿宋_GB2312" w:cs="仿宋_GB2312" w:eastAsia="仿宋_GB2312"/>
        </w:rPr>
        <w:t>4、资质要求：供应商须具备有效的建设行政主管部门颁发的建筑工程施工总承包三级（含）及以上资质，且具有有效的安全生产许可证；</w:t>
      </w:r>
    </w:p>
    <w:p>
      <w:pPr>
        <w:pStyle w:val="null3"/>
      </w:pPr>
      <w:r>
        <w:rPr>
          <w:rFonts w:ascii="仿宋_GB2312" w:hAnsi="仿宋_GB2312" w:cs="仿宋_GB2312" w:eastAsia="仿宋_GB2312"/>
        </w:rPr>
        <w:t>5、项目经理：项目经理须具备有效的建筑工程专业二级及以上建造师资格,具有有效的安全生产考核合格证书（建安 B 证），且未担任其他在建工程项目的项目经理声明；</w:t>
      </w:r>
    </w:p>
    <w:p>
      <w:pPr>
        <w:pStyle w:val="null3"/>
      </w:pPr>
      <w:r>
        <w:rPr>
          <w:rFonts w:ascii="仿宋_GB2312" w:hAnsi="仿宋_GB2312" w:cs="仿宋_GB2312" w:eastAsia="仿宋_GB2312"/>
        </w:rPr>
        <w:t>6、联合体：本项目不接受联合体。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西安市灞桥区人民政府新合街道办事处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西安市灞桥区新合街道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邓老师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029-83417996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陕西中润国际招标有限公司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西安市高新区唐延路1号旺座国际城A座12楼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张经理 王经理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029-88825655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采购包1：429,000.00元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 2、服务费由采购人与采购代理机构约定：固定金额4000.00元。 3、成交单位的代理服务费交纳信息 银行户名：陕西中润国际招标有限公司 开户银行：中信银行西安曲江池北路支行 账 号：7251310182600086350 代理机构财务联系电话：029-87321229</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西安市灞桥区人民政府新合街道办事处</w:t>
      </w:r>
      <w:r>
        <w:rPr>
          <w:rFonts w:ascii="仿宋_GB2312" w:hAnsi="仿宋_GB2312" w:cs="仿宋_GB2312" w:eastAsia="仿宋_GB2312"/>
        </w:rPr>
        <w:t>和</w:t>
      </w:r>
      <w:r>
        <w:rPr>
          <w:rFonts w:ascii="仿宋_GB2312" w:hAnsi="仿宋_GB2312" w:cs="仿宋_GB2312" w:eastAsia="仿宋_GB2312"/>
        </w:rPr>
        <w:t>陕西中润国际招标有限公司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西安市灞桥区人民政府新合街道办事处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陕西中润国际招标有限公司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西安市灞桥区人民政府新合街道办事处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陕西中润国际招标有限公司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符合采购文件和国家及行业规定的建筑工程质量检验评定“合格”标准。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联系人：张经理 王经理</w:t>
      </w:r>
    </w:p>
    <w:p>
      <w:pPr>
        <w:pStyle w:val="null3"/>
      </w:pPr>
      <w:r>
        <w:rPr>
          <w:rFonts w:ascii="仿宋_GB2312" w:hAnsi="仿宋_GB2312" w:cs="仿宋_GB2312" w:eastAsia="仿宋_GB2312"/>
        </w:rPr>
        <w:t>联系电话：029-88825655</w:t>
      </w:r>
    </w:p>
    <w:p>
      <w:pPr>
        <w:pStyle w:val="null3"/>
      </w:pPr>
      <w:r>
        <w:rPr>
          <w:rFonts w:ascii="仿宋_GB2312" w:hAnsi="仿宋_GB2312" w:cs="仿宋_GB2312" w:eastAsia="仿宋_GB2312"/>
        </w:rPr>
        <w:t>地址：西安市高新区唐延路1号旺座国际城A座12楼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429,000.00</w:t>
      </w:r>
    </w:p>
    <w:p>
      <w:pPr>
        <w:pStyle w:val="null3"/>
      </w:pPr>
      <w:r>
        <w:rPr>
          <w:rFonts w:ascii="仿宋_GB2312" w:hAnsi="仿宋_GB2312" w:cs="仿宋_GB2312" w:eastAsia="仿宋_GB2312"/>
        </w:rPr>
        <w:t>采购包最高限价（元）: 429,000.00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GW2-1-6地块项目围墙圈建工程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429,000.00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标的名称：GW2-1-6地块项目围墙圈建工程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ind w:firstLine="400"/>
            </w:pPr>
            <w:r>
              <w:rPr>
                <w:rFonts w:ascii="仿宋_GB2312" w:hAnsi="仿宋_GB2312" w:cs="仿宋_GB2312" w:eastAsia="仿宋_GB2312"/>
              </w:rPr>
              <w:t>地块GW2-1-6，位于欧亚大道东侧，林溪路北侧，新合街道滋合周社区范围，占地40.165亩，为保障项目供地后建设顺利实施，本项目涉及24围墙修建660米，具体以实际测量结果为准。</w:t>
            </w:r>
          </w:p>
          <w:p>
            <w:pPr>
              <w:pStyle w:val="null3"/>
            </w:pPr>
            <w:r>
              <w:rPr>
                <w:rFonts w:ascii="仿宋_GB2312" w:hAnsi="仿宋_GB2312" w:cs="仿宋_GB2312" w:eastAsia="仿宋_GB2312"/>
              </w:rPr>
              <w:t>二、工程内容、施工地点、计划工期及质量标准</w:t>
            </w:r>
          </w:p>
          <w:p>
            <w:pPr>
              <w:pStyle w:val="null3"/>
            </w:pPr>
            <w:r>
              <w:rPr>
                <w:rFonts w:ascii="仿宋_GB2312" w:hAnsi="仿宋_GB2312" w:cs="仿宋_GB2312" w:eastAsia="仿宋_GB2312"/>
              </w:rPr>
              <w:t>1.工程内容：24围墙圈建工程</w:t>
            </w:r>
          </w:p>
          <w:p>
            <w:pPr>
              <w:pStyle w:val="null3"/>
            </w:pPr>
            <w:r>
              <w:rPr>
                <w:rFonts w:ascii="仿宋_GB2312" w:hAnsi="仿宋_GB2312" w:cs="仿宋_GB2312" w:eastAsia="仿宋_GB2312"/>
              </w:rPr>
              <w:t>2.施工地点：采购人指定地点</w:t>
            </w:r>
          </w:p>
          <w:p>
            <w:pPr>
              <w:pStyle w:val="null3"/>
            </w:pPr>
            <w:r>
              <w:rPr>
                <w:rFonts w:ascii="仿宋_GB2312" w:hAnsi="仿宋_GB2312" w:cs="仿宋_GB2312" w:eastAsia="仿宋_GB2312"/>
              </w:rPr>
              <w:t>3.计划工期：自合同签订之日起15日</w:t>
            </w:r>
          </w:p>
          <w:p>
            <w:pPr>
              <w:pStyle w:val="null3"/>
            </w:pPr>
            <w:r>
              <w:rPr>
                <w:rFonts w:ascii="仿宋_GB2312" w:hAnsi="仿宋_GB2312" w:cs="仿宋_GB2312" w:eastAsia="仿宋_GB2312"/>
              </w:rPr>
              <w:t>4.质量标准：符合国家现行有关施工质量验收规范“合格”要求。</w:t>
            </w:r>
          </w:p>
          <w:p>
            <w:pPr>
              <w:pStyle w:val="null3"/>
            </w:pPr>
            <w:r>
              <w:rPr>
                <w:rFonts w:ascii="仿宋_GB2312" w:hAnsi="仿宋_GB2312" w:cs="仿宋_GB2312" w:eastAsia="仿宋_GB2312"/>
              </w:rPr>
              <w:t>三、工程量清单</w:t>
            </w:r>
          </w:p>
          <w:tbl>
            <w:tblPr>
              <w:tblInd w:type="dxa" w:w="120"/>
              <w:tblBorders>
                <w:top w:val="none" w:color="000000" w:sz="4"/>
                <w:left w:val="none" w:color="000000" w:sz="4"/>
                <w:bottom w:val="none" w:color="000000" w:sz="4"/>
                <w:right w:val="none" w:color="000000" w:sz="4"/>
                <w:insideH w:val="none"/>
                <w:insideV w:val="none"/>
              </w:tblBorders>
            </w:tblPr>
            <w:tblGrid>
              <w:gridCol w:w="255"/>
              <w:gridCol w:w="491"/>
              <w:gridCol w:w="273"/>
              <w:gridCol w:w="448"/>
              <w:gridCol w:w="1071"/>
            </w:tblGrid>
            <w:tr>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4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工程内容</w:t>
                  </w:r>
                </w:p>
              </w:tc>
              <w:tc>
                <w:tcPr>
                  <w:tcW w:type="dxa" w:w="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c>
                <w:tcPr>
                  <w:tcW w:type="dxa" w:w="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暂估量</w:t>
                  </w:r>
                </w:p>
              </w:tc>
              <w:tc>
                <w:tcPr>
                  <w:tcW w:type="dxa" w:w="10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最高含税完全综合单价限价</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24围墙</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660米</w:t>
                  </w:r>
                </w:p>
              </w:tc>
              <w:tc>
                <w:tcPr>
                  <w:tcW w:type="dxa" w:w="10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650元/米</w:t>
                  </w:r>
                </w:p>
              </w:tc>
            </w:tr>
          </w:tbl>
          <w:p>
            <w:pPr>
              <w:pStyle w:val="null3"/>
            </w:pPr>
            <w:r>
              <w:rPr>
                <w:rFonts w:ascii="仿宋_GB2312" w:hAnsi="仿宋_GB2312" w:cs="仿宋_GB2312" w:eastAsia="仿宋_GB2312"/>
              </w:rPr>
              <w:t>注：本工程量为暂定数量，最终以实际工程量据实结算。</w:t>
            </w:r>
          </w:p>
          <w:p>
            <w:pPr>
              <w:pStyle w:val="null3"/>
            </w:pPr>
            <w:r>
              <w:rPr>
                <w:rFonts w:ascii="仿宋_GB2312" w:hAnsi="仿宋_GB2312" w:cs="仿宋_GB2312" w:eastAsia="仿宋_GB2312"/>
              </w:rPr>
              <w:t>四、施工要求</w:t>
            </w:r>
          </w:p>
          <w:p>
            <w:pPr>
              <w:pStyle w:val="null3"/>
            </w:pPr>
            <w:r>
              <w:rPr>
                <w:rFonts w:ascii="仿宋_GB2312" w:hAnsi="仿宋_GB2312" w:cs="仿宋_GB2312" w:eastAsia="仿宋_GB2312"/>
              </w:rPr>
              <w:t>1.供应商必须配备足够的人员和充足的机械设备进入实施，确保按时保质保量完成任务。</w:t>
            </w:r>
          </w:p>
          <w:p>
            <w:pPr>
              <w:pStyle w:val="null3"/>
            </w:pPr>
            <w:r>
              <w:rPr>
                <w:rFonts w:ascii="仿宋_GB2312" w:hAnsi="仿宋_GB2312" w:cs="仿宋_GB2312" w:eastAsia="仿宋_GB2312"/>
              </w:rPr>
              <w:t>2.必须严密组织，文明施工，作好四周维护及安全环保措施，所需费用由供应商承担，施工过程必须严格遵守政府相关规定。</w:t>
            </w:r>
          </w:p>
          <w:p>
            <w:pPr>
              <w:pStyle w:val="null3"/>
            </w:pPr>
            <w:r>
              <w:rPr>
                <w:rFonts w:ascii="仿宋_GB2312" w:hAnsi="仿宋_GB2312" w:cs="仿宋_GB2312" w:eastAsia="仿宋_GB2312"/>
              </w:rPr>
              <w:t>3.严格遵守西安市关于控制扬尘污染、治污减霾的相关规定，并承担一切安全事故或违规处罚所带来的经济及法律责任。</w:t>
            </w:r>
          </w:p>
          <w:p>
            <w:pPr>
              <w:pStyle w:val="null3"/>
            </w:pPr>
            <w:r>
              <w:rPr>
                <w:rFonts w:ascii="仿宋_GB2312" w:hAnsi="仿宋_GB2312" w:cs="仿宋_GB2312" w:eastAsia="仿宋_GB2312"/>
              </w:rPr>
              <w:t>4.在施工前，供应商应制定施工方案，提出具体的防尘抑尘降尘降噪等环保措施，配备足够的防尘抑尘降尘软硬件设施，明确具体的环保要求和环保责任人、制定湿法降尘专项实施方案，并按有关标准及专项实施方案实施湿法作业，有效降尘作业，造成扬尘污染的，必须服从相关监督或管理部门发出的责令整改并接受其按有关规定进行的处理。</w:t>
            </w:r>
          </w:p>
          <w:p>
            <w:pPr>
              <w:pStyle w:val="null3"/>
            </w:pPr>
            <w:r>
              <w:rPr>
                <w:rFonts w:ascii="仿宋_GB2312" w:hAnsi="仿宋_GB2312" w:cs="仿宋_GB2312" w:eastAsia="仿宋_GB2312"/>
              </w:rPr>
              <w:t>5.供应商负责现场安全管理工作，并承担全部责任及由此产生的全部费用，现场人员由供应商按照相关规定办理相关保险事宜。</w:t>
            </w:r>
          </w:p>
          <w:p>
            <w:pPr>
              <w:pStyle w:val="null3"/>
            </w:pPr>
            <w:r>
              <w:rPr>
                <w:rFonts w:ascii="仿宋_GB2312" w:hAnsi="仿宋_GB2312" w:cs="仿宋_GB2312" w:eastAsia="仿宋_GB2312"/>
              </w:rPr>
              <w:t>五、其他要求</w:t>
            </w:r>
          </w:p>
          <w:p>
            <w:pPr>
              <w:pStyle w:val="null3"/>
            </w:pPr>
            <w:r>
              <w:rPr>
                <w:rFonts w:ascii="仿宋_GB2312" w:hAnsi="仿宋_GB2312" w:cs="仿宋_GB2312" w:eastAsia="仿宋_GB2312"/>
              </w:rPr>
              <w:t>1.安全要求</w:t>
            </w:r>
          </w:p>
          <w:p>
            <w:pPr>
              <w:pStyle w:val="null3"/>
            </w:pPr>
            <w:r>
              <w:rPr>
                <w:rFonts w:ascii="仿宋_GB2312" w:hAnsi="仿宋_GB2312" w:cs="仿宋_GB2312" w:eastAsia="仿宋_GB2312"/>
              </w:rPr>
              <w:t>（1）供应商应制定可靠的施工方案和安全事故应急救援方案，采取有效安全防护措施，确保无安全事故发生。</w:t>
            </w:r>
          </w:p>
          <w:p>
            <w:pPr>
              <w:pStyle w:val="null3"/>
            </w:pPr>
            <w:r>
              <w:rPr>
                <w:rFonts w:ascii="仿宋_GB2312" w:hAnsi="仿宋_GB2312" w:cs="仿宋_GB2312" w:eastAsia="仿宋_GB2312"/>
              </w:rPr>
              <w:t>2.技术规范及要求</w:t>
            </w:r>
          </w:p>
          <w:p>
            <w:pPr>
              <w:pStyle w:val="null3"/>
            </w:pPr>
            <w:r>
              <w:rPr>
                <w:rFonts w:ascii="仿宋_GB2312" w:hAnsi="仿宋_GB2312" w:cs="仿宋_GB2312" w:eastAsia="仿宋_GB2312"/>
              </w:rPr>
              <w:t>执行的法律法规、技术规范包括但不限于以下规定、规范、标准：</w:t>
            </w:r>
          </w:p>
          <w:p>
            <w:pPr>
              <w:pStyle w:val="null3"/>
            </w:pPr>
            <w:r>
              <w:rPr>
                <w:rFonts w:ascii="仿宋_GB2312" w:hAnsi="仿宋_GB2312" w:cs="仿宋_GB2312" w:eastAsia="仿宋_GB2312"/>
              </w:rPr>
              <w:t>《中华人民共和国安全生产法》；</w:t>
            </w:r>
          </w:p>
          <w:p>
            <w:pPr>
              <w:pStyle w:val="null3"/>
            </w:pPr>
            <w:r>
              <w:rPr>
                <w:rFonts w:ascii="仿宋_GB2312" w:hAnsi="仿宋_GB2312" w:cs="仿宋_GB2312" w:eastAsia="仿宋_GB2312"/>
              </w:rPr>
              <w:t>《建设工程安全生产管理条例》；</w:t>
            </w:r>
          </w:p>
          <w:p>
            <w:pPr>
              <w:pStyle w:val="null3"/>
            </w:pPr>
            <w:r>
              <w:rPr>
                <w:rFonts w:ascii="仿宋_GB2312" w:hAnsi="仿宋_GB2312" w:cs="仿宋_GB2312" w:eastAsia="仿宋_GB2312"/>
              </w:rPr>
              <w:t>《西安市扬尘污染防治条例》；</w:t>
            </w:r>
          </w:p>
          <w:p>
            <w:pPr>
              <w:pStyle w:val="null3"/>
            </w:pPr>
            <w:r>
              <w:rPr>
                <w:rFonts w:ascii="仿宋_GB2312" w:hAnsi="仿宋_GB2312" w:cs="仿宋_GB2312" w:eastAsia="仿宋_GB2312"/>
              </w:rPr>
              <w:t>《西安市建筑垃圾管理条例》；</w:t>
            </w:r>
          </w:p>
          <w:p>
            <w:pPr>
              <w:pStyle w:val="null3"/>
            </w:pPr>
            <w:r>
              <w:rPr>
                <w:rFonts w:ascii="仿宋_GB2312" w:hAnsi="仿宋_GB2312" w:cs="仿宋_GB2312" w:eastAsia="仿宋_GB2312"/>
              </w:rPr>
              <w:t>《施工现场临时用电安全技术规范》JGJ46－2005；</w:t>
            </w:r>
          </w:p>
          <w:p>
            <w:pPr>
              <w:pStyle w:val="null3"/>
            </w:pPr>
            <w:r>
              <w:rPr>
                <w:rFonts w:ascii="仿宋_GB2312" w:hAnsi="仿宋_GB2312" w:cs="仿宋_GB2312" w:eastAsia="仿宋_GB2312"/>
              </w:rPr>
              <w:t>《建筑机械使用安全技术规程》(JGJ33-2012)；</w:t>
            </w:r>
          </w:p>
          <w:p>
            <w:pPr>
              <w:pStyle w:val="null3"/>
            </w:pPr>
            <w:r>
              <w:rPr>
                <w:rFonts w:ascii="仿宋_GB2312" w:hAnsi="仿宋_GB2312" w:cs="仿宋_GB2312" w:eastAsia="仿宋_GB2312"/>
              </w:rPr>
              <w:t>如有最新的法律法规、技术规范发布，按最新的文件执行。</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成交供应商在领取成交通知书前须无偿为采购人提供盖章齐全的纸质版投标文件三套，正本1套，副本2套，纸质版应与电子投标文件保持一致。正本应为彩色打印件，副本可采用正本的复印件。纸质版文件与电子投标文件不一致由此造成的一切责任及后果由供应商自行承担。纸质版投标文件递交地址：西安市高新区唐延路1号旺座国际城座A座12楼，张经理 王经理，029-88825655。 3.3.2本项目专门面向中小企业，供应商应为中型、小型、微型企业或监狱企业或残疾人福利性单位。项目所属行业：（根据《工业和信息化部、国家统计局、国家发展和改革委员会、财政部关于印发中小企业划型标准规定的通知》（工信部联企业〔2011〕300 号）规定的划分标准：（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3.3.3落实政府采购政策： ①《关于进一步加大政府采购支持中小企业力度的通知》（财库〔2022〕19号）、《政府采购促进中小企业发展管理办法》（财库〔2020〕46号）、《财政部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②《国务院办公厅关于建立政府强制采购节能产品制度的通知》（国办发〔2007〕51号）、《财政部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③《关于运用政府采购政策支持乡村产业振兴的通知》（财库〔2021〕19 号）、《关于印发&lt;关于深入开展政府采购脱贫地区农副产品工作推进乡村产业振兴的实施意见&gt;的通知》（财库〔2021〕20 号）。 ④《国家互联网信息办公室 工业和信息化部 公安部 财政部 国家认证认可监督管理委员会关于调整网络安全专用产品安全管理有关事项的公告》（2023年第1号）。 ⑤《陕西省财政厅关于加快推进我省中小企业政府采购信用融资工作的通知》（陕财办采〔2020〕15 号）、《陕西省财政厅关于印发&lt;陕西省中小企业政府采购信用融资办法&gt;的通知》（陕财办采〔2018〕23 号）。 ⑥《关于扩大政府采购支持绿色建材促进建筑品质提升政策实施范围的通知》（财库〔2022〕35号）、《财政部办公厅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 若享受以上政策优惠的企业，提供相应声明函或品目清单范围内产品的有效认证证书。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供应商应提供的资格证明文件.docx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本项目为专门面向中小企业的项目，供应商应为中小微企业、监狱企业或残疾人福利性单位。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供应商需在项目电子化交易系统中按要求填写《基本资格条件承诺函》完成承诺并进行电子签章。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磋商的，应提供法定代表人或单位负责人身份证明。授权代表参加磋商的，应提供法定代表人或单位负责人身份证明、授权委托书及授权代表在本单位的社保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供应商须具备有效的建设行政主管部门颁发的建筑工程施工总承包三级（含）及以上资质，且具有有效的安全生产许可证；</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项目经理须具备有效的建筑工程专业二级及以上建造师资格,具有有效的安全生产考核合格证书（建安 B 证），且未担任其他在建工程项目的项目经理声明；</w:t>
            </w:r>
          </w:p>
        </w:tc>
        <w:tc>
          <w:tcPr>
            <w:tcW w:type="dxa" w:w="1661"/>
          </w:tcPr>
          <w:p>
            <w:pPr>
              <w:pStyle w:val="null3"/>
            </w:pPr>
            <w:r>
              <w:rPr>
                <w:rFonts w:ascii="仿宋_GB2312" w:hAnsi="仿宋_GB2312" w:cs="仿宋_GB2312" w:eastAsia="仿宋_GB2312"/>
              </w:rPr>
              <w:t>项目管理机构组成表 供应商应提供的资格证明文件.docx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供应商应提供的资格证明文件.docx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 2.供应商提交的相关证明材料，应当加盖供应商（法定名称）电子印章，在磋商小组要求的时间内通过项目电子化交易系统进行提交，否则提交的相关证明材料无效。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政府采购供应商拒绝政府采购领域商业贿赂承诺书.docx 项目管理机构组成表 供应商应提供的资格证明文件.docx 中小企业声明函 残疾人福利性单位声明函 报价函 首次磋商报价表及分项报价表.docx 技术服务合同条款及其他商务要求应答表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供应商报价是固定价且未超过预算金额（磋商文件有最高限价（最高含税完全综合单价限价）的，报价未超过最高限价（最高含税完全综合单价限价））</w:t>
            </w:r>
          </w:p>
        </w:tc>
        <w:tc>
          <w:tcPr>
            <w:tcW w:type="dxa" w:w="1661"/>
          </w:tcPr>
          <w:p>
            <w:pPr>
              <w:pStyle w:val="null3"/>
            </w:pPr>
            <w:r>
              <w:rPr>
                <w:rFonts w:ascii="仿宋_GB2312" w:hAnsi="仿宋_GB2312" w:cs="仿宋_GB2312" w:eastAsia="仿宋_GB2312"/>
              </w:rPr>
              <w:t>首次磋商报价表及分项报价表.docx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针对项目具体情况制定详细的施工方案，方案内容包含：①围墙修建方案；②安全文明作业措施；③确保质量的技术组织措施；④进度计划及计划保证实施方案。 二、评审标准 1.完整性：方案须全面，对评审内容中的各项要求有详细描述； 2.可实施性：切合本项目实际情况，实施步骤清晰、合理； 3.针对性：方案能够紧扣项目实际情况，内容科学合理。 三、赋分标准 ①围墙修建方案：每完全满足一项评审标准计1分，满分3分。未提供不得分。 ②安全文明作业措施：每完全满足一项评审标准计1分，满分3分。未提供不得分。 ③确保质量的技术组织措施：每完全满足一项评审标准计1分，满分3分。未提供不得分。 ④进度计划及计划保证实施方案：每完全满足一项评审标准计1分，满分3分。未提供不得分。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业绩一览表及施工方案.docx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针对项目具体情况制定详细的人员配备方案，方案内容包含：①项目拟派人员架构；②人员分工及岗位职责；③人员管理制度。 二、评审标准 1.完整性：方案必须全面，对评审内容中的各项要求有详细描述； 2.可实施性：切合本项目实际情况，实施步骤清晰、合理； 3.针对性：方案能够紧扣项目实际情况，内容科学合理。 三、赋分标准 ①项目拟派人员架构：每完全满足一项评审标准计1分，满分3分。未提供不得分。 ②人员分工及岗位职责：每完全满足一项评审标准计1分，满分3分。未提供不得分。 ③人员管理制度：每完全满足一项评审标准计1分，满分3分。未提供不得分。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业绩一览表及施工方案.docx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一、评审内容 针对项目具体情况制定详细的设备配备方案，方案内容包含：①车辆配备；②安全防护设备；③备用应急设备； 二、评审标准 1.完整性：方案必须全面，对评审内容中的各项要求有详细描述； 2.可实施性：切合本项目实际情况，实施步骤清晰、合理； 3.针对性：方案能够紧扣项目实际情况，内容科学合理。 三、赋分标准 ①车辆配备：每完全满足一项评审标准计1分，满分3分。未提供不得分。 ②安全防护设备：每完全满足一项评审标准计1分，满分3分。未提供不得分。 ③备用应急设备：每完全满足一项评审标准计1分，满分3分。未提供不得分。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业绩一览表及施工方案.docx</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一、评审内容 针对项目具体情况制定详细的保证措施方案，方案内容包含：①安全生产保证措施；②确保工期的技术组织措施；③误期的补救措施；④确保施工过程中环境保护（噪音、扬尘）措施；⑤日常巡查管理；⑥人员替换及设备应急替换保障；⑦防扰民措施。 二、评审标准 1.完整性：方案必须全面，对评审内容中的各项要求有详细描述； 2.可实施性：切合本项目实际情况，实施步骤清晰、合理； 3.针对性：方案能够紧扣项目实际情况，内容科学合理。 三、赋分标准 ①安全生产保证措施：每完全满足一项评审标准计1分，满分3分。未提供不得分。 ②确保工期的技术组织措施：每完全满足一项评审标准计1分，满分3分。未提供不得分。 ③误期的补救措施：每完全满足一项评审标准计1分，满分3分。未提供不得分。 ④确保施工过程中环境保护（噪音、扬尘）措施：每完全满足一项评审标准计1分，满分3分。未提供不得分。 ⑤日常巡查管理：每完全满足一项评审标准计1分，满分3分。未提供不得分。 ⑥人员替换及设备应急替换保障：每完全满足一项评审标准计1分，满分3分。未提供不得分。 ⑦防扰民措施：每完全满足一项评审标准计1分，满分3分。未提供不得分。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业绩一览表及施工方案.docx</w:t>
            </w:r>
          </w:p>
        </w:tc>
      </w:tr>
      <w:tr>
        <w:tc>
          <w:tcPr>
            <w:tcW w:type="dxa" w:w="831"/>
            <w:vMerge/>
          </w:tcPr>
          <w:p/>
        </w:tc>
        <w:tc>
          <w:tcPr>
            <w:tcW w:type="dxa" w:w="1661"/>
          </w:tcPr>
          <w:p>
            <w:pPr>
              <w:pStyle w:val="null3"/>
            </w:pPr>
            <w:r>
              <w:rPr>
                <w:rFonts w:ascii="仿宋_GB2312" w:hAnsi="仿宋_GB2312" w:cs="仿宋_GB2312" w:eastAsia="仿宋_GB2312"/>
              </w:rPr>
              <w:t>应急保障措施及迎检方案</w:t>
            </w:r>
          </w:p>
        </w:tc>
        <w:tc>
          <w:tcPr>
            <w:tcW w:type="dxa" w:w="2492"/>
          </w:tcPr>
          <w:p>
            <w:pPr>
              <w:pStyle w:val="null3"/>
            </w:pPr>
            <w:r>
              <w:rPr>
                <w:rFonts w:ascii="仿宋_GB2312" w:hAnsi="仿宋_GB2312" w:cs="仿宋_GB2312" w:eastAsia="仿宋_GB2312"/>
              </w:rPr>
              <w:t>一、评审内容 针对项目具体情况制定详细的应急保障措施及迎检方案，方案内容包含：①恶劣天气影响；②自然灾害及政府性重大活动；③重大节假日等特殊情况。 二、评审标准 1.完整性：方案必须全面，对评审内容中的各项要求有详细描述； 2.可实施性：切合本项目实际情况，实施步骤清晰、合理； 3.针对性：方案能够紧扣项目实际情况，内容科学合理。 二、赋分标准 ①恶劣天气影响：每完全满足一项评审标准计1分，满分3分。未提供不得分。 ②自然灾害及政府性重大活动:每完全满足一项评审标准计1分，满分3分。未提供不得分。 ③重大节假日等特殊情况：每完全满足一项评审标准计1分，满分3分。未提供不得分。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业绩一览表及施工方案.docx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提供2023年1月（以合同签订时间为准）至今类似项目业绩合同，每份计2.5分，满分10分。（注：附业绩合同扫描件或复印件。）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业绩一览表及施工方案.docx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详见附件：业绩一览表及施工方案.docx</w:t>
      </w:r>
    </w:p>
    <w:p>
      <w:pPr>
        <w:pStyle w:val="null3"/>
        <w:ind w:firstLine="960"/>
      </w:pPr>
      <w:r>
        <w:rPr>
          <w:rFonts w:ascii="仿宋_GB2312" w:hAnsi="仿宋_GB2312" w:cs="仿宋_GB2312" w:eastAsia="仿宋_GB2312"/>
        </w:rPr>
        <w:t>详见附件：首次磋商报价表及分项报价表.docx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