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4DC926">
      <w:pPr>
        <w:jc w:val="center"/>
        <w:rPr>
          <w:rFonts w:hint="eastAsia" w:ascii="仿宋" w:hAnsi="仿宋" w:eastAsia="仿宋"/>
          <w:b/>
          <w:bCs/>
          <w:color w:val="auto"/>
          <w:spacing w:val="-24"/>
          <w:sz w:val="48"/>
          <w:szCs w:val="48"/>
          <w:highlight w:val="none"/>
          <w:lang w:eastAsia="zh-CN"/>
        </w:rPr>
      </w:pPr>
      <w:r>
        <w:rPr>
          <w:rFonts w:hint="eastAsia" w:ascii="仿宋" w:hAnsi="仿宋" w:eastAsia="仿宋"/>
          <w:b/>
          <w:bCs/>
          <w:color w:val="auto"/>
          <w:spacing w:val="-24"/>
          <w:sz w:val="48"/>
          <w:szCs w:val="48"/>
          <w:highlight w:val="none"/>
          <w:lang w:eastAsia="zh-CN"/>
        </w:rPr>
        <w:t>拟签订采购合同文本</w:t>
      </w:r>
    </w:p>
    <w:p w14:paraId="5FA64FD1">
      <w:pPr>
        <w:pStyle w:val="2"/>
        <w:rPr>
          <w:rFonts w:hint="eastAsia" w:ascii="仿宋" w:hAnsi="仿宋" w:eastAsia="仿宋"/>
          <w:b/>
          <w:bCs/>
          <w:color w:val="auto"/>
          <w:spacing w:val="-24"/>
          <w:sz w:val="48"/>
          <w:szCs w:val="48"/>
          <w:highlight w:val="none"/>
          <w:lang w:eastAsia="zh-CN"/>
        </w:rPr>
      </w:pPr>
    </w:p>
    <w:p w14:paraId="0793597C">
      <w:pPr>
        <w:rPr>
          <w:rFonts w:hint="eastAsia" w:ascii="仿宋" w:hAnsi="仿宋" w:eastAsia="仿宋"/>
          <w:b/>
          <w:bCs/>
          <w:color w:val="auto"/>
          <w:spacing w:val="-24"/>
          <w:sz w:val="48"/>
          <w:szCs w:val="48"/>
          <w:highlight w:val="none"/>
          <w:lang w:eastAsia="zh-CN"/>
        </w:rPr>
      </w:pPr>
    </w:p>
    <w:p w14:paraId="0BC29921">
      <w:pPr>
        <w:pStyle w:val="2"/>
        <w:rPr>
          <w:rFonts w:hint="eastAsia" w:ascii="仿宋" w:hAnsi="仿宋" w:eastAsia="仿宋"/>
          <w:b/>
          <w:bCs/>
          <w:color w:val="auto"/>
          <w:spacing w:val="-24"/>
          <w:sz w:val="48"/>
          <w:szCs w:val="48"/>
          <w:highlight w:val="none"/>
          <w:lang w:eastAsia="zh-CN"/>
        </w:rPr>
      </w:pPr>
    </w:p>
    <w:p w14:paraId="31147EA2">
      <w:pPr>
        <w:rPr>
          <w:rFonts w:hint="eastAsia"/>
          <w:lang w:eastAsia="zh-CN"/>
        </w:rPr>
      </w:pPr>
    </w:p>
    <w:p w14:paraId="7F7C5B87">
      <w:pPr>
        <w:rPr>
          <w:rFonts w:hint="eastAsia"/>
          <w:color w:val="auto"/>
          <w:highlight w:val="none"/>
          <w:lang w:eastAsia="zh-CN"/>
        </w:rPr>
      </w:pPr>
    </w:p>
    <w:p w14:paraId="0887C0EB">
      <w:pPr>
        <w:jc w:val="center"/>
        <w:rPr>
          <w:rFonts w:hint="eastAsia" w:ascii="仿宋" w:hAnsi="仿宋" w:eastAsia="仿宋"/>
          <w:b/>
          <w:bCs/>
          <w:color w:val="auto"/>
          <w:spacing w:val="-24"/>
          <w:sz w:val="48"/>
          <w:szCs w:val="48"/>
          <w:highlight w:val="none"/>
          <w:lang w:eastAsia="zh-CN"/>
        </w:rPr>
      </w:pPr>
      <w:r>
        <w:rPr>
          <w:rFonts w:hint="eastAsia" w:ascii="仿宋" w:hAnsi="仿宋" w:eastAsia="仿宋"/>
          <w:b/>
          <w:bCs/>
          <w:color w:val="auto"/>
          <w:spacing w:val="-24"/>
          <w:sz w:val="48"/>
          <w:szCs w:val="48"/>
          <w:highlight w:val="none"/>
          <w:lang w:eastAsia="zh-CN"/>
        </w:rPr>
        <w:t>GW2-1-6地块项目围墙圈建工程</w:t>
      </w:r>
    </w:p>
    <w:p w14:paraId="011CCF33">
      <w:pPr>
        <w:rPr>
          <w:rFonts w:hint="eastAsia"/>
          <w:color w:val="auto"/>
          <w:highlight w:val="none"/>
        </w:rPr>
      </w:pPr>
    </w:p>
    <w:p w14:paraId="77C643A7">
      <w:pPr>
        <w:jc w:val="center"/>
        <w:rPr>
          <w:rFonts w:hint="eastAsia" w:ascii="仿宋" w:hAnsi="仿宋" w:eastAsia="仿宋" w:cs="仿宋"/>
          <w:b/>
          <w:color w:val="auto"/>
          <w:sz w:val="52"/>
          <w:szCs w:val="52"/>
          <w:highlight w:val="none"/>
        </w:rPr>
      </w:pPr>
      <w:r>
        <w:rPr>
          <w:rFonts w:hint="eastAsia" w:ascii="仿宋" w:hAnsi="仿宋" w:eastAsia="仿宋" w:cs="仿宋"/>
          <w:b/>
          <w:color w:val="auto"/>
          <w:sz w:val="52"/>
          <w:szCs w:val="52"/>
          <w:highlight w:val="none"/>
        </w:rPr>
        <w:t>合 同 书</w:t>
      </w:r>
    </w:p>
    <w:p w14:paraId="1AB3BC38">
      <w:pPr>
        <w:jc w:val="center"/>
        <w:rPr>
          <w:rFonts w:hint="eastAsia" w:ascii="仿宋" w:hAnsi="仿宋" w:eastAsia="仿宋" w:cs="仿宋"/>
          <w:b/>
          <w:color w:val="auto"/>
          <w:sz w:val="48"/>
          <w:szCs w:val="48"/>
          <w:highlight w:val="none"/>
        </w:rPr>
      </w:pPr>
    </w:p>
    <w:p w14:paraId="04D046D6">
      <w:pPr>
        <w:jc w:val="center"/>
        <w:rPr>
          <w:rFonts w:hint="eastAsia" w:ascii="仿宋" w:hAnsi="仿宋" w:eastAsia="仿宋" w:cs="仿宋"/>
          <w:b/>
          <w:color w:val="auto"/>
          <w:sz w:val="48"/>
          <w:szCs w:val="48"/>
          <w:highlight w:val="none"/>
        </w:rPr>
      </w:pPr>
    </w:p>
    <w:p w14:paraId="2F89C320">
      <w:pPr>
        <w:rPr>
          <w:rFonts w:hint="eastAsia" w:ascii="仿宋" w:hAnsi="仿宋" w:eastAsia="仿宋" w:cs="仿宋"/>
          <w:b/>
          <w:color w:val="auto"/>
          <w:highlight w:val="none"/>
        </w:rPr>
      </w:pPr>
    </w:p>
    <w:p w14:paraId="02D5481B">
      <w:pPr>
        <w:rPr>
          <w:rFonts w:hint="eastAsia" w:ascii="仿宋" w:hAnsi="仿宋" w:eastAsia="仿宋" w:cs="仿宋"/>
          <w:b/>
          <w:color w:val="auto"/>
          <w:highlight w:val="none"/>
        </w:rPr>
      </w:pPr>
    </w:p>
    <w:p w14:paraId="6102EF30">
      <w:pPr>
        <w:rPr>
          <w:rFonts w:hint="eastAsia" w:ascii="仿宋" w:hAnsi="仿宋" w:eastAsia="仿宋" w:cs="仿宋"/>
          <w:b/>
          <w:color w:val="auto"/>
          <w:highlight w:val="none"/>
        </w:rPr>
      </w:pPr>
    </w:p>
    <w:p w14:paraId="564CF1DA">
      <w:pPr>
        <w:rPr>
          <w:rFonts w:hint="eastAsia" w:ascii="仿宋" w:hAnsi="仿宋" w:eastAsia="仿宋" w:cs="仿宋"/>
          <w:b/>
          <w:color w:val="auto"/>
          <w:highlight w:val="none"/>
        </w:rPr>
      </w:pPr>
    </w:p>
    <w:p w14:paraId="2AE6279A">
      <w:pPr>
        <w:rPr>
          <w:rFonts w:hint="eastAsia" w:ascii="仿宋" w:hAnsi="仿宋" w:eastAsia="仿宋" w:cs="仿宋"/>
          <w:b/>
          <w:color w:val="auto"/>
          <w:highlight w:val="none"/>
        </w:rPr>
      </w:pPr>
    </w:p>
    <w:p w14:paraId="3CE3F6BD">
      <w:pPr>
        <w:rPr>
          <w:rFonts w:hint="eastAsia" w:ascii="仿宋" w:hAnsi="仿宋" w:eastAsia="仿宋" w:cs="仿宋"/>
          <w:b/>
          <w:color w:val="auto"/>
          <w:highlight w:val="none"/>
        </w:rPr>
      </w:pPr>
    </w:p>
    <w:p w14:paraId="0A8B391D">
      <w:pPr>
        <w:rPr>
          <w:rFonts w:hint="eastAsia"/>
          <w:color w:val="auto"/>
          <w:highlight w:val="none"/>
        </w:rPr>
      </w:pPr>
    </w:p>
    <w:p w14:paraId="0E7C6D19">
      <w:pPr>
        <w:pStyle w:val="2"/>
        <w:tabs>
          <w:tab w:val="left" w:pos="567"/>
        </w:tabs>
        <w:rPr>
          <w:rFonts w:hint="eastAsia"/>
          <w:color w:val="auto"/>
          <w:highlight w:val="none"/>
        </w:rPr>
      </w:pPr>
    </w:p>
    <w:p w14:paraId="2CD4FF90">
      <w:pPr>
        <w:spacing w:line="360" w:lineRule="auto"/>
        <w:ind w:left="1469" w:hanging="1469" w:hangingChars="400"/>
        <w:jc w:val="center"/>
        <w:rPr>
          <w:rFonts w:hint="eastAsia" w:ascii="仿宋" w:hAnsi="仿宋" w:eastAsia="仿宋" w:cs="仿宋"/>
          <w:b/>
          <w:color w:val="auto"/>
          <w:spacing w:val="23"/>
          <w:sz w:val="32"/>
          <w:szCs w:val="32"/>
          <w:highlight w:val="none"/>
        </w:rPr>
      </w:pPr>
    </w:p>
    <w:p w14:paraId="07675775">
      <w:pPr>
        <w:spacing w:line="360" w:lineRule="auto"/>
        <w:ind w:left="1469" w:hanging="1469" w:hangingChars="400"/>
        <w:jc w:val="center"/>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16FFBC22">
      <w:pPr>
        <w:spacing w:line="360" w:lineRule="auto"/>
        <w:ind w:left="1285" w:hanging="1469" w:hangingChars="400"/>
        <w:jc w:val="center"/>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133061F1">
      <w:pPr>
        <w:tabs>
          <w:tab w:val="left" w:pos="1995"/>
        </w:tabs>
        <w:spacing w:line="360" w:lineRule="auto"/>
        <w:ind w:left="1469" w:hanging="1469" w:hangingChars="400"/>
        <w:jc w:val="center"/>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5FC8241B">
      <w:pPr>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br w:type="page"/>
      </w:r>
    </w:p>
    <w:p w14:paraId="199B6360">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采购人（以下简称甲方）：</w:t>
      </w:r>
      <w:r>
        <w:rPr>
          <w:rFonts w:hint="eastAsia" w:ascii="仿宋" w:hAnsi="仿宋" w:eastAsia="仿宋" w:cs="仿宋"/>
          <w:bCs/>
          <w:color w:val="auto"/>
          <w:sz w:val="24"/>
          <w:highlight w:val="none"/>
          <w:u w:val="single"/>
        </w:rPr>
        <w:t xml:space="preserve">                </w:t>
      </w:r>
    </w:p>
    <w:p w14:paraId="38CEB57E">
      <w:pPr>
        <w:spacing w:line="500" w:lineRule="exact"/>
        <w:ind w:firstLine="480" w:firstLineChars="200"/>
        <w:rPr>
          <w:rFonts w:ascii="仿宋" w:hAnsi="仿宋" w:eastAsia="仿宋" w:cs="仿宋"/>
          <w:bCs/>
          <w:color w:val="auto"/>
          <w:sz w:val="28"/>
          <w:szCs w:val="28"/>
          <w:highlight w:val="none"/>
          <w:u w:val="single"/>
        </w:rPr>
      </w:pPr>
      <w:r>
        <w:rPr>
          <w:rFonts w:hint="eastAsia" w:ascii="仿宋" w:hAnsi="仿宋" w:eastAsia="仿宋" w:cs="仿宋"/>
          <w:bCs/>
          <w:color w:val="auto"/>
          <w:sz w:val="24"/>
          <w:highlight w:val="none"/>
        </w:rPr>
        <w:t>供应商（以下简称乙方）：</w:t>
      </w:r>
      <w:r>
        <w:rPr>
          <w:rFonts w:hint="eastAsia" w:ascii="仿宋" w:hAnsi="仿宋" w:eastAsia="仿宋" w:cs="仿宋"/>
          <w:bCs/>
          <w:color w:val="auto"/>
          <w:sz w:val="24"/>
          <w:highlight w:val="none"/>
          <w:u w:val="single"/>
        </w:rPr>
        <w:t xml:space="preserve">                </w:t>
      </w:r>
    </w:p>
    <w:p w14:paraId="22C1EE02">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根据《中华人民共和国民法典》及其它有关法律、行政法规，为明确双方在施工过程中的权利、义务，经双方协商自愿签订本合同。</w:t>
      </w:r>
    </w:p>
    <w:p w14:paraId="2E18E4EA">
      <w:pPr>
        <w:spacing w:line="500" w:lineRule="exact"/>
        <w:rPr>
          <w:rFonts w:ascii="仿宋" w:hAnsi="仿宋" w:eastAsia="仿宋" w:cs="仿宋"/>
          <w:b/>
          <w:color w:val="auto"/>
          <w:sz w:val="24"/>
          <w:highlight w:val="none"/>
        </w:rPr>
      </w:pPr>
      <w:r>
        <w:rPr>
          <w:rFonts w:hint="eastAsia" w:ascii="仿宋" w:hAnsi="仿宋" w:eastAsia="仿宋" w:cs="仿宋"/>
          <w:b/>
          <w:color w:val="auto"/>
          <w:sz w:val="24"/>
          <w:highlight w:val="none"/>
        </w:rPr>
        <w:t>第一条  工程项目</w:t>
      </w:r>
    </w:p>
    <w:p w14:paraId="18B690B4">
      <w:pPr>
        <w:spacing w:line="500" w:lineRule="exact"/>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rPr>
        <w:t>一、项目名称：</w:t>
      </w:r>
      <w:r>
        <w:rPr>
          <w:rFonts w:hint="eastAsia" w:ascii="仿宋" w:hAnsi="仿宋" w:eastAsia="仿宋" w:cs="仿宋"/>
          <w:bCs/>
          <w:color w:val="auto"/>
          <w:sz w:val="24"/>
          <w:highlight w:val="none"/>
          <w:lang w:eastAsia="zh-CN"/>
        </w:rPr>
        <w:t>GW2-1-6地块项目围墙圈建工程</w:t>
      </w:r>
    </w:p>
    <w:p w14:paraId="7A3DDDD7">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二、工程地点：甲方指定地点</w:t>
      </w:r>
    </w:p>
    <w:p w14:paraId="72AF2579">
      <w:pPr>
        <w:spacing w:line="500" w:lineRule="exact"/>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rPr>
        <w:t>三、工程内容：24</w:t>
      </w:r>
      <w:r>
        <w:rPr>
          <w:rFonts w:hint="eastAsia" w:ascii="仿宋" w:hAnsi="仿宋" w:eastAsia="仿宋" w:cs="仿宋"/>
          <w:bCs/>
          <w:color w:val="auto"/>
          <w:sz w:val="24"/>
          <w:highlight w:val="none"/>
          <w:lang w:eastAsia="zh-CN"/>
        </w:rPr>
        <w:t>围墙圈建工程</w:t>
      </w:r>
    </w:p>
    <w:p w14:paraId="55802498">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四、</w:t>
      </w:r>
      <w:r>
        <w:rPr>
          <w:rFonts w:hint="eastAsia" w:ascii="仿宋" w:hAnsi="仿宋" w:eastAsia="仿宋" w:cs="仿宋"/>
          <w:color w:val="auto"/>
          <w:kern w:val="0"/>
          <w:sz w:val="24"/>
          <w:highlight w:val="none"/>
        </w:rPr>
        <w:t>合同价款方式</w:t>
      </w:r>
      <w:r>
        <w:rPr>
          <w:rFonts w:hint="eastAsia" w:ascii="仿宋" w:hAnsi="仿宋" w:eastAsia="仿宋" w:cs="仿宋"/>
          <w:bCs/>
          <w:color w:val="auto"/>
          <w:sz w:val="24"/>
          <w:highlight w:val="none"/>
        </w:rPr>
        <w:t>：含税完全综合单价</w:t>
      </w:r>
    </w:p>
    <w:p w14:paraId="7C39C9EA">
      <w:pPr>
        <w:spacing w:line="500" w:lineRule="exact"/>
        <w:rPr>
          <w:rFonts w:ascii="仿宋" w:hAnsi="仿宋" w:eastAsia="仿宋" w:cs="仿宋"/>
          <w:b/>
          <w:color w:val="auto"/>
          <w:sz w:val="24"/>
          <w:highlight w:val="none"/>
        </w:rPr>
      </w:pPr>
      <w:r>
        <w:rPr>
          <w:rFonts w:hint="eastAsia" w:ascii="仿宋" w:hAnsi="仿宋" w:eastAsia="仿宋" w:cs="仿宋"/>
          <w:b/>
          <w:color w:val="auto"/>
          <w:sz w:val="24"/>
          <w:highlight w:val="none"/>
        </w:rPr>
        <w:t>第二条  施工依据</w:t>
      </w:r>
    </w:p>
    <w:p w14:paraId="7B5B6077">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一、施工合同；</w:t>
      </w:r>
    </w:p>
    <w:p w14:paraId="2E573C16">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二、</w:t>
      </w:r>
      <w:r>
        <w:rPr>
          <w:rFonts w:hint="eastAsia" w:ascii="仿宋" w:hAnsi="仿宋" w:eastAsia="仿宋" w:cs="仿宋"/>
          <w:bCs/>
          <w:color w:val="auto"/>
          <w:sz w:val="24"/>
          <w:highlight w:val="none"/>
          <w:lang w:eastAsia="zh-CN"/>
        </w:rPr>
        <w:t>成交</w:t>
      </w:r>
      <w:r>
        <w:rPr>
          <w:rFonts w:hint="eastAsia" w:ascii="仿宋" w:hAnsi="仿宋" w:eastAsia="仿宋" w:cs="仿宋"/>
          <w:bCs/>
          <w:color w:val="auto"/>
          <w:sz w:val="24"/>
          <w:highlight w:val="none"/>
        </w:rPr>
        <w:t>通知书；</w:t>
      </w:r>
    </w:p>
    <w:p w14:paraId="33599FA7">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三、采购文件、响应文件及其附件；</w:t>
      </w:r>
    </w:p>
    <w:p w14:paraId="0B87CD30">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四、标准、规范及有关技术文件；</w:t>
      </w:r>
    </w:p>
    <w:p w14:paraId="14D1E7CD">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五、工程量清单；</w:t>
      </w:r>
    </w:p>
    <w:p w14:paraId="75B5B43B">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六、工程报价单；</w:t>
      </w:r>
    </w:p>
    <w:p w14:paraId="5C1EA2B9">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七、双方有关工程的洽商、变更等书面协议或文件视为施工合同的组成部分。</w:t>
      </w:r>
    </w:p>
    <w:p w14:paraId="3EA45FD2">
      <w:pPr>
        <w:spacing w:line="500" w:lineRule="exact"/>
        <w:rPr>
          <w:rFonts w:ascii="仿宋" w:hAnsi="仿宋" w:eastAsia="仿宋" w:cs="仿宋"/>
          <w:b/>
          <w:color w:val="auto"/>
          <w:sz w:val="24"/>
          <w:highlight w:val="none"/>
        </w:rPr>
      </w:pPr>
      <w:r>
        <w:rPr>
          <w:rFonts w:hint="eastAsia" w:ascii="仿宋" w:hAnsi="仿宋" w:eastAsia="仿宋" w:cs="仿宋"/>
          <w:b/>
          <w:color w:val="auto"/>
          <w:sz w:val="24"/>
          <w:highlight w:val="none"/>
        </w:rPr>
        <w:t>第三条  工程期限</w:t>
      </w:r>
    </w:p>
    <w:p w14:paraId="45EC8378">
      <w:pPr>
        <w:keepNext w:val="0"/>
        <w:keepLines w:val="0"/>
        <w:pageBreakBefore w:val="0"/>
        <w:widowControl w:val="0"/>
        <w:kinsoku/>
        <w:wordWrap/>
        <w:overflowPunct/>
        <w:topLinePunct w:val="0"/>
        <w:autoSpaceDE/>
        <w:autoSpaceDN/>
        <w:bidi w:val="0"/>
        <w:snapToGrid/>
        <w:spacing w:line="500" w:lineRule="exact"/>
        <w:ind w:firstLine="480" w:firstLineChars="200"/>
        <w:textAlignment w:val="auto"/>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一、</w:t>
      </w:r>
      <w:r>
        <w:rPr>
          <w:rFonts w:hint="eastAsia" w:ascii="仿宋" w:hAnsi="仿宋" w:eastAsia="仿宋" w:cs="仿宋"/>
          <w:bCs/>
          <w:color w:val="auto"/>
          <w:sz w:val="24"/>
          <w:highlight w:val="none"/>
        </w:rPr>
        <w:t>工期：自合同签订之日起15日</w:t>
      </w:r>
      <w:r>
        <w:rPr>
          <w:rFonts w:hint="eastAsia" w:ascii="仿宋" w:hAnsi="仿宋" w:eastAsia="仿宋" w:cs="仿宋"/>
          <w:bCs/>
          <w:color w:val="auto"/>
          <w:sz w:val="24"/>
          <w:highlight w:val="none"/>
          <w:lang w:eastAsia="zh-CN"/>
        </w:rPr>
        <w:t>；</w:t>
      </w:r>
    </w:p>
    <w:p w14:paraId="18F0EE7B">
      <w:pPr>
        <w:keepNext w:val="0"/>
        <w:keepLines w:val="0"/>
        <w:pageBreakBefore w:val="0"/>
        <w:widowControl w:val="0"/>
        <w:kinsoku/>
        <w:wordWrap/>
        <w:overflowPunct/>
        <w:topLinePunct w:val="0"/>
        <w:autoSpaceDE/>
        <w:autoSpaceDN/>
        <w:bidi w:val="0"/>
        <w:snapToGrid/>
        <w:spacing w:line="500" w:lineRule="exact"/>
        <w:ind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二、如遇下列情况，经甲方现场代表签证后，工期可相应顺延（顺延工期应由甲、乙双方共同签字确认）</w:t>
      </w:r>
    </w:p>
    <w:p w14:paraId="254BBCAC">
      <w:pPr>
        <w:keepNext w:val="0"/>
        <w:keepLines w:val="0"/>
        <w:pageBreakBefore w:val="0"/>
        <w:widowControl w:val="0"/>
        <w:kinsoku/>
        <w:wordWrap/>
        <w:overflowPunct/>
        <w:topLinePunct w:val="0"/>
        <w:autoSpaceDE/>
        <w:autoSpaceDN/>
        <w:bidi w:val="0"/>
        <w:adjustRightInd w:val="0"/>
        <w:snapToGrid/>
        <w:spacing w:line="500" w:lineRule="exact"/>
        <w:ind w:firstLine="480" w:firstLineChars="200"/>
        <w:jc w:val="left"/>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1</w:t>
      </w:r>
      <w:r>
        <w:rPr>
          <w:rFonts w:hint="eastAsia" w:ascii="仿宋" w:hAnsi="仿宋" w:eastAsia="仿宋" w:cs="仿宋"/>
          <w:bCs/>
          <w:color w:val="auto"/>
          <w:sz w:val="24"/>
          <w:highlight w:val="none"/>
        </w:rPr>
        <w:t>、在施工中如因停电、停水８小时以上或连续间歇性停水、停电３天以上（每次连续４小时以上），影响正常施工；停水停电2天以上；</w:t>
      </w:r>
    </w:p>
    <w:p w14:paraId="5517D20B">
      <w:pPr>
        <w:keepNext w:val="0"/>
        <w:keepLines w:val="0"/>
        <w:pageBreakBefore w:val="0"/>
        <w:widowControl w:val="0"/>
        <w:kinsoku/>
        <w:wordWrap/>
        <w:overflowPunct/>
        <w:topLinePunct w:val="0"/>
        <w:autoSpaceDE/>
        <w:autoSpaceDN/>
        <w:bidi w:val="0"/>
        <w:adjustRightInd w:val="0"/>
        <w:snapToGrid/>
        <w:spacing w:line="500" w:lineRule="exact"/>
        <w:ind w:firstLine="480" w:firstLineChars="200"/>
        <w:jc w:val="left"/>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2、遇阴雨天及不可抗力因素以及非中标人施工因素影响；</w:t>
      </w:r>
    </w:p>
    <w:p w14:paraId="0C618BCB">
      <w:pPr>
        <w:keepNext w:val="0"/>
        <w:keepLines w:val="0"/>
        <w:pageBreakBefore w:val="0"/>
        <w:widowControl w:val="0"/>
        <w:kinsoku/>
        <w:wordWrap/>
        <w:overflowPunct/>
        <w:topLinePunct w:val="0"/>
        <w:autoSpaceDE/>
        <w:autoSpaceDN/>
        <w:bidi w:val="0"/>
        <w:adjustRightInd w:val="0"/>
        <w:snapToGrid/>
        <w:spacing w:line="500" w:lineRule="exact"/>
        <w:ind w:firstLine="480" w:firstLineChars="200"/>
        <w:jc w:val="left"/>
        <w:textAlignment w:val="auto"/>
        <w:rPr>
          <w:rFonts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rPr>
        <w:t>、因人力不可抗拒的其他因素而延误工期。</w:t>
      </w:r>
    </w:p>
    <w:p w14:paraId="02689608">
      <w:pPr>
        <w:spacing w:line="500" w:lineRule="exact"/>
        <w:rPr>
          <w:rFonts w:hint="eastAsia" w:ascii="仿宋" w:hAnsi="仿宋" w:eastAsia="仿宋" w:cs="仿宋"/>
          <w:b/>
          <w:color w:val="auto"/>
          <w:sz w:val="24"/>
          <w:highlight w:val="none"/>
        </w:rPr>
      </w:pPr>
      <w:bookmarkStart w:id="0" w:name="OLE_LINK48"/>
      <w:r>
        <w:rPr>
          <w:rFonts w:hint="eastAsia" w:ascii="仿宋" w:hAnsi="仿宋" w:eastAsia="仿宋" w:cs="仿宋"/>
          <w:b/>
          <w:color w:val="auto"/>
          <w:sz w:val="24"/>
          <w:highlight w:val="none"/>
        </w:rPr>
        <w:t>第四条  工程价款、结算及付款方式</w:t>
      </w:r>
    </w:p>
    <w:p w14:paraId="2549D17F">
      <w:pPr>
        <w:spacing w:line="500" w:lineRule="exact"/>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1、合同暂定总价（大写）：</w:t>
      </w:r>
      <w:r>
        <w:rPr>
          <w:rFonts w:hint="eastAsia" w:ascii="仿宋" w:hAnsi="仿宋" w:eastAsia="仿宋" w:cs="仿宋"/>
          <w:bCs/>
          <w:color w:val="auto"/>
          <w:sz w:val="24"/>
          <w:highlight w:val="none"/>
          <w:u w:val="single"/>
          <w:lang w:val="en-US" w:eastAsia="zh-CN"/>
        </w:rPr>
        <w:t xml:space="preserve">                  </w:t>
      </w:r>
      <w:r>
        <w:rPr>
          <w:rFonts w:hint="eastAsia" w:ascii="仿宋" w:hAnsi="仿宋" w:eastAsia="仿宋" w:cs="仿宋"/>
          <w:bCs/>
          <w:color w:val="auto"/>
          <w:sz w:val="24"/>
          <w:highlight w:val="none"/>
        </w:rPr>
        <w:t>（人民币）元</w:t>
      </w:r>
    </w:p>
    <w:p w14:paraId="3EDB6CCB">
      <w:pPr>
        <w:spacing w:line="500" w:lineRule="exact"/>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（小写）：</w:t>
      </w:r>
      <w:r>
        <w:rPr>
          <w:rFonts w:hint="eastAsia" w:ascii="宋体" w:hAnsi="宋体" w:cs="宋体"/>
          <w:color w:val="auto"/>
          <w:kern w:val="0"/>
          <w:sz w:val="24"/>
          <w:highlight w:val="none"/>
        </w:rPr>
        <w:t>¥</w:t>
      </w:r>
      <w:r>
        <w:rPr>
          <w:rFonts w:hint="eastAsia" w:ascii="仿宋" w:hAnsi="仿宋" w:eastAsia="仿宋" w:cs="仿宋"/>
          <w:bCs/>
          <w:color w:val="auto"/>
          <w:sz w:val="24"/>
          <w:highlight w:val="none"/>
          <w:u w:val="single"/>
        </w:rPr>
        <w:t>_________________</w:t>
      </w:r>
      <w:r>
        <w:rPr>
          <w:rFonts w:hint="eastAsia" w:ascii="仿宋" w:hAnsi="仿宋" w:eastAsia="仿宋" w:cs="仿宋"/>
          <w:bCs/>
          <w:color w:val="auto"/>
          <w:sz w:val="24"/>
          <w:highlight w:val="none"/>
        </w:rPr>
        <w:t>元</w:t>
      </w:r>
    </w:p>
    <w:p w14:paraId="749638D0">
      <w:pPr>
        <w:spacing w:line="500" w:lineRule="exact"/>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2、含税完全综合单价：</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233"/>
        <w:gridCol w:w="1554"/>
        <w:gridCol w:w="1816"/>
        <w:gridCol w:w="876"/>
      </w:tblGrid>
      <w:tr w14:paraId="0EFDF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75" w:type="dxa"/>
            <w:noWrap w:val="0"/>
            <w:vAlign w:val="center"/>
          </w:tcPr>
          <w:p w14:paraId="4185D87F">
            <w:pPr>
              <w:spacing w:line="500" w:lineRule="exact"/>
              <w:jc w:val="center"/>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序号</w:t>
            </w:r>
          </w:p>
        </w:tc>
        <w:tc>
          <w:tcPr>
            <w:tcW w:w="1233" w:type="dxa"/>
            <w:noWrap w:val="0"/>
            <w:vAlign w:val="center"/>
          </w:tcPr>
          <w:p w14:paraId="15409624">
            <w:pPr>
              <w:spacing w:line="50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工程内容</w:t>
            </w:r>
          </w:p>
        </w:tc>
        <w:tc>
          <w:tcPr>
            <w:tcW w:w="1554" w:type="dxa"/>
            <w:noWrap w:val="0"/>
            <w:vAlign w:val="center"/>
          </w:tcPr>
          <w:p w14:paraId="12D37648">
            <w:pPr>
              <w:spacing w:line="500" w:lineRule="exact"/>
              <w:jc w:val="center"/>
              <w:rPr>
                <w:rFonts w:hint="eastAsia" w:asciiTheme="minorHAnsi" w:hAnsiTheme="minorHAnsi" w:eastAsiaTheme="minorEastAsia" w:cstheme="minorBidi"/>
                <w:kern w:val="2"/>
                <w:sz w:val="21"/>
                <w:szCs w:val="24"/>
                <w:lang w:val="en-US" w:eastAsia="zh-CN" w:bidi="ar-SA"/>
              </w:rPr>
            </w:pPr>
            <w:r>
              <w:rPr>
                <w:rFonts w:hint="eastAsia" w:ascii="仿宋" w:hAnsi="仿宋" w:eastAsia="仿宋" w:cs="仿宋"/>
                <w:bCs/>
                <w:color w:val="auto"/>
                <w:sz w:val="24"/>
                <w:highlight w:val="none"/>
              </w:rPr>
              <w:t>暂估量</w:t>
            </w:r>
          </w:p>
        </w:tc>
        <w:tc>
          <w:tcPr>
            <w:tcW w:w="1816" w:type="dxa"/>
            <w:noWrap w:val="0"/>
            <w:vAlign w:val="center"/>
          </w:tcPr>
          <w:p w14:paraId="086DF5D3">
            <w:pPr>
              <w:spacing w:line="50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含税完全综合单价</w:t>
            </w:r>
          </w:p>
        </w:tc>
        <w:tc>
          <w:tcPr>
            <w:tcW w:w="876" w:type="dxa"/>
            <w:noWrap w:val="0"/>
            <w:vAlign w:val="center"/>
          </w:tcPr>
          <w:p w14:paraId="29AE293F">
            <w:pPr>
              <w:spacing w:line="50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备注</w:t>
            </w:r>
          </w:p>
        </w:tc>
      </w:tr>
      <w:tr w14:paraId="168FE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775" w:type="dxa"/>
            <w:noWrap w:val="0"/>
            <w:vAlign w:val="center"/>
          </w:tcPr>
          <w:p w14:paraId="27803216">
            <w:pPr>
              <w:spacing w:line="500" w:lineRule="exact"/>
              <w:jc w:val="center"/>
              <w:rPr>
                <w:rFonts w:hint="default"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1</w:t>
            </w:r>
          </w:p>
        </w:tc>
        <w:tc>
          <w:tcPr>
            <w:tcW w:w="1233" w:type="dxa"/>
            <w:noWrap w:val="0"/>
            <w:vAlign w:val="center"/>
          </w:tcPr>
          <w:p w14:paraId="17D273E4">
            <w:pPr>
              <w:spacing w:line="50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24</w:t>
            </w:r>
            <w:r>
              <w:rPr>
                <w:rFonts w:hint="eastAsia" w:ascii="仿宋" w:hAnsi="仿宋" w:eastAsia="仿宋" w:cs="仿宋"/>
                <w:bCs/>
                <w:color w:val="auto"/>
                <w:sz w:val="24"/>
                <w:highlight w:val="none"/>
                <w:lang w:val="en-US" w:eastAsia="zh-CN"/>
              </w:rPr>
              <w:t>围</w:t>
            </w:r>
            <w:r>
              <w:rPr>
                <w:rFonts w:hint="eastAsia" w:ascii="仿宋" w:hAnsi="仿宋" w:eastAsia="仿宋" w:cs="仿宋"/>
                <w:bCs/>
                <w:color w:val="auto"/>
                <w:sz w:val="24"/>
                <w:highlight w:val="none"/>
              </w:rPr>
              <w:t>墙</w:t>
            </w:r>
          </w:p>
        </w:tc>
        <w:tc>
          <w:tcPr>
            <w:tcW w:w="1554" w:type="dxa"/>
            <w:noWrap w:val="0"/>
            <w:vAlign w:val="center"/>
          </w:tcPr>
          <w:p w14:paraId="0803C112">
            <w:pPr>
              <w:spacing w:line="50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660</w:t>
            </w:r>
            <w:r>
              <w:rPr>
                <w:rFonts w:hint="eastAsia" w:ascii="仿宋" w:hAnsi="仿宋" w:eastAsia="仿宋" w:cs="仿宋"/>
                <w:bCs/>
                <w:color w:val="auto"/>
                <w:sz w:val="24"/>
                <w:highlight w:val="none"/>
              </w:rPr>
              <w:t>米</w:t>
            </w:r>
          </w:p>
        </w:tc>
        <w:tc>
          <w:tcPr>
            <w:tcW w:w="1816" w:type="dxa"/>
            <w:noWrap w:val="0"/>
            <w:vAlign w:val="center"/>
          </w:tcPr>
          <w:p w14:paraId="52AAF35D">
            <w:pPr>
              <w:spacing w:line="500" w:lineRule="exact"/>
              <w:jc w:val="center"/>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u w:val="single"/>
              </w:rPr>
              <w:t>___</w:t>
            </w:r>
            <w:r>
              <w:rPr>
                <w:rFonts w:hint="eastAsia" w:ascii="仿宋" w:hAnsi="仿宋" w:eastAsia="仿宋" w:cs="仿宋"/>
                <w:bCs/>
                <w:color w:val="auto"/>
                <w:sz w:val="24"/>
                <w:highlight w:val="none"/>
              </w:rPr>
              <w:t>元/</w:t>
            </w:r>
            <w:r>
              <w:rPr>
                <w:rFonts w:hint="eastAsia" w:ascii="仿宋" w:hAnsi="仿宋" w:eastAsia="仿宋" w:cs="仿宋"/>
                <w:bCs/>
                <w:color w:val="auto"/>
                <w:sz w:val="24"/>
                <w:highlight w:val="none"/>
                <w:lang w:val="en-US" w:eastAsia="zh-CN"/>
              </w:rPr>
              <w:t>米</w:t>
            </w:r>
          </w:p>
        </w:tc>
        <w:tc>
          <w:tcPr>
            <w:tcW w:w="876" w:type="dxa"/>
            <w:noWrap w:val="0"/>
            <w:vAlign w:val="center"/>
          </w:tcPr>
          <w:p w14:paraId="50E62634">
            <w:pPr>
              <w:spacing w:line="500" w:lineRule="exact"/>
              <w:ind w:firstLine="480" w:firstLineChars="200"/>
              <w:jc w:val="center"/>
              <w:rPr>
                <w:rFonts w:hint="eastAsia" w:ascii="仿宋" w:hAnsi="仿宋" w:eastAsia="仿宋" w:cs="仿宋"/>
                <w:bCs/>
                <w:color w:val="auto"/>
                <w:sz w:val="24"/>
                <w:highlight w:val="none"/>
              </w:rPr>
            </w:pPr>
          </w:p>
        </w:tc>
      </w:tr>
      <w:bookmarkEnd w:id="0"/>
    </w:tbl>
    <w:p w14:paraId="15A6DCEC">
      <w:pPr>
        <w:numPr>
          <w:ilvl w:val="0"/>
          <w:numId w:val="0"/>
        </w:numPr>
        <w:spacing w:line="500" w:lineRule="exact"/>
        <w:ind w:left="0" w:lef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kern w:val="2"/>
          <w:sz w:val="24"/>
          <w:szCs w:val="24"/>
          <w:highlight w:val="none"/>
          <w:lang w:val="en-US" w:eastAsia="zh-CN" w:bidi="ar-SA"/>
        </w:rPr>
        <w:t>3、</w:t>
      </w:r>
      <w:r>
        <w:rPr>
          <w:rFonts w:hint="eastAsia" w:ascii="仿宋" w:hAnsi="仿宋" w:eastAsia="仿宋" w:cs="仿宋"/>
          <w:bCs/>
          <w:color w:val="auto"/>
          <w:sz w:val="24"/>
          <w:szCs w:val="24"/>
          <w:highlight w:val="none"/>
        </w:rPr>
        <w:t>付款方式：</w:t>
      </w:r>
    </w:p>
    <w:p w14:paraId="672E9F7F">
      <w:pPr>
        <w:numPr>
          <w:ilvl w:val="0"/>
          <w:numId w:val="0"/>
        </w:numPr>
        <w:adjustRightInd w:val="0"/>
        <w:snapToGrid w:val="0"/>
        <w:spacing w:line="500" w:lineRule="atLeast"/>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工程竣工并经甲方验收合格，根据实际工程量和含税完全综合单价据实结算，结算后一次性支付该项工程结算总金额的100%。</w:t>
      </w:r>
    </w:p>
    <w:p w14:paraId="54FE811E">
      <w:pPr>
        <w:numPr>
          <w:ilvl w:val="0"/>
          <w:numId w:val="0"/>
        </w:numPr>
        <w:spacing w:line="500" w:lineRule="exact"/>
        <w:ind w:left="0" w:leftChars="0" w:firstLine="480" w:firstLineChars="200"/>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4、付款依据：合同、采购文件、响应文件、工程量确认单、甲方出具的验收报告、乙方提供的发票及付款申请。</w:t>
      </w:r>
    </w:p>
    <w:p w14:paraId="1E319E9E">
      <w:pPr>
        <w:numPr>
          <w:ilvl w:val="0"/>
          <w:numId w:val="0"/>
        </w:numPr>
        <w:spacing w:line="500" w:lineRule="exact"/>
        <w:ind w:left="0" w:leftChars="0" w:firstLine="480" w:firstLineChars="200"/>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5、合同范围外变更价款调整方式：</w:t>
      </w:r>
    </w:p>
    <w:p w14:paraId="4BC4C8A9">
      <w:pPr>
        <w:spacing w:after="120"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因非乙方原因的工程变更签证，造成增加新的工程量清单项目，其对应的综合单价按下列方法确定。</w:t>
      </w:r>
    </w:p>
    <w:p w14:paraId="01504FBF">
      <w:pPr>
        <w:spacing w:after="120" w:line="500" w:lineRule="exact"/>
        <w:ind w:firstLine="360" w:firstLineChars="15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1）合同中已有适用的综合单价，按合同中已有的综合单价确定；</w:t>
      </w:r>
    </w:p>
    <w:p w14:paraId="2A16AABB">
      <w:pPr>
        <w:spacing w:after="120" w:line="500" w:lineRule="exact"/>
        <w:ind w:firstLine="360" w:firstLineChars="15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2）合同中有类似的综合单价，参照类似的综合单价确定；</w:t>
      </w:r>
    </w:p>
    <w:p w14:paraId="74B6F9C2">
      <w:pPr>
        <w:spacing w:after="120" w:line="500" w:lineRule="exact"/>
        <w:ind w:firstLine="360" w:firstLineChars="15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3）合同中没有适用或类似的综合单价，由乙方依据市场价提出综合单价，甲方确认。</w:t>
      </w:r>
    </w:p>
    <w:p w14:paraId="23CC7F70">
      <w:pPr>
        <w:spacing w:line="50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第五条  建筑材料、设备的供应和采购</w:t>
      </w:r>
    </w:p>
    <w:p w14:paraId="744BF97A">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一、工程材料、设备由乙方采购。</w:t>
      </w:r>
    </w:p>
    <w:p w14:paraId="5B2A771E">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40CD56D9">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三、本项目选用的主要工程材料、设备及重要部位，乙方须报送甲方进行审核，甲方对选用的材料设备有认质和选用的决定权。</w:t>
      </w:r>
    </w:p>
    <w:p w14:paraId="256EC3B8">
      <w:pPr>
        <w:spacing w:line="50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第六条  拟派人员</w:t>
      </w:r>
    </w:p>
    <w:p w14:paraId="6ED43AC6">
      <w:pPr>
        <w:spacing w:line="360" w:lineRule="auto"/>
        <w:ind w:firstLine="480" w:firstLineChars="20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本项目拟派</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为项目经理，联系电话：</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，身份证号：</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none"/>
        </w:rPr>
        <w:t>；</w:t>
      </w:r>
    </w:p>
    <w:p w14:paraId="32BA2FE5">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拟派</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为技术负责人，联系电话：</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，身份证号：</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none"/>
        </w:rPr>
        <w:t>。</w:t>
      </w:r>
    </w:p>
    <w:p w14:paraId="17B28A1B">
      <w:pPr>
        <w:spacing w:line="50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第七条  工程质量管理及验收</w:t>
      </w:r>
    </w:p>
    <w:p w14:paraId="7F3DDE9C">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一、工程具备隐蔽条件，乙方先进行自检，并在验收前48小时以书面形式通知甲方验收。验收合格，甲方代表在验收记录上签字后，乙方可继续施工。验收不合格，乙方予以整改后再交由甲方重新验收。</w:t>
      </w:r>
    </w:p>
    <w:p w14:paraId="55EBFB83">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二、工程具备竣工验收条件，乙方按国家工程竣工验收有关规定，向甲方提供完整竣工资料及竣工验收报告，甲方组织乙方及相关单位完成竣工验收。</w:t>
      </w:r>
    </w:p>
    <w:p w14:paraId="78B9F6EB">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三、符合</w:t>
      </w:r>
      <w:r>
        <w:rPr>
          <w:rFonts w:hint="eastAsia" w:ascii="仿宋" w:hAnsi="仿宋" w:eastAsia="仿宋" w:cs="仿宋"/>
          <w:bCs/>
          <w:color w:val="auto"/>
          <w:sz w:val="24"/>
          <w:szCs w:val="24"/>
          <w:highlight w:val="none"/>
          <w:lang w:eastAsia="zh-CN"/>
        </w:rPr>
        <w:t>采购</w:t>
      </w:r>
      <w:r>
        <w:rPr>
          <w:rFonts w:hint="eastAsia" w:ascii="仿宋" w:hAnsi="仿宋" w:eastAsia="仿宋" w:cs="仿宋"/>
          <w:bCs/>
          <w:color w:val="auto"/>
          <w:sz w:val="24"/>
          <w:szCs w:val="24"/>
          <w:highlight w:val="none"/>
        </w:rPr>
        <w:t>文件和国家及行业规定的建筑工程质量检验评定“合格”标准。</w:t>
      </w:r>
    </w:p>
    <w:p w14:paraId="4283982D">
      <w:pPr>
        <w:spacing w:line="50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第八条  安全施工</w:t>
      </w:r>
    </w:p>
    <w:p w14:paraId="6DB68D6E">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乙方应遵守工程建设安全生产有关管理规定，严格按安全标准组织施工，采取必要的安全防护措施，消除事故隐患。由于乙方安全措施不力造成事故的责任和因此发生的费用，由乙方承担，与甲方无关。</w:t>
      </w:r>
    </w:p>
    <w:p w14:paraId="23B07993">
      <w:pPr>
        <w:spacing w:line="50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第九条  双方的权利和义务</w:t>
      </w:r>
    </w:p>
    <w:p w14:paraId="4BD50EE5">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一、甲方的权利与义务</w:t>
      </w:r>
    </w:p>
    <w:p w14:paraId="1F5374CC">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1）协助提供施工所需水、电、但具体费用由乙方承担；</w:t>
      </w:r>
    </w:p>
    <w:p w14:paraId="4EEF34B3">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2）协调处理施工现场地下管线的改造，绿化挖移；</w:t>
      </w:r>
    </w:p>
    <w:p w14:paraId="1339770B">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3）协助切断水、电源、为乙方创造必要的施工条件；</w:t>
      </w:r>
      <w:r>
        <w:rPr>
          <w:rFonts w:hint="eastAsia" w:ascii="仿宋" w:hAnsi="仿宋" w:eastAsia="仿宋" w:cs="仿宋"/>
          <w:bCs/>
          <w:color w:val="auto"/>
          <w:sz w:val="24"/>
          <w:szCs w:val="24"/>
          <w:highlight w:val="none"/>
        </w:rPr>
        <w:tab/>
      </w:r>
    </w:p>
    <w:p w14:paraId="1484F743">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4）按安全文明施工的规定，督促乙方落实安全施工、文明施工措施；</w:t>
      </w:r>
    </w:p>
    <w:p w14:paraId="54815178">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5）负责组织相关力量对本工程工作进行验收；</w:t>
      </w:r>
    </w:p>
    <w:p w14:paraId="6D2D41C8">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6）做好公安、城管、工商等相关部门的协调工作，保证施工顺利进行；</w:t>
      </w:r>
    </w:p>
    <w:p w14:paraId="4971A54B">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7）按约定支付工程款并索取相应的发票；</w:t>
      </w:r>
    </w:p>
    <w:p w14:paraId="1F9FA8CC">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8）根据工程范围内</w:t>
      </w:r>
      <w:r>
        <w:rPr>
          <w:rFonts w:hint="eastAsia" w:ascii="仿宋" w:hAnsi="仿宋" w:eastAsia="仿宋" w:cs="仿宋"/>
          <w:bCs/>
          <w:color w:val="auto"/>
          <w:sz w:val="24"/>
          <w:szCs w:val="24"/>
          <w:highlight w:val="none"/>
          <w:lang w:val="en-US" w:eastAsia="zh-CN"/>
        </w:rPr>
        <w:t>围墙修缮</w:t>
      </w:r>
      <w:r>
        <w:rPr>
          <w:rFonts w:hint="eastAsia" w:ascii="仿宋" w:hAnsi="仿宋" w:eastAsia="仿宋" w:cs="仿宋"/>
          <w:bCs/>
          <w:color w:val="auto"/>
          <w:sz w:val="24"/>
          <w:szCs w:val="24"/>
          <w:highlight w:val="none"/>
        </w:rPr>
        <w:t>工作的具体要求，安排乙方完成与上述工作有关的临时性任务。</w:t>
      </w:r>
    </w:p>
    <w:p w14:paraId="0F61C8AF">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二、乙方的权利与义务</w:t>
      </w:r>
    </w:p>
    <w:p w14:paraId="0C4EF807">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1）乙方应设置</w:t>
      </w:r>
      <w:r>
        <w:rPr>
          <w:rFonts w:hint="eastAsia" w:ascii="仿宋" w:hAnsi="仿宋" w:eastAsia="仿宋" w:cs="仿宋"/>
          <w:bCs/>
          <w:color w:val="auto"/>
          <w:sz w:val="24"/>
          <w:szCs w:val="24"/>
          <w:highlight w:val="none"/>
          <w:lang w:eastAsia="zh-CN"/>
        </w:rPr>
        <w:t>围墙圈建工程</w:t>
      </w:r>
      <w:r>
        <w:rPr>
          <w:rFonts w:hint="eastAsia" w:ascii="仿宋" w:hAnsi="仿宋" w:eastAsia="仿宋" w:cs="仿宋"/>
          <w:bCs/>
          <w:color w:val="auto"/>
          <w:sz w:val="24"/>
          <w:szCs w:val="24"/>
          <w:highlight w:val="none"/>
        </w:rPr>
        <w:t>及负责设立项目实施过程中必要的办公场所，并保证所有参与上述工作的人员必须统一着装，配挂“工作人员”胸牌;</w:t>
      </w:r>
    </w:p>
    <w:p w14:paraId="0E0CC54F">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2）每日向甲方提供进度计划，统计报表和工程事故报告，遵守有关部门对施工场地、交通、噪音等的管理规定;</w:t>
      </w:r>
    </w:p>
    <w:p w14:paraId="3012CE14">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3）保证施工现场清洁，负责人行道路维护工作;</w:t>
      </w:r>
    </w:p>
    <w:p w14:paraId="18143CC1">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4）按照国家及省市相关政策、法规及甲方确认的施工组织设计或施工方案进行文明施工；</w:t>
      </w:r>
    </w:p>
    <w:p w14:paraId="63B20CA4">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5）遵守安全防护和文明施工的规定，建立健全安全防护和文明施工的制度，设专职安全员，负责维护施工现场安全，做到安全文明施工等;</w:t>
      </w:r>
    </w:p>
    <w:p w14:paraId="4E235516">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6）完善安全防护和文明施工条件，施工机械、设备须附检验报告,严格按照安全防护和文明施工的规定组织施工，采取必要的安全防护措施，消除安全事故隐患;</w:t>
      </w:r>
    </w:p>
    <w:p w14:paraId="2E5A6276">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7）在工程实施期间，乙方应做好施工现场的安全警示标志、安全通道的合理布置、材料与设备的存放与保管、消防设施的安全有效、施工现场的照明与防护以及政府有关部门关于安全防护、文明施工规定的其他工作;</w:t>
      </w:r>
    </w:p>
    <w:p w14:paraId="64E5238E">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8）按约定收取工程款并出具相应的发票;</w:t>
      </w:r>
    </w:p>
    <w:p w14:paraId="590C9604">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9）工作人员应服从甲方的领导、监督和管理，遵守工作制度和纪律，依法完成工作内容;</w:t>
      </w:r>
    </w:p>
    <w:p w14:paraId="09EDF223">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10）项目实施中发生的各种不安全事故或人员伤亡和各类纠纷等问题，造成的责任、费用等由乙方承担;</w:t>
      </w:r>
    </w:p>
    <w:p w14:paraId="63909545">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11）指派专职项目经理负责联系和处理工作的有关事项，参加协调会，协调合同执行过程中遇到的问题，并配备专职安全员每日巡视现场，安全员必须持证上岗;</w:t>
      </w:r>
    </w:p>
    <w:p w14:paraId="6FC9FC07">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12）乙方应按时发放农民工工资，甲方有权监督乙方在支付当期进度款中发放农民工工资。如乙方未按时发放农民工工资，影响到本工程的质量和进度，甲方有权从未支付款项中按乙方所拟的工资额度直接发放农民工的工资，并按发放金额的50%从乙方的未支付款项中扣除予以处罚。</w:t>
      </w:r>
    </w:p>
    <w:p w14:paraId="15B9EA4F">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）及时向甲方以书面形式汇报</w:t>
      </w:r>
      <w:r>
        <w:rPr>
          <w:rFonts w:hint="eastAsia" w:ascii="仿宋" w:hAnsi="仿宋" w:eastAsia="仿宋" w:cs="仿宋"/>
          <w:bCs/>
          <w:color w:val="auto"/>
          <w:sz w:val="24"/>
          <w:szCs w:val="24"/>
          <w:highlight w:val="none"/>
          <w:lang w:val="en-US" w:eastAsia="zh-CN"/>
        </w:rPr>
        <w:t>围墙修缮</w:t>
      </w:r>
      <w:r>
        <w:rPr>
          <w:rFonts w:hint="eastAsia" w:ascii="仿宋" w:hAnsi="仿宋" w:eastAsia="仿宋" w:cs="仿宋"/>
          <w:bCs/>
          <w:color w:val="auto"/>
          <w:sz w:val="24"/>
          <w:szCs w:val="24"/>
          <w:highlight w:val="none"/>
        </w:rPr>
        <w:t>进度、工程量及安全情况;</w:t>
      </w:r>
    </w:p>
    <w:p w14:paraId="7A76C97C">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rPr>
        <w:t>）完成甲方交办的与工程范围内有关的其它临时性工作。</w:t>
      </w:r>
    </w:p>
    <w:p w14:paraId="3F33CD01">
      <w:pPr>
        <w:spacing w:line="500" w:lineRule="exact"/>
        <w:rPr>
          <w:rFonts w:hint="eastAsia" w:ascii="仿宋" w:hAnsi="仿宋" w:eastAsia="仿宋" w:cs="仿宋"/>
          <w:b/>
          <w:color w:val="auto"/>
          <w:sz w:val="24"/>
          <w:szCs w:val="24"/>
          <w:highlight w:val="none"/>
        </w:rPr>
      </w:pPr>
      <w:r>
        <w:rPr>
          <w:rFonts w:hint="eastAsia" w:ascii="仿宋" w:hAnsi="仿宋" w:eastAsia="仿宋" w:cs="仿宋"/>
          <w:b/>
          <w:bCs/>
          <w:color w:val="auto"/>
          <w:kern w:val="0"/>
          <w:sz w:val="24"/>
          <w:szCs w:val="24"/>
          <w:highlight w:val="none"/>
        </w:rPr>
        <w:t xml:space="preserve">第十条  </w:t>
      </w:r>
      <w:r>
        <w:rPr>
          <w:rFonts w:hint="eastAsia" w:ascii="仿宋" w:hAnsi="仿宋" w:eastAsia="仿宋" w:cs="仿宋"/>
          <w:b/>
          <w:color w:val="auto"/>
          <w:sz w:val="24"/>
          <w:szCs w:val="24"/>
          <w:highlight w:val="none"/>
        </w:rPr>
        <w:t>违约责任</w:t>
      </w:r>
    </w:p>
    <w:p w14:paraId="24E211CC">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乙方未能按时竣工的，每延期一日应按结算总价款的3‰／天向甲方支付违约金（甲方有权从未支付款项中扣除）；无故延期15日以上视为根本性违约，甲方有权解除本合同，乙方除应全额退还甲方已支付的工程款外，还应向甲方支付违约金。</w:t>
      </w:r>
    </w:p>
    <w:p w14:paraId="10E64B47">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2、工程出现质量问题或造成不良影响视为乙方严重违约，视情节轻重乙方应按工程款的10%-30%向甲方支付违约金（甲方有权从未支付款项中扣除），此外应赔偿因此给甲方造成的损失。</w:t>
      </w:r>
    </w:p>
    <w:p w14:paraId="4A29574C">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3、乙方擅自解除或终止本合同的，乙方应按合同暂定总价的20%向甲方支付违约金。</w:t>
      </w:r>
    </w:p>
    <w:p w14:paraId="0DF9E7D6">
      <w:pPr>
        <w:spacing w:line="500" w:lineRule="exact"/>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第十一条  争议解决</w:t>
      </w:r>
    </w:p>
    <w:p w14:paraId="2FF3B96F">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双方本着友好合作的态度,对合同履行过程中发生的</w:t>
      </w:r>
      <w:r>
        <w:rPr>
          <w:rFonts w:hint="eastAsia" w:ascii="仿宋" w:hAnsi="仿宋" w:eastAsia="仿宋" w:cs="仿宋"/>
          <w:bCs/>
          <w:color w:val="auto"/>
          <w:sz w:val="24"/>
          <w:szCs w:val="24"/>
          <w:highlight w:val="none"/>
        </w:rPr>
        <w:fldChar w:fldCharType="begin"/>
      </w:r>
      <w:r>
        <w:rPr>
          <w:rFonts w:hint="eastAsia" w:ascii="仿宋" w:hAnsi="仿宋" w:eastAsia="仿宋" w:cs="仿宋"/>
          <w:bCs/>
          <w:color w:val="auto"/>
          <w:sz w:val="24"/>
          <w:szCs w:val="24"/>
          <w:highlight w:val="none"/>
        </w:rPr>
        <w:instrText xml:space="preserve"> HYPERLINK "http://set2.mail.qq.com/cgi-bin/mail_spam?action=check_link&amp;spam=0&amp;url=http%3A%2F%2Fbaike%2Ebaidu%2Ecom%2Fview%2F322875%2Ehtm" </w:instrText>
      </w:r>
      <w:r>
        <w:rPr>
          <w:rFonts w:hint="eastAsia" w:ascii="仿宋" w:hAnsi="仿宋" w:eastAsia="仿宋" w:cs="仿宋"/>
          <w:bCs/>
          <w:color w:val="auto"/>
          <w:sz w:val="24"/>
          <w:szCs w:val="24"/>
          <w:highlight w:val="none"/>
        </w:rPr>
        <w:fldChar w:fldCharType="separate"/>
      </w:r>
      <w:r>
        <w:rPr>
          <w:rFonts w:hint="eastAsia" w:ascii="仿宋" w:hAnsi="仿宋" w:eastAsia="仿宋" w:cs="仿宋"/>
          <w:bCs/>
          <w:color w:val="auto"/>
          <w:sz w:val="24"/>
          <w:szCs w:val="24"/>
          <w:highlight w:val="none"/>
        </w:rPr>
        <w:t>纠纷</w:t>
      </w:r>
      <w:r>
        <w:rPr>
          <w:rFonts w:hint="eastAsia" w:ascii="仿宋" w:hAnsi="仿宋" w:eastAsia="仿宋" w:cs="仿宋"/>
          <w:bCs/>
          <w:color w:val="auto"/>
          <w:sz w:val="24"/>
          <w:szCs w:val="24"/>
          <w:highlight w:val="none"/>
        </w:rPr>
        <w:fldChar w:fldCharType="end"/>
      </w:r>
      <w:r>
        <w:rPr>
          <w:rFonts w:hint="eastAsia" w:ascii="仿宋" w:hAnsi="仿宋" w:eastAsia="仿宋" w:cs="仿宋"/>
          <w:bCs/>
          <w:color w:val="auto"/>
          <w:sz w:val="24"/>
          <w:szCs w:val="24"/>
          <w:highlight w:val="none"/>
        </w:rPr>
        <w:t>应及时协商解决,协商不成，向甲方所在地人民法院诉讼解决。</w:t>
      </w:r>
    </w:p>
    <w:p w14:paraId="6C009D7E">
      <w:pPr>
        <w:spacing w:line="500" w:lineRule="exact"/>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 xml:space="preserve">第十二条  </w:t>
      </w:r>
      <w:r>
        <w:rPr>
          <w:rFonts w:hint="eastAsia" w:ascii="仿宋" w:hAnsi="仿宋" w:eastAsia="仿宋" w:cs="仿宋"/>
          <w:b/>
          <w:bCs/>
          <w:color w:val="auto"/>
          <w:kern w:val="0"/>
          <w:sz w:val="24"/>
          <w:szCs w:val="24"/>
          <w:highlight w:val="none"/>
        </w:rPr>
        <w:fldChar w:fldCharType="begin"/>
      </w:r>
      <w:r>
        <w:rPr>
          <w:rFonts w:hint="eastAsia" w:ascii="仿宋" w:hAnsi="仿宋" w:eastAsia="仿宋" w:cs="仿宋"/>
          <w:b/>
          <w:bCs/>
          <w:color w:val="auto"/>
          <w:kern w:val="0"/>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color w:val="auto"/>
          <w:kern w:val="0"/>
          <w:sz w:val="24"/>
          <w:szCs w:val="24"/>
          <w:highlight w:val="none"/>
        </w:rPr>
        <w:fldChar w:fldCharType="separate"/>
      </w:r>
      <w:r>
        <w:rPr>
          <w:rFonts w:hint="eastAsia" w:ascii="仿宋" w:hAnsi="仿宋" w:eastAsia="仿宋" w:cs="仿宋"/>
          <w:b/>
          <w:bCs/>
          <w:color w:val="auto"/>
          <w:kern w:val="0"/>
          <w:sz w:val="24"/>
          <w:szCs w:val="24"/>
          <w:highlight w:val="none"/>
        </w:rPr>
        <w:t>不可抗力</w:t>
      </w:r>
      <w:r>
        <w:rPr>
          <w:rFonts w:hint="eastAsia" w:ascii="仿宋" w:hAnsi="仿宋" w:eastAsia="仿宋" w:cs="仿宋"/>
          <w:b/>
          <w:bCs/>
          <w:color w:val="auto"/>
          <w:kern w:val="0"/>
          <w:sz w:val="24"/>
          <w:szCs w:val="24"/>
          <w:highlight w:val="none"/>
        </w:rPr>
        <w:fldChar w:fldCharType="end"/>
      </w:r>
    </w:p>
    <w:p w14:paraId="1F8E00B2">
      <w:pPr>
        <w:widowControl/>
        <w:spacing w:line="360" w:lineRule="auto"/>
        <w:ind w:right="-197" w:rightChars="-94" w:firstLine="360" w:firstLineChars="150"/>
        <w:jc w:val="left"/>
        <w:rPr>
          <w:rFonts w:hint="eastAsia" w:ascii="仿宋" w:hAnsi="仿宋" w:eastAsia="仿宋" w:cs="仿宋"/>
          <w:bCs/>
          <w:color w:val="auto"/>
          <w:sz w:val="24"/>
          <w:szCs w:val="24"/>
          <w:highlight w:val="none"/>
        </w:rPr>
      </w:pPr>
      <w:r>
        <w:rPr>
          <w:rFonts w:hint="eastAsia" w:ascii="仿宋" w:hAnsi="仿宋" w:eastAsia="仿宋" w:cs="仿宋"/>
          <w:color w:val="auto"/>
          <w:kern w:val="0"/>
          <w:sz w:val="24"/>
          <w:szCs w:val="24"/>
          <w:highlight w:val="none"/>
        </w:rPr>
        <w:t>甲乙双方任何一方由于</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不可抗力</w:t>
      </w:r>
      <w:r>
        <w:rPr>
          <w:rFonts w:hint="eastAsia" w:ascii="仿宋" w:hAnsi="仿宋" w:eastAsia="仿宋" w:cs="仿宋"/>
          <w:color w:val="auto"/>
          <w:kern w:val="0"/>
          <w:sz w:val="24"/>
          <w:szCs w:val="24"/>
          <w:highlight w:val="none"/>
        </w:rPr>
        <w:fldChar w:fldCharType="end"/>
      </w:r>
      <w:r>
        <w:rPr>
          <w:rFonts w:hint="eastAsia" w:ascii="仿宋" w:hAnsi="仿宋" w:eastAsia="仿宋" w:cs="仿宋"/>
          <w:color w:val="auto"/>
          <w:kern w:val="0"/>
          <w:sz w:val="24"/>
          <w:szCs w:val="24"/>
          <w:highlight w:val="none"/>
        </w:rPr>
        <w:t>原因不能履行合同时，应及时向对</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方通</w:t>
      </w:r>
      <w:r>
        <w:rPr>
          <w:rFonts w:hint="eastAsia" w:ascii="仿宋" w:hAnsi="仿宋" w:eastAsia="仿宋" w:cs="仿宋"/>
          <w:color w:val="auto"/>
          <w:kern w:val="0"/>
          <w:sz w:val="24"/>
          <w:szCs w:val="24"/>
          <w:highlight w:val="none"/>
        </w:rPr>
        <w:fldChar w:fldCharType="end"/>
      </w:r>
      <w:r>
        <w:rPr>
          <w:rFonts w:hint="eastAsia" w:ascii="仿宋" w:hAnsi="仿宋" w:eastAsia="仿宋" w:cs="仿宋"/>
          <w:color w:val="auto"/>
          <w:kern w:val="0"/>
          <w:sz w:val="24"/>
          <w:szCs w:val="24"/>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违约责任</w:t>
      </w:r>
      <w:r>
        <w:rPr>
          <w:rFonts w:hint="eastAsia" w:ascii="仿宋" w:hAnsi="仿宋" w:eastAsia="仿宋" w:cs="仿宋"/>
          <w:color w:val="auto"/>
          <w:kern w:val="0"/>
          <w:sz w:val="24"/>
          <w:szCs w:val="24"/>
          <w:highlight w:val="none"/>
        </w:rPr>
        <w:fldChar w:fldCharType="end"/>
      </w:r>
      <w:r>
        <w:rPr>
          <w:rFonts w:hint="eastAsia" w:ascii="仿宋" w:hAnsi="仿宋" w:eastAsia="仿宋" w:cs="仿宋"/>
          <w:color w:val="auto"/>
          <w:kern w:val="0"/>
          <w:sz w:val="24"/>
          <w:szCs w:val="24"/>
          <w:highlight w:val="none"/>
        </w:rPr>
        <w:t>。</w:t>
      </w:r>
    </w:p>
    <w:p w14:paraId="2E02D9B6">
      <w:pPr>
        <w:spacing w:line="50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第十三条　监督和管理</w:t>
      </w:r>
    </w:p>
    <w:p w14:paraId="2DEE985E">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0C33BF14">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2、甲乙双方均应自觉配合有关监督管理部门对合同履行情况的监督检查，如实反映情况，提供有关资料；否则，将对有关单位、当事人按照有关规定予以处罚。</w:t>
      </w:r>
    </w:p>
    <w:p w14:paraId="4D1B0408">
      <w:pPr>
        <w:spacing w:line="50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第十四条  </w:t>
      </w:r>
      <w:r>
        <w:rPr>
          <w:rFonts w:hint="eastAsia" w:ascii="仿宋" w:hAnsi="仿宋" w:eastAsia="仿宋" w:cs="仿宋"/>
          <w:b/>
          <w:color w:val="auto"/>
          <w:sz w:val="24"/>
          <w:szCs w:val="24"/>
          <w:highlight w:val="none"/>
        </w:rPr>
        <w:fldChar w:fldCharType="begin"/>
      </w:r>
      <w:r>
        <w:rPr>
          <w:rFonts w:hint="eastAsia" w:ascii="仿宋" w:hAnsi="仿宋" w:eastAsia="仿宋" w:cs="仿宋"/>
          <w:b/>
          <w:color w:val="auto"/>
          <w:sz w:val="24"/>
          <w:szCs w:val="24"/>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b/>
          <w:color w:val="auto"/>
          <w:sz w:val="24"/>
          <w:szCs w:val="24"/>
          <w:highlight w:val="none"/>
        </w:rPr>
        <w:fldChar w:fldCharType="separate"/>
      </w:r>
      <w:r>
        <w:rPr>
          <w:rFonts w:hint="eastAsia" w:ascii="仿宋" w:hAnsi="仿宋" w:eastAsia="仿宋" w:cs="仿宋"/>
          <w:b/>
          <w:color w:val="auto"/>
          <w:sz w:val="24"/>
          <w:szCs w:val="24"/>
          <w:highlight w:val="none"/>
        </w:rPr>
        <w:t>无效合同</w:t>
      </w:r>
      <w:r>
        <w:rPr>
          <w:rFonts w:hint="eastAsia" w:ascii="仿宋" w:hAnsi="仿宋" w:eastAsia="仿宋" w:cs="仿宋"/>
          <w:b/>
          <w:color w:val="auto"/>
          <w:sz w:val="24"/>
          <w:szCs w:val="24"/>
          <w:highlight w:val="none"/>
        </w:rPr>
        <w:fldChar w:fldCharType="end"/>
      </w:r>
    </w:p>
    <w:p w14:paraId="4F26DE98">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甲乙双方如因违反政府采购法及相关法律法规的规定，被宣告</w:t>
      </w:r>
      <w:r>
        <w:rPr>
          <w:rFonts w:hint="eastAsia" w:ascii="仿宋" w:hAnsi="仿宋" w:eastAsia="仿宋" w:cs="仿宋"/>
          <w:bCs/>
          <w:color w:val="auto"/>
          <w:sz w:val="24"/>
          <w:szCs w:val="24"/>
          <w:highlight w:val="none"/>
        </w:rPr>
        <w:fldChar w:fldCharType="begin"/>
      </w:r>
      <w:r>
        <w:rPr>
          <w:rFonts w:hint="eastAsia" w:ascii="仿宋" w:hAnsi="仿宋" w:eastAsia="仿宋" w:cs="仿宋"/>
          <w:bCs/>
          <w:color w:val="auto"/>
          <w:sz w:val="24"/>
          <w:szCs w:val="24"/>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bCs/>
          <w:color w:val="auto"/>
          <w:sz w:val="24"/>
          <w:szCs w:val="24"/>
          <w:highlight w:val="none"/>
        </w:rPr>
        <w:fldChar w:fldCharType="separate"/>
      </w:r>
      <w:r>
        <w:rPr>
          <w:rFonts w:hint="eastAsia" w:ascii="仿宋" w:hAnsi="仿宋" w:eastAsia="仿宋" w:cs="仿宋"/>
          <w:bCs/>
          <w:color w:val="auto"/>
          <w:sz w:val="24"/>
          <w:szCs w:val="24"/>
          <w:highlight w:val="none"/>
        </w:rPr>
        <w:t>合同无效</w:t>
      </w:r>
      <w:r>
        <w:rPr>
          <w:rFonts w:hint="eastAsia" w:ascii="仿宋" w:hAnsi="仿宋" w:eastAsia="仿宋" w:cs="仿宋"/>
          <w:bCs/>
          <w:color w:val="auto"/>
          <w:sz w:val="24"/>
          <w:szCs w:val="24"/>
          <w:highlight w:val="none"/>
        </w:rPr>
        <w:fldChar w:fldCharType="end"/>
      </w:r>
      <w:r>
        <w:rPr>
          <w:rFonts w:hint="eastAsia" w:ascii="仿宋" w:hAnsi="仿宋" w:eastAsia="仿宋" w:cs="仿宋"/>
          <w:bCs/>
          <w:color w:val="auto"/>
          <w:sz w:val="24"/>
          <w:szCs w:val="24"/>
          <w:highlight w:val="none"/>
        </w:rPr>
        <w:t>的，一切责任概由过错方自行承担。</w:t>
      </w:r>
    </w:p>
    <w:p w14:paraId="1FDD6001">
      <w:pPr>
        <w:spacing w:line="50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第十五条  信用融资（如有）</w:t>
      </w:r>
    </w:p>
    <w:p w14:paraId="0AA51424">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银行名称：</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，收款账号</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43F7EF91">
      <w:pPr>
        <w:spacing w:line="50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第十六条  附  则</w:t>
      </w:r>
    </w:p>
    <w:p w14:paraId="09466CAB">
      <w:pPr>
        <w:spacing w:line="500" w:lineRule="exac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一、甲方代表为___________，乙方代表为___________。</w:t>
      </w:r>
    </w:p>
    <w:p w14:paraId="5C66AB38">
      <w:pPr>
        <w:spacing w:line="500" w:lineRule="exact"/>
        <w:rPr>
          <w:rFonts w:hint="eastAsia" w:ascii="仿宋" w:hAnsi="仿宋" w:eastAsia="仿宋" w:cs="仿宋"/>
          <w:bCs/>
          <w:color w:val="auto"/>
          <w:sz w:val="24"/>
          <w:szCs w:val="24"/>
          <w:highlight w:val="none"/>
          <w:lang w:eastAsia="zh-CN" w:bidi="ar"/>
        </w:rPr>
      </w:pPr>
      <w:r>
        <w:rPr>
          <w:rFonts w:hint="eastAsia" w:ascii="仿宋" w:hAnsi="仿宋" w:eastAsia="仿宋" w:cs="仿宋"/>
          <w:bCs/>
          <w:color w:val="auto"/>
          <w:sz w:val="24"/>
          <w:szCs w:val="24"/>
          <w:highlight w:val="none"/>
        </w:rPr>
        <w:t>二、</w:t>
      </w:r>
      <w:r>
        <w:rPr>
          <w:rFonts w:hint="eastAsia" w:ascii="仿宋" w:hAnsi="仿宋" w:eastAsia="仿宋" w:cs="仿宋"/>
          <w:bCs/>
          <w:color w:val="auto"/>
          <w:sz w:val="24"/>
          <w:szCs w:val="24"/>
          <w:highlight w:val="none"/>
          <w:lang w:bidi="ar"/>
        </w:rPr>
        <w:t>本合同一式陆份,甲乙双方各执贰份,政府采购监督管理机构一份,政府采购代理机构一份</w:t>
      </w:r>
      <w:r>
        <w:rPr>
          <w:rFonts w:hint="eastAsia" w:ascii="仿宋" w:hAnsi="仿宋" w:eastAsia="仿宋" w:cs="仿宋"/>
          <w:bCs/>
          <w:color w:val="auto"/>
          <w:sz w:val="24"/>
          <w:szCs w:val="24"/>
          <w:highlight w:val="none"/>
          <w:lang w:eastAsia="zh-CN" w:bidi="ar"/>
        </w:rPr>
        <w:t>。</w:t>
      </w:r>
    </w:p>
    <w:p w14:paraId="0E6E06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采购人：____________________（公章）供应商：____________（公章）</w:t>
      </w:r>
    </w:p>
    <w:p w14:paraId="62AC66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地  址：</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地  址：____________________</w:t>
      </w:r>
    </w:p>
    <w:p w14:paraId="424B481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邮政编码：</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邮政编码：__________________</w:t>
      </w:r>
    </w:p>
    <w:p w14:paraId="7111DE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法定代表人：</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法定代表人：________________</w:t>
      </w:r>
    </w:p>
    <w:p w14:paraId="42A4DC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委托代理人：</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委托代理人：________________</w:t>
      </w:r>
    </w:p>
    <w:p w14:paraId="66C95F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电    话：</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电    话：__________________</w:t>
      </w:r>
    </w:p>
    <w:p w14:paraId="750871A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传    真：</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传    真：__________________</w:t>
      </w:r>
    </w:p>
    <w:p w14:paraId="635E1F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开户银行：</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开户银行：__________________</w:t>
      </w:r>
    </w:p>
    <w:p w14:paraId="146F9CA6">
      <w:r>
        <w:rPr>
          <w:rFonts w:hint="eastAsia" w:ascii="仿宋" w:hAnsi="仿宋" w:eastAsia="仿宋" w:cs="仿宋"/>
          <w:bCs/>
          <w:color w:val="auto"/>
          <w:sz w:val="24"/>
          <w:szCs w:val="24"/>
          <w:highlight w:val="none"/>
        </w:rPr>
        <w:t>帐    号：</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帐    号：__________________</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6F560E"/>
    <w:rsid w:val="5A6F5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hAns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2026-08-10T10:33:00Z</dcterms:created>
  <dc:creator>aaa</dc:creator>
  <cp:lastModifiedBy>aaa</cp:lastModifiedBy>
  <dcterms:modified xsi:type="dcterms:W3CDTF">2026-08-10T10:33:31Z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A18C960641C64A79B74541A1D9E1436A_11</vt:lpwstr>
  </property>
  <property fmtid="{D5CDD505-2E9C-101B-9397-08002B2CF9AE}" pid="4" name="KSOTemplateDocerSaveRecord">
    <vt:lpwstr>eyJoZGlkIjoiOGQxZDQyYjEzNTMyMmM2MjRlM2NjM2ExN2I0YjhmNzciLCJ1c2VySWQiOiI0MTA1MzM4NDYifQ==</vt:lpwstr>
  </property>
</Properties>
</file>