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/>
        <w:spacing w:before="156" w:beforeLines="50" w:after="312" w:afterLines="100"/>
        <w:jc w:val="center"/>
        <w:textAlignment w:val="auto"/>
        <w:rPr>
          <w:rFonts w:hint="eastAsia" w:ascii="宋体" w:hAnsi="宋体" w:eastAsia="宋体" w:cs="Times New Roman"/>
          <w:b/>
          <w:snapToGrid/>
          <w:kern w:val="2"/>
          <w:sz w:val="44"/>
          <w:szCs w:val="44"/>
          <w:lang w:eastAsia="zh-CN"/>
        </w:rPr>
      </w:pPr>
      <w:r>
        <w:rPr>
          <w:rFonts w:hint="eastAsia" w:ascii="宋体" w:hAnsi="宋体" w:eastAsia="宋体" w:cs="Times New Roman"/>
          <w:b/>
          <w:snapToGrid/>
          <w:kern w:val="2"/>
          <w:sz w:val="44"/>
          <w:szCs w:val="44"/>
          <w:lang w:eastAsia="zh-CN"/>
        </w:rPr>
        <w:t>天然气购销合同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/>
        <w:jc w:val="both"/>
        <w:rPr>
          <w:rFonts w:hint="default" w:ascii="仿宋_GB2312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购买方(甲方):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/>
        <w:jc w:val="both"/>
        <w:rPr>
          <w:rFonts w:hint="eastAsia" w:ascii="仿宋_GB2312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法定代表人: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联系方式: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/>
        <w:jc w:val="both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销售方(乙方):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/>
        <w:jc w:val="both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法定代表人: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/>
        <w:jc w:val="both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联系方式: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为了明确天然气购销双方的权利和义务,根据《中华人民共和国民法典》、《城镇燃气管理条例》、《西安市燃气管理条例》等法律、法规和规章,经甲乙双方在平等、自愿基础上协商一致,特签订本合同,以便共同遵守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第一条、用气地址、种类、性质和用气量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1.用气地址为：西安市长安区长兴北路94号。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2.用气种类为:天然气。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3.用气性质为:非居民用户。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  <w:lang w:eastAsia="zh-CN"/>
        </w:rPr>
        <w:t>.质量标准：产品质量、安全标准按国家标准执行。</w:t>
      </w:r>
    </w:p>
    <w:p>
      <w:pPr>
        <w:pStyle w:val="5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after="0" w:line="540" w:lineRule="exact"/>
        <w:ind w:left="141" w:leftChars="67" w:right="84" w:rightChars="40" w:firstLine="560" w:firstLineChars="200"/>
        <w:jc w:val="both"/>
        <w:rPr>
          <w:rFonts w:hint="eastAsia" w:ascii="仿宋_GB2312" w:hAnsi="Arial" w:eastAsia="仿宋_GB2312" w:cs="Arial"/>
          <w:snapToGrid w:val="0"/>
          <w:color w:val="000000"/>
          <w:kern w:val="0"/>
          <w:sz w:val="28"/>
          <w:szCs w:val="28"/>
          <w14:ligatures w14:val="none"/>
        </w:rPr>
      </w:pPr>
      <w:r>
        <w:rPr>
          <w:rFonts w:hint="eastAsia" w:ascii="仿宋_GB2312" w:hAnsi="Arial" w:eastAsia="仿宋_GB2312" w:cs="Arial"/>
          <w:snapToGrid w:val="0"/>
          <w:color w:val="000000"/>
          <w:kern w:val="0"/>
          <w:sz w:val="28"/>
          <w:szCs w:val="28"/>
          <w:lang w:val="en-US" w:eastAsia="zh-CN"/>
          <w14:ligatures w14:val="none"/>
        </w:rPr>
        <w:t>5</w:t>
      </w:r>
      <w:r>
        <w:rPr>
          <w:rFonts w:hint="eastAsia" w:ascii="仿宋_GB2312" w:hAnsi="Arial" w:eastAsia="仿宋_GB2312" w:cs="Arial"/>
          <w:snapToGrid w:val="0"/>
          <w:color w:val="000000"/>
          <w:kern w:val="0"/>
          <w:sz w:val="28"/>
          <w:szCs w:val="28"/>
          <w14:ligatures w14:val="none"/>
        </w:rPr>
        <w:t>、产品验收方式：由甲方安排人员对乙方提供的货物在收货时现场查验气质检测报告，并签字确认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  <w:lang w:eastAsia="zh-CN"/>
        </w:rPr>
        <w:t>、异议提出：甲方验收产品不合格后，向乙方做出书面异议，乙方应在收到异议三个工作日内复检或提供替代气源。</w:t>
      </w:r>
    </w:p>
    <w:p>
      <w:pPr>
        <w:pStyle w:val="39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第二条、用气价格及计量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57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color w:val="auto"/>
          <w:sz w:val="28"/>
          <w:szCs w:val="28"/>
        </w:rPr>
      </w:pPr>
      <w:bookmarkStart w:id="0" w:name="bookmark11"/>
      <w:r>
        <w:rPr>
          <w:rFonts w:hint="eastAsia" w:ascii="仿宋_GB2312" w:hAnsi="Arial" w:eastAsia="仿宋_GB2312" w:cs="Arial"/>
          <w:color w:val="auto"/>
          <w:sz w:val="28"/>
          <w:szCs w:val="28"/>
        </w:rPr>
        <w:t>1</w:t>
      </w:r>
      <w:bookmarkEnd w:id="0"/>
      <w:r>
        <w:rPr>
          <w:rFonts w:hint="eastAsia" w:ascii="仿宋_GB2312" w:eastAsia="仿宋_GB2312"/>
          <w:color w:val="auto"/>
          <w:sz w:val="28"/>
          <w:szCs w:val="28"/>
        </w:rPr>
        <w:t>.乙方根据甲方的用气性质和用量,按照政府物价部门公布的燃气定价规则执行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。合同期内，如遇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价调整，以政府相关文件为准进行调整。</w:t>
      </w:r>
      <w:bookmarkStart w:id="9" w:name="_GoBack"/>
      <w:bookmarkEnd w:id="9"/>
    </w:p>
    <w:p>
      <w:pPr>
        <w:pStyle w:val="39"/>
        <w:keepNext w:val="0"/>
        <w:keepLines w:val="0"/>
        <w:pageBreakBefore w:val="0"/>
        <w:widowControl w:val="0"/>
        <w:tabs>
          <w:tab w:val="left" w:pos="357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Arial" w:eastAsia="仿宋_GB2312" w:cs="Arial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28"/>
          <w:szCs w:val="28"/>
        </w:rPr>
        <w:t>.甲乙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双方应采用经法定计量检定机构检定合格的燃气计量表。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57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.该合同的总价款为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（含税）。</w:t>
      </w:r>
    </w:p>
    <w:p>
      <w:pPr>
        <w:pStyle w:val="39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第三条、气费结算方式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63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</w:rPr>
      </w:pPr>
      <w:bookmarkStart w:id="1" w:name="bookmark13"/>
      <w:r>
        <w:rPr>
          <w:rFonts w:hint="eastAsia" w:ascii="仿宋_GB2312" w:hAnsi="Arial" w:eastAsia="仿宋_GB2312" w:cs="Arial"/>
          <w:color w:val="000000"/>
          <w:sz w:val="28"/>
          <w:szCs w:val="28"/>
        </w:rPr>
        <w:t>1</w:t>
      </w:r>
      <w:bookmarkEnd w:id="1"/>
      <w:r>
        <w:rPr>
          <w:rFonts w:hint="eastAsia" w:ascii="仿宋_GB2312" w:eastAsia="仿宋_GB2312"/>
          <w:color w:val="000000"/>
          <w:sz w:val="28"/>
          <w:szCs w:val="28"/>
        </w:rPr>
        <w:t>.甲乙双方采用</w:t>
      </w:r>
      <w:r>
        <w:rPr>
          <w:rFonts w:hint="eastAsia" w:ascii="仿宋_GB2312" w:hAnsi="Arial" w:eastAsia="仿宋_GB2312" w:cs="Arial"/>
          <w:color w:val="000000"/>
          <w:sz w:val="28"/>
          <w:szCs w:val="28"/>
        </w:rPr>
        <w:t>IC</w:t>
      </w:r>
      <w:r>
        <w:rPr>
          <w:rFonts w:hint="eastAsia" w:ascii="仿宋_GB2312" w:eastAsia="仿宋_GB2312"/>
          <w:color w:val="000000"/>
          <w:sz w:val="28"/>
          <w:szCs w:val="28"/>
        </w:rPr>
        <w:t>卡充值预存气费,按实际使用气量结算的结算方式。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66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color w:val="000000"/>
          <w:sz w:val="28"/>
          <w:szCs w:val="28"/>
        </w:rPr>
      </w:pPr>
      <w:bookmarkStart w:id="2" w:name="bookmark14"/>
      <w:r>
        <w:rPr>
          <w:rFonts w:hint="eastAsia" w:ascii="仿宋_GB2312" w:hAnsi="Arial" w:eastAsia="仿宋_GB2312" w:cs="Arial"/>
          <w:color w:val="000000"/>
          <w:sz w:val="28"/>
          <w:szCs w:val="28"/>
        </w:rPr>
        <w:t>2</w:t>
      </w:r>
      <w:bookmarkEnd w:id="2"/>
      <w:r>
        <w:rPr>
          <w:rFonts w:hint="eastAsia" w:ascii="仿宋_GB2312" w:eastAsia="仿宋_GB2312"/>
          <w:color w:val="000000"/>
          <w:sz w:val="28"/>
          <w:szCs w:val="28"/>
        </w:rPr>
        <w:t>.合同签订后</w:t>
      </w:r>
      <w:r>
        <w:rPr>
          <w:rFonts w:hint="eastAsia" w:ascii="仿宋_GB2312" w:hAnsi="Arial" w:eastAsia="仿宋_GB2312" w:cs="Arial"/>
          <w:color w:val="000000"/>
          <w:sz w:val="28"/>
          <w:szCs w:val="28"/>
        </w:rPr>
        <w:t>20</w:t>
      </w:r>
      <w:r>
        <w:rPr>
          <w:rFonts w:hint="eastAsia" w:ascii="仿宋_GB2312" w:eastAsia="仿宋_GB2312"/>
          <w:color w:val="000000"/>
          <w:sz w:val="28"/>
          <w:szCs w:val="28"/>
        </w:rPr>
        <w:t>日内甲方支付全部价款,乙方给甲方持有</w:t>
      </w:r>
      <w:r>
        <w:rPr>
          <w:rFonts w:hint="eastAsia" w:ascii="仿宋_GB2312" w:hAnsi="Arial" w:eastAsia="仿宋_GB2312" w:cs="Arial"/>
          <w:color w:val="000000"/>
          <w:sz w:val="28"/>
          <w:szCs w:val="28"/>
        </w:rPr>
        <w:t>IC</w:t>
      </w:r>
      <w:r>
        <w:rPr>
          <w:rFonts w:hint="eastAsia" w:ascii="仿宋_GB2312" w:eastAsia="仿宋_GB2312"/>
          <w:color w:val="000000"/>
          <w:sz w:val="28"/>
          <w:szCs w:val="28"/>
        </w:rPr>
        <w:t>卡充值合同约定金额,并持续为甲方供给燃气，满足甲方用气需求。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66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3.甲方通过银行转账的方式向乙方支付价款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66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乙方账户信息：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66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开户行：</w:t>
      </w:r>
      <w:r>
        <w:rPr>
          <w:rFonts w:hint="eastAsia" w:ascii="仿宋_GB2312" w:eastAsia="仿宋_GB2312"/>
          <w:color w:val="000000"/>
          <w:sz w:val="28"/>
          <w:szCs w:val="28"/>
          <w:u w:val="single"/>
          <w:lang w:val="en-US" w:eastAsia="zh-CN"/>
        </w:rPr>
        <w:t xml:space="preserve">                          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66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default" w:ascii="仿宋_GB2312" w:eastAsia="仿宋_GB2312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账号：</w:t>
      </w:r>
      <w:r>
        <w:rPr>
          <w:rFonts w:hint="eastAsia" w:ascii="仿宋_GB2312" w:eastAsia="仿宋_GB2312"/>
          <w:color w:val="000000"/>
          <w:sz w:val="28"/>
          <w:szCs w:val="28"/>
          <w:u w:val="single"/>
          <w:lang w:val="en-US" w:eastAsia="zh-CN"/>
        </w:rPr>
        <w:t xml:space="preserve">                            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66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default" w:ascii="仿宋_GB2312" w:eastAsia="仿宋_GB2312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名称：</w:t>
      </w:r>
      <w:r>
        <w:rPr>
          <w:rFonts w:hint="eastAsia" w:ascii="仿宋_GB2312" w:eastAsia="仿宋_GB2312"/>
          <w:color w:val="000000"/>
          <w:sz w:val="28"/>
          <w:szCs w:val="28"/>
          <w:u w:val="single"/>
          <w:lang w:val="en-US" w:eastAsia="zh-CN"/>
        </w:rPr>
        <w:t xml:space="preserve">                            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66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乙方应核对以上付款账户信息准确无误，否则因此而造成的一切损失都由乙方承担。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66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4、甲方付款前，乙方须提供等额的增值税专用发票，否则甲方有权暂缓付款且不构成违约。</w:t>
      </w:r>
    </w:p>
    <w:p>
      <w:pPr>
        <w:pStyle w:val="39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第四条、违约责任及合同解除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70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color w:val="000000"/>
          <w:sz w:val="28"/>
          <w:szCs w:val="28"/>
        </w:rPr>
      </w:pPr>
      <w:bookmarkStart w:id="3" w:name="bookmark15"/>
      <w:r>
        <w:rPr>
          <w:rFonts w:hint="eastAsia" w:ascii="仿宋_GB2312" w:hAnsi="Arial" w:eastAsia="仿宋_GB2312" w:cs="Arial"/>
          <w:color w:val="000000"/>
          <w:sz w:val="28"/>
          <w:szCs w:val="28"/>
        </w:rPr>
        <w:t>1</w:t>
      </w:r>
      <w:bookmarkEnd w:id="3"/>
      <w:r>
        <w:rPr>
          <w:rFonts w:hint="eastAsia" w:ascii="仿宋_GB2312" w:eastAsia="仿宋_GB2312"/>
          <w:color w:val="000000"/>
          <w:sz w:val="28"/>
          <w:szCs w:val="28"/>
        </w:rPr>
        <w:t>.乙方未按甲方要求时间进行供气,每逾期一日,需按照合同总金额的千分之五承担违约责任。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70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2、乙方供应不合格天然气，该次天然气免费外，还应按当次气款的200%作为赔偿。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379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</w:rPr>
      </w:pPr>
      <w:bookmarkStart w:id="4" w:name="bookmark16"/>
      <w:r>
        <w:rPr>
          <w:rFonts w:hint="eastAsia" w:ascii="仿宋_GB2312" w:hAnsi="Arial" w:eastAsia="仿宋_GB2312" w:cs="Arial"/>
          <w:color w:val="000000"/>
          <w:sz w:val="28"/>
          <w:szCs w:val="28"/>
        </w:rPr>
        <w:t>3</w:t>
      </w:r>
      <w:bookmarkEnd w:id="4"/>
      <w:r>
        <w:rPr>
          <w:rFonts w:hint="eastAsia" w:ascii="仿宋_GB2312" w:eastAsia="仿宋_GB2312"/>
          <w:color w:val="000000"/>
          <w:sz w:val="28"/>
          <w:szCs w:val="28"/>
        </w:rPr>
        <w:t>.乙方有下列情形之一的,甲方有权解除合同,乙方需在接到甲方发出的合同解除函之日起</w:t>
      </w:r>
      <w:r>
        <w:rPr>
          <w:rFonts w:hint="eastAsia" w:ascii="仿宋_GB2312" w:hAnsi="Arial" w:eastAsia="仿宋_GB2312" w:cs="Arial"/>
          <w:color w:val="000000"/>
          <w:sz w:val="28"/>
          <w:szCs w:val="28"/>
        </w:rPr>
        <w:t>3</w:t>
      </w:r>
      <w:r>
        <w:rPr>
          <w:rFonts w:hint="eastAsia" w:ascii="仿宋_GB2312" w:eastAsia="仿宋_GB2312"/>
          <w:color w:val="000000"/>
          <w:sz w:val="28"/>
          <w:szCs w:val="28"/>
        </w:rPr>
        <w:t>日内退还甲方已缴纳的全部费用,并按照已产生合同总金额的</w:t>
      </w:r>
      <w:r>
        <w:rPr>
          <w:rFonts w:hint="eastAsia" w:ascii="仿宋_GB2312" w:hAnsi="Arial" w:eastAsia="仿宋_GB2312" w:cs="Arial"/>
          <w:color w:val="000000"/>
          <w:sz w:val="28"/>
          <w:szCs w:val="28"/>
        </w:rPr>
        <w:t>30%</w:t>
      </w:r>
      <w:r>
        <w:rPr>
          <w:rFonts w:hint="eastAsia" w:ascii="仿宋_GB2312" w:eastAsia="仿宋_GB2312"/>
          <w:color w:val="000000"/>
          <w:sz w:val="28"/>
          <w:szCs w:val="28"/>
        </w:rPr>
        <w:t>承担违约责任,并赔偿由此给甲方造成的全部损失(包括律师费、诉讼费、因乙方违约导致甲方对第三方违约或侵权所支付的违约金、赔偿金等)。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475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</w:rPr>
      </w:pPr>
      <w:bookmarkStart w:id="5" w:name="bookmark17"/>
      <w:bookmarkEnd w:id="5"/>
      <w:r>
        <w:rPr>
          <w:rFonts w:hint="eastAsia" w:ascii="仿宋_GB2312" w:eastAsia="仿宋_GB2312"/>
          <w:color w:val="000000"/>
          <w:sz w:val="28"/>
          <w:szCs w:val="28"/>
        </w:rPr>
        <w:t>（1）乙方逾期供气超过</w:t>
      </w:r>
      <w:r>
        <w:rPr>
          <w:rFonts w:hint="eastAsia" w:ascii="仿宋_GB2312" w:hAnsi="Arial" w:eastAsia="仿宋_GB2312" w:cs="Arial"/>
          <w:color w:val="000000"/>
          <w:sz w:val="28"/>
          <w:szCs w:val="28"/>
        </w:rPr>
        <w:t>15</w:t>
      </w:r>
      <w:r>
        <w:rPr>
          <w:rFonts w:hint="eastAsia" w:ascii="仿宋_GB2312" w:eastAsia="仿宋_GB2312"/>
          <w:color w:val="000000"/>
          <w:sz w:val="28"/>
          <w:szCs w:val="28"/>
        </w:rPr>
        <w:t>日的;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475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</w:rPr>
      </w:pPr>
      <w:bookmarkStart w:id="6" w:name="bookmark18"/>
      <w:bookmarkEnd w:id="6"/>
      <w:r>
        <w:rPr>
          <w:rFonts w:hint="eastAsia" w:ascii="仿宋_GB2312" w:eastAsia="仿宋_GB2312"/>
          <w:color w:val="000000"/>
          <w:sz w:val="28"/>
          <w:szCs w:val="28"/>
        </w:rPr>
        <w:t>（2）乙方拒绝向甲方供气的;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475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</w:rPr>
      </w:pPr>
      <w:bookmarkStart w:id="7" w:name="bookmark19"/>
      <w:bookmarkEnd w:id="7"/>
      <w:r>
        <w:rPr>
          <w:rFonts w:hint="eastAsia" w:ascii="仿宋_GB2312" w:eastAsia="仿宋_GB2312"/>
          <w:color w:val="000000"/>
          <w:sz w:val="28"/>
          <w:szCs w:val="28"/>
        </w:rPr>
        <w:t>（3）乙方供应天然气质量不合格的;</w:t>
      </w:r>
    </w:p>
    <w:p>
      <w:pPr>
        <w:pStyle w:val="39"/>
        <w:keepNext w:val="0"/>
        <w:keepLines w:val="0"/>
        <w:pageBreakBefore w:val="0"/>
        <w:widowControl w:val="0"/>
        <w:tabs>
          <w:tab w:val="left" w:pos="475"/>
        </w:tabs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</w:rPr>
      </w:pPr>
      <w:bookmarkStart w:id="8" w:name="bookmark20"/>
      <w:bookmarkEnd w:id="8"/>
      <w:r>
        <w:rPr>
          <w:rFonts w:hint="eastAsia" w:ascii="仿宋_GB2312" w:eastAsia="仿宋_GB2312"/>
          <w:color w:val="000000"/>
          <w:sz w:val="28"/>
          <w:szCs w:val="28"/>
        </w:rPr>
        <w:t>（4）因乙方原因造成甲方较大损失的,包括负面舆情影响;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（5）乙方无天然气供应资质、或乙方擅自转委托的;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（6）其他乙方违约,经甲方提醒一次仍未改正的;或法律规定甲方可解除合同的情形。</w:t>
      </w:r>
    </w:p>
    <w:p>
      <w:pPr>
        <w:pStyle w:val="39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第五条、不可抗力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textAlignment w:val="auto"/>
        <w:rPr>
          <w:rFonts w:hint="eastAsia" w:ascii="仿宋_GB2312" w:hAnsi="仿宋" w:eastAsia="仿宋_GB2312" w:cs="仿宋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1.因不可抗力导致本协议不能全部或部分履行，双方互不承担违约责任。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textAlignment w:val="auto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2.前款约定援引不可抗力条款的一方应在不可抗力发生后48小时内通知另一方，最长不超过自不可抗力发生之日起7日内。同时，应采取积极措施避免损失的扩大。因不可抗力的自然原因或政府政策、政令（以正式文件为准）导致不能履行合同义务的，双方友好协商变更或解除合同。</w:t>
      </w:r>
    </w:p>
    <w:p>
      <w:pPr>
        <w:pStyle w:val="39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第六条、纠纷处理方式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未尽事宜双方协调解决,如有纠纷甲乙双方应尽协调解决,协调未果在甲方所在地人民法院诉讼。</w:t>
      </w:r>
    </w:p>
    <w:p>
      <w:pPr>
        <w:pStyle w:val="39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第七条、其他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1.合同一式陆份,甲方执贰份、乙方执肆份,本合同甲、乙各方签字盖章后生效,合同执行完毕后,自动失效。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2.本合同中的通讯地址为甲乙双方互发函件确认能够接收的地址,若有变更应在变更后5个工作日内书面通知对方,否则对方按此地址送达的任何文件在发出3日后即视为送达,通过电子邮件、微信方式送达的,</w:t>
      </w:r>
      <w:r>
        <w:rPr>
          <w:rFonts w:hint="eastAsia" w:ascii="微软雅黑" w:hAnsi="微软雅黑" w:eastAsia="微软雅黑" w:cs="微软雅黑"/>
          <w:sz w:val="28"/>
          <w:szCs w:val="28"/>
        </w:rPr>
        <w:t>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经发出即视为送达。若发生纠纷的</w:t>
      </w:r>
      <w:r>
        <w:rPr>
          <w:rFonts w:hint="eastAsia" w:ascii="仿宋_GB2312" w:eastAsia="仿宋_GB2312"/>
          <w:sz w:val="28"/>
          <w:szCs w:val="28"/>
          <w:lang w:eastAsia="zh-CN"/>
        </w:rPr>
        <w:t>,该地址作为法院或仲裁机构寄发相应法律文件的送达地址,因一方预留地址有误或变更通讯地址而未通知对方的,对方、法院或仲裁机构按原地址发出通知或文件3日后,视为巳送达。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540" w:lineRule="exact"/>
        <w:ind w:left="141" w:leftChars="67" w:right="84" w:rightChars="40" w:firstLine="560" w:firstLineChars="200"/>
        <w:jc w:val="both"/>
        <w:rPr>
          <w:rFonts w:hint="eastAsia" w:ascii="仿宋_GB2312" w:eastAsia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（以下无正文）</w:t>
      </w:r>
    </w:p>
    <w:p>
      <w:pPr>
        <w:pStyle w:val="11"/>
        <w:rPr>
          <w:rFonts w:hint="eastAsia" w:eastAsia="宋体"/>
          <w:lang w:eastAsia="zh-CN"/>
        </w:rPr>
      </w:pPr>
    </w:p>
    <w:p>
      <w:pPr>
        <w:pStyle w:val="11"/>
        <w:rPr>
          <w:rFonts w:hint="eastAsia" w:eastAsia="宋体"/>
          <w:lang w:eastAsia="zh-CN"/>
        </w:rPr>
      </w:pPr>
    </w:p>
    <w:p>
      <w:pPr>
        <w:pStyle w:val="11"/>
        <w:rPr>
          <w:rFonts w:hint="eastAsia" w:eastAsia="宋体"/>
          <w:lang w:eastAsia="zh-CN"/>
        </w:rPr>
      </w:pPr>
    </w:p>
    <w:tbl>
      <w:tblPr>
        <w:tblStyle w:val="16"/>
        <w:tblW w:w="918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1"/>
        <w:gridCol w:w="46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45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甲方：</w:t>
            </w:r>
          </w:p>
        </w:tc>
        <w:tc>
          <w:tcPr>
            <w:tcW w:w="46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乙方：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45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1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  <w:t>（公章或合同专用章）</w:t>
            </w:r>
          </w:p>
        </w:tc>
        <w:tc>
          <w:tcPr>
            <w:tcW w:w="46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1"/>
              <w:jc w:val="center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  <w:lang w:val="en-US" w:eastAsia="zh-CN" w:bidi="ar-SA"/>
              </w:rPr>
              <w:t>（公章或合同专用章）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456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1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>法定代表人或委托代理人（签章）：</w:t>
            </w:r>
          </w:p>
        </w:tc>
        <w:tc>
          <w:tcPr>
            <w:tcW w:w="462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1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 xml:space="preserve">法定代表人或委托代理人（签章）：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45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1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>通讯地址：</w:t>
            </w:r>
          </w:p>
        </w:tc>
        <w:tc>
          <w:tcPr>
            <w:tcW w:w="46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1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>通讯地址：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45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1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>签订日期：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>日</w:t>
            </w:r>
          </w:p>
        </w:tc>
        <w:tc>
          <w:tcPr>
            <w:tcW w:w="46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1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>签订日期：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  <w:t>日</w:t>
            </w:r>
          </w:p>
        </w:tc>
      </w:tr>
    </w:tbl>
    <w:p>
      <w:pPr>
        <w:pStyle w:val="11"/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仿宋_GB2312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Q5YjQ1ZjlhOTUyMzFkYmM4ZGNkOTZjMjVmMzI4MDcifQ=="/>
  </w:docVars>
  <w:rsids>
    <w:rsidRoot w:val="00BF13B5"/>
    <w:rsid w:val="001D2593"/>
    <w:rsid w:val="005B5DBB"/>
    <w:rsid w:val="006E75A6"/>
    <w:rsid w:val="007A434F"/>
    <w:rsid w:val="00BF13B5"/>
    <w:rsid w:val="00EE5066"/>
    <w:rsid w:val="0C6A13B5"/>
    <w:rsid w:val="58935A2A"/>
    <w:rsid w:val="60DA0725"/>
    <w:rsid w:val="64363521"/>
    <w:rsid w:val="F8CF9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0" w:line="240" w:lineRule="auto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widowControl w:val="0"/>
      <w:kinsoku/>
      <w:autoSpaceDE/>
      <w:autoSpaceDN/>
      <w:adjustRightInd/>
      <w:snapToGrid/>
      <w:spacing w:before="480" w:after="80" w:line="278" w:lineRule="auto"/>
      <w:textAlignment w:val="auto"/>
      <w:outlineLvl w:val="0"/>
    </w:pPr>
    <w:rPr>
      <w:rFonts w:asciiTheme="majorHAnsi" w:hAnsiTheme="majorHAnsi" w:eastAsiaTheme="majorEastAsia" w:cstheme="majorBidi"/>
      <w:snapToGrid/>
      <w:color w:val="2F5597" w:themeColor="accent1" w:themeShade="BF"/>
      <w:kern w:val="2"/>
      <w:sz w:val="48"/>
      <w:szCs w:val="48"/>
      <w:lang w:eastAsia="zh-CN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160" w:after="80" w:line="278" w:lineRule="auto"/>
      <w:textAlignment w:val="auto"/>
      <w:outlineLvl w:val="1"/>
    </w:pPr>
    <w:rPr>
      <w:rFonts w:asciiTheme="majorHAnsi" w:hAnsiTheme="majorHAnsi" w:eastAsiaTheme="majorEastAsia" w:cstheme="majorBidi"/>
      <w:snapToGrid/>
      <w:color w:val="2F5597" w:themeColor="accent1" w:themeShade="BF"/>
      <w:kern w:val="2"/>
      <w:sz w:val="40"/>
      <w:szCs w:val="40"/>
      <w:lang w:eastAsia="zh-CN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160" w:after="80" w:line="278" w:lineRule="auto"/>
      <w:textAlignment w:val="auto"/>
      <w:outlineLvl w:val="2"/>
    </w:pPr>
    <w:rPr>
      <w:rFonts w:asciiTheme="majorHAnsi" w:hAnsiTheme="majorHAnsi" w:eastAsiaTheme="majorEastAsia" w:cstheme="majorBidi"/>
      <w:snapToGrid/>
      <w:color w:val="2F5597" w:themeColor="accent1" w:themeShade="BF"/>
      <w:kern w:val="2"/>
      <w:sz w:val="32"/>
      <w:szCs w:val="32"/>
      <w:lang w:eastAsia="zh-CN"/>
      <w14:ligatures w14:val="standardContextual"/>
    </w:rPr>
  </w:style>
  <w:style w:type="paragraph" w:styleId="5">
    <w:name w:val="heading 4"/>
    <w:basedOn w:val="1"/>
    <w:next w:val="1"/>
    <w:link w:val="2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before="80" w:after="40" w:line="278" w:lineRule="auto"/>
      <w:textAlignment w:val="auto"/>
      <w:outlineLvl w:val="3"/>
    </w:pPr>
    <w:rPr>
      <w:rFonts w:asciiTheme="minorHAnsi" w:hAnsiTheme="minorHAnsi" w:eastAsiaTheme="minorEastAsia" w:cstheme="majorBidi"/>
      <w:snapToGrid/>
      <w:color w:val="2F5597" w:themeColor="accent1" w:themeShade="BF"/>
      <w:kern w:val="2"/>
      <w:sz w:val="28"/>
      <w:szCs w:val="28"/>
      <w:lang w:eastAsia="zh-CN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80" w:after="40" w:line="278" w:lineRule="auto"/>
      <w:textAlignment w:val="auto"/>
      <w:outlineLvl w:val="4"/>
    </w:pPr>
    <w:rPr>
      <w:rFonts w:asciiTheme="minorHAnsi" w:hAnsiTheme="minorHAnsi" w:eastAsiaTheme="minorEastAsia" w:cstheme="majorBidi"/>
      <w:snapToGrid/>
      <w:color w:val="2F5597" w:themeColor="accent1" w:themeShade="BF"/>
      <w:kern w:val="2"/>
      <w:sz w:val="24"/>
      <w:szCs w:val="24"/>
      <w:lang w:eastAsia="zh-CN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40" w:line="278" w:lineRule="auto"/>
      <w:textAlignment w:val="auto"/>
      <w:outlineLvl w:val="5"/>
    </w:pPr>
    <w:rPr>
      <w:rFonts w:asciiTheme="minorHAnsi" w:hAnsiTheme="minorHAnsi" w:eastAsiaTheme="minorEastAsia" w:cstheme="majorBidi"/>
      <w:b/>
      <w:bCs/>
      <w:snapToGrid/>
      <w:color w:val="2F5597" w:themeColor="accent1" w:themeShade="BF"/>
      <w:kern w:val="2"/>
      <w:sz w:val="22"/>
      <w:szCs w:val="24"/>
      <w:lang w:eastAsia="zh-CN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40" w:line="278" w:lineRule="auto"/>
      <w:textAlignment w:val="auto"/>
      <w:outlineLvl w:val="6"/>
    </w:pPr>
    <w:rPr>
      <w:rFonts w:asciiTheme="minorHAnsi" w:hAnsiTheme="minorHAnsi" w:eastAsiaTheme="minorEastAsia" w:cstheme="majorBidi"/>
      <w:b/>
      <w:bCs/>
      <w:snapToGrid/>
      <w:color w:val="595959" w:themeColor="text1" w:themeTint="A6"/>
      <w:kern w:val="2"/>
      <w:sz w:val="22"/>
      <w:szCs w:val="24"/>
      <w:lang w:eastAsia="zh-CN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line="278" w:lineRule="auto"/>
      <w:textAlignment w:val="auto"/>
      <w:outlineLvl w:val="7"/>
    </w:pPr>
    <w:rPr>
      <w:rFonts w:asciiTheme="minorHAnsi" w:hAnsiTheme="minorHAnsi" w:eastAsiaTheme="minorEastAsia" w:cstheme="majorBidi"/>
      <w:snapToGrid/>
      <w:color w:val="595959" w:themeColor="text1" w:themeTint="A6"/>
      <w:kern w:val="2"/>
      <w:sz w:val="22"/>
      <w:szCs w:val="24"/>
      <w:lang w:eastAsia="zh-CN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line="278" w:lineRule="auto"/>
      <w:textAlignment w:val="auto"/>
      <w:outlineLvl w:val="8"/>
    </w:pPr>
    <w:rPr>
      <w:rFonts w:asciiTheme="minorHAnsi" w:hAnsiTheme="minorHAnsi" w:eastAsiaTheme="majorEastAsia" w:cstheme="majorBidi"/>
      <w:snapToGrid/>
      <w:color w:val="595959" w:themeColor="text1" w:themeTint="A6"/>
      <w:kern w:val="2"/>
      <w:sz w:val="22"/>
      <w:szCs w:val="24"/>
      <w:lang w:eastAsia="zh-CN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40"/>
    <w:semiHidden/>
    <w:unhideWhenUsed/>
    <w:qFormat/>
    <w:uiPriority w:val="99"/>
    <w:pPr>
      <w:spacing w:after="120"/>
    </w:pPr>
  </w:style>
  <w:style w:type="paragraph" w:styleId="12">
    <w:name w:val="footer"/>
    <w:basedOn w:val="1"/>
    <w:link w:val="37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160"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  <w:lang w:eastAsia="zh-CN"/>
      <w14:ligatures w14:val="standardContextual"/>
    </w:rPr>
  </w:style>
  <w:style w:type="paragraph" w:styleId="13">
    <w:name w:val="header"/>
    <w:basedOn w:val="1"/>
    <w:link w:val="36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160"/>
      <w:jc w:val="center"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  <w:lang w:eastAsia="zh-CN"/>
      <w14:ligatures w14:val="standardContextual"/>
    </w:rPr>
  </w:style>
  <w:style w:type="paragraph" w:styleId="14">
    <w:name w:val="Subtitle"/>
    <w:basedOn w:val="1"/>
    <w:next w:val="1"/>
    <w:link w:val="28"/>
    <w:qFormat/>
    <w:uiPriority w:val="11"/>
    <w:pPr>
      <w:widowControl w:val="0"/>
      <w:kinsoku/>
      <w:autoSpaceDE/>
      <w:autoSpaceDN/>
      <w:adjustRightInd/>
      <w:snapToGrid/>
      <w:spacing w:after="160" w:line="278" w:lineRule="auto"/>
      <w:jc w:val="center"/>
      <w:textAlignment w:val="auto"/>
    </w:pPr>
    <w:rPr>
      <w:rFonts w:asciiTheme="majorHAnsi" w:hAnsiTheme="majorHAnsi" w:eastAsiaTheme="majorEastAsia" w:cstheme="majorBidi"/>
      <w:snapToGrid/>
      <w:color w:val="595959" w:themeColor="text1" w:themeTint="A6"/>
      <w:spacing w:val="15"/>
      <w:kern w:val="2"/>
      <w:sz w:val="28"/>
      <w:szCs w:val="28"/>
      <w:lang w:eastAsia="zh-CN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Title"/>
    <w:basedOn w:val="1"/>
    <w:next w:val="1"/>
    <w:link w:val="27"/>
    <w:qFormat/>
    <w:uiPriority w:val="10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hAnsiTheme="majorHAnsi" w:eastAsiaTheme="majorEastAsia" w:cstheme="majorBidi"/>
      <w:snapToGrid/>
      <w:color w:val="auto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qFormat/>
    <w:uiPriority w:val="0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widowControl w:val="0"/>
      <w:kinsoku/>
      <w:autoSpaceDE/>
      <w:autoSpaceDN/>
      <w:adjustRightInd/>
      <w:snapToGrid/>
      <w:spacing w:before="160" w:after="160" w:line="278" w:lineRule="auto"/>
      <w:jc w:val="center"/>
      <w:textAlignment w:val="auto"/>
    </w:pPr>
    <w:rPr>
      <w:rFonts w:asciiTheme="minorHAnsi" w:hAnsiTheme="minorHAnsi" w:eastAsiaTheme="minorEastAsia" w:cstheme="minorBidi"/>
      <w:i/>
      <w:iCs/>
      <w:snapToGrid/>
      <w:color w:val="404040" w:themeColor="text1" w:themeTint="BF"/>
      <w:kern w:val="2"/>
      <w:sz w:val="22"/>
      <w:szCs w:val="24"/>
      <w:lang w:eastAsia="zh-CN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widowControl w:val="0"/>
      <w:kinsoku/>
      <w:autoSpaceDE/>
      <w:autoSpaceDN/>
      <w:adjustRightInd/>
      <w:snapToGrid/>
      <w:spacing w:after="160" w:line="278" w:lineRule="auto"/>
      <w:ind w:left="720"/>
      <w:contextualSpacing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22"/>
      <w:szCs w:val="24"/>
      <w:lang w:eastAsia="zh-CN"/>
      <w14:ligatures w14:val="standardContextual"/>
    </w:r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widowControl w:val="0"/>
      <w:pBdr>
        <w:top w:val="single" w:color="2F5496" w:themeColor="accent1" w:themeShade="BF" w:sz="4" w:space="10"/>
        <w:bottom w:val="single" w:color="2F5496" w:themeColor="accent1" w:themeShade="BF" w:sz="4" w:space="10"/>
      </w:pBdr>
      <w:kinsoku/>
      <w:autoSpaceDE/>
      <w:autoSpaceDN/>
      <w:adjustRightInd/>
      <w:snapToGrid/>
      <w:spacing w:before="360" w:after="360" w:line="278" w:lineRule="auto"/>
      <w:ind w:left="864" w:right="864"/>
      <w:jc w:val="center"/>
      <w:textAlignment w:val="auto"/>
    </w:pPr>
    <w:rPr>
      <w:rFonts w:asciiTheme="minorHAnsi" w:hAnsiTheme="minorHAnsi" w:eastAsiaTheme="minorEastAsia" w:cstheme="minorBidi"/>
      <w:i/>
      <w:iCs/>
      <w:snapToGrid/>
      <w:color w:val="2F5597" w:themeColor="accent1" w:themeShade="BF"/>
      <w:kern w:val="2"/>
      <w:sz w:val="22"/>
      <w:szCs w:val="24"/>
      <w:lang w:eastAsia="zh-CN"/>
      <w14:ligatures w14:val="standardContextual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Body text|1_"/>
    <w:basedOn w:val="17"/>
    <w:link w:val="39"/>
    <w:qFormat/>
    <w:uiPriority w:val="0"/>
    <w:rPr>
      <w:rFonts w:ascii="宋体" w:hAnsi="宋体" w:cs="宋体"/>
      <w:sz w:val="18"/>
      <w:szCs w:val="18"/>
    </w:rPr>
  </w:style>
  <w:style w:type="paragraph" w:customStyle="1" w:styleId="39">
    <w:name w:val="Body text|1"/>
    <w:basedOn w:val="1"/>
    <w:link w:val="38"/>
    <w:qFormat/>
    <w:uiPriority w:val="0"/>
    <w:pPr>
      <w:widowControl w:val="0"/>
      <w:kinsoku/>
      <w:autoSpaceDE/>
      <w:autoSpaceDN/>
      <w:adjustRightInd/>
      <w:snapToGrid/>
      <w:spacing w:line="480" w:lineRule="auto"/>
      <w:textAlignment w:val="auto"/>
    </w:pPr>
    <w:rPr>
      <w:rFonts w:ascii="宋体" w:hAnsi="宋体" w:cs="宋体" w:eastAsiaTheme="minorEastAsia"/>
      <w:snapToGrid/>
      <w:color w:val="auto"/>
      <w:kern w:val="2"/>
      <w:sz w:val="18"/>
      <w:szCs w:val="18"/>
      <w:lang w:eastAsia="zh-CN"/>
      <w14:ligatures w14:val="standardContextual"/>
    </w:rPr>
  </w:style>
  <w:style w:type="character" w:customStyle="1" w:styleId="40">
    <w:name w:val="正文文本 字符"/>
    <w:basedOn w:val="17"/>
    <w:link w:val="11"/>
    <w:semiHidden/>
    <w:qFormat/>
    <w:uiPriority w:val="99"/>
    <w:rPr>
      <w:rFonts w:ascii="Arial" w:hAnsi="Arial" w:eastAsia="Arial" w:cs="Arial"/>
      <w:snapToGrid w:val="0"/>
      <w:color w:val="000000"/>
      <w:kern w:val="0"/>
      <w:sz w:val="21"/>
      <w:szCs w:val="21"/>
      <w:lang w:eastAsia="en-US"/>
      <w14:ligatures w14:val="none"/>
    </w:rPr>
  </w:style>
  <w:style w:type="paragraph" w:customStyle="1" w:styleId="41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52505EB7-F217-43AD-A89E-DAB1F1A773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1621</Words>
  <Characters>1689</Characters>
  <Lines>46</Lines>
  <Paragraphs>51</Paragraphs>
  <TotalTime>1</TotalTime>
  <ScaleCrop>false</ScaleCrop>
  <LinksUpToDate>false</LinksUpToDate>
  <CharactersWithSpaces>1752</CharactersWithSpaces>
  <Application>WPS Office_11.8.2.12388_F1E327BC-269C-435d-A152-05C5408002CA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2025-06-11T09:10:00Z</dcterms:created>
  <dc:creator>Administrator</dc:creator>
  <cp:lastModifiedBy>贺老师</cp:lastModifiedBy>
  <dcterms:modified xsi:type="dcterms:W3CDTF">2026-05-29T09:31:15Z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2052-11.8.2.12388</vt:lpwstr>
  </property>
  <property fmtid="{D5CDD505-2E9C-101B-9397-08002B2CF9AE}" pid="3" name="ICV">
    <vt:lpwstr>FF7D89D1085D48C4992EACED8A619EF9_13</vt:lpwstr>
  </property>
  <property fmtid="{D5CDD505-2E9C-101B-9397-08002B2CF9AE}" pid="4" name="KSOTemplateDocerSaveRecord">
    <vt:lpwstr>eyJoZGlkIjoiMzI1NzE0M2FiYWQ2NDk2ZTVlZmI1ODU0YjI0YzczNzYiLCJ1c2VySWQiOiI0NTIyMzI2MjgifQ==</vt:lpwstr>
  </property>
</Properties>
</file>