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版本号：ZYTT2026-HZ038.1B220260729001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汉中市南郑区陆生野生动物致害政府救助责任保险项目(三次)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ZYTT2026-HZ038.1B2</w:t>
      </w:r>
      <w:r>
        <w:br/>
      </w:r>
      <w:r>
        <w:br/>
      </w:r>
      <w:r>
        <w:br/>
      </w:r>
    </w:p>
    <w:p>
      <w:pPr>
        <w:pStyle w:val="null3"/>
        <w:jc w:val="center"/>
        <w:outlineLvl w:val="2"/>
      </w:pPr>
      <w:r>
        <w:rPr>
          <w:rFonts w:ascii="仿宋_GB2312" w:hAnsi="仿宋_GB2312" w:cs="仿宋_GB2312" w:eastAsia="仿宋_GB2312"/>
          <w:sz w:val="28"/>
          <w:b/>
        </w:rPr>
        <w:t>汉中市南郑区秦巴生态保护中心</w:t>
      </w:r>
    </w:p>
    <w:p>
      <w:pPr>
        <w:pStyle w:val="null3"/>
        <w:jc w:val="center"/>
        <w:outlineLvl w:val="2"/>
      </w:pPr>
      <w:r>
        <w:rPr>
          <w:rFonts w:ascii="仿宋_GB2312" w:hAnsi="仿宋_GB2312" w:cs="仿宋_GB2312" w:eastAsia="仿宋_GB2312"/>
          <w:sz w:val="28"/>
          <w:b/>
        </w:rPr>
        <w:t>陕西正圆通泰项目管理有限公司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陕西正圆通泰项目管理有限公司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汉中市南郑区秦巴生态保护中心</w:t>
      </w:r>
      <w:r>
        <w:rPr>
          <w:rFonts w:ascii="仿宋_GB2312" w:hAnsi="仿宋_GB2312" w:cs="仿宋_GB2312" w:eastAsia="仿宋_GB2312"/>
        </w:rPr>
        <w:t>委托，拟对</w:t>
      </w:r>
      <w:r>
        <w:rPr>
          <w:rFonts w:ascii="仿宋_GB2312" w:hAnsi="仿宋_GB2312" w:cs="仿宋_GB2312" w:eastAsia="仿宋_GB2312"/>
        </w:rPr>
        <w:t>汉中市南郑区陆生野生动物致害政府救助责任保险项目(三次)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ZYTT2026-HZ038.1B2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汉中市南郑区陆生野生动物致害政府救助责任保险项目(三次)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购买汉中市南郑区陆生野生动物致害政府救助责任保险服务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1、资质审查：具有国家金融监督管理总局（原中国银行保险监督管理委员会）颁发的经营保险业务许可证或保险许可证。</w:t>
      </w:r>
    </w:p>
    <w:p>
      <w:pPr>
        <w:pStyle w:val="null3"/>
      </w:pPr>
      <w:r>
        <w:rPr>
          <w:rFonts w:ascii="仿宋_GB2312" w:hAnsi="仿宋_GB2312" w:cs="仿宋_GB2312" w:eastAsia="仿宋_GB2312"/>
        </w:rPr>
        <w:t>2、主体审查：具有独⽴承担⺠事责任能⼒的法⼈、其他组织或⾃然⼈，并出具合法有效的营业执照或事业单位法⼈证等国家规定的相关证明，⾃然⼈参与的提供其⾝份证明。（同一保险机构只允许其本部或一家分支机构参与）</w:t>
      </w:r>
    </w:p>
    <w:p>
      <w:pPr>
        <w:pStyle w:val="null3"/>
      </w:pPr>
      <w:r>
        <w:rPr>
          <w:rFonts w:ascii="仿宋_GB2312" w:hAnsi="仿宋_GB2312" w:cs="仿宋_GB2312" w:eastAsia="仿宋_GB2312"/>
        </w:rPr>
        <w:t>3、法定代表⼈（或分⽀机构负责⼈）⾝份证明或授权委托书：法定代表⼈（或分⽀机构负责⼈）参加投标须提供《法定 代表⼈（或分⽀机构负责⼈）⾝份证明》及⾝份证扫描件；法定代表⼈（或分⽀机构负责⼈）授权他⼈参加投标，须提供《法 定代表⼈（或分⽀机构负责⼈）授权委托书》、委托代理⼈⾝份证扫描件。</w:t>
      </w:r>
    </w:p>
    <w:p>
      <w:pPr>
        <w:pStyle w:val="null3"/>
      </w:pPr>
      <w:r>
        <w:rPr>
          <w:rFonts w:ascii="仿宋_GB2312" w:hAnsi="仿宋_GB2312" w:cs="仿宋_GB2312" w:eastAsia="仿宋_GB2312"/>
        </w:rPr>
        <w:t>4、资格承诺：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推⾏政 府采购供应商基本资格条件承诺制的通知》（ 汉采办采管〔2024〕20号）⽂件要求，提供资格承诺函。</w:t>
      </w:r>
    </w:p>
    <w:p>
      <w:pPr>
        <w:pStyle w:val="null3"/>
      </w:pPr>
      <w:r>
        <w:rPr>
          <w:rFonts w:ascii="仿宋_GB2312" w:hAnsi="仿宋_GB2312" w:cs="仿宋_GB2312" w:eastAsia="仿宋_GB2312"/>
        </w:rPr>
        <w:t>5、本项⽬不接受联合体投标：本项⽬不接受联合体投标，提供声明函。单位负责人为同一人或者存在直接控股、管理关系的不同供应商，不得参加同一合同项下的政府采购活动，提供声明函。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汉中市南郑区秦巴生态保护中心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汉中市南郑区汉山街道办事处南环路2号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汉中市南郑区秦巴生态保护中心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0916-5512437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陕西正圆通泰项目管理有限公司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汉中市汉台区滨江东路晨晖帝景府A1号楼2402室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0916-8890636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代理服务费收费标准：招标代理服务费参照《国家计委关于印发招标代理服务费管理暂行办法 的通知》（计价格〔2002〕1980号）文件及国家发改委下发的《关于降低部分建设项目收费 标准规范收费行为等有关问题的通知》（发改价格〔2011〕534号）文件规定的收费标准收取 。招标代理服务费以中标价为基数计算，按差额定率累进法计算收取。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汉中市南郑区秦巴生态保护中心</w:t>
      </w:r>
      <w:r>
        <w:rPr>
          <w:rFonts w:ascii="仿宋_GB2312" w:hAnsi="仿宋_GB2312" w:cs="仿宋_GB2312" w:eastAsia="仿宋_GB2312"/>
        </w:rPr>
        <w:t>和</w:t>
      </w:r>
      <w:r>
        <w:rPr>
          <w:rFonts w:ascii="仿宋_GB2312" w:hAnsi="仿宋_GB2312" w:cs="仿宋_GB2312" w:eastAsia="仿宋_GB2312"/>
        </w:rPr>
        <w:t>陕西正圆通泰项目管理有限公司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汉中市南郑区秦巴生态保护中心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陕西正圆通泰项目管理有限公司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汉中市南郑区秦巴生态保护中心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陕西正圆通泰项目管理有限公司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符合国家、省、市相关的法规和规章以及采购人的要求。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联系人：罗恒</w:t>
      </w:r>
    </w:p>
    <w:p>
      <w:pPr>
        <w:pStyle w:val="null3"/>
      </w:pPr>
      <w:r>
        <w:rPr>
          <w:rFonts w:ascii="仿宋_GB2312" w:hAnsi="仿宋_GB2312" w:cs="仿宋_GB2312" w:eastAsia="仿宋_GB2312"/>
        </w:rPr>
        <w:t>联系电话：0916-8890636</w:t>
      </w:r>
    </w:p>
    <w:p>
      <w:pPr>
        <w:pStyle w:val="null3"/>
      </w:pPr>
      <w:r>
        <w:rPr>
          <w:rFonts w:ascii="仿宋_GB2312" w:hAnsi="仿宋_GB2312" w:cs="仿宋_GB2312" w:eastAsia="仿宋_GB2312"/>
        </w:rPr>
        <w:t>地址：汉中市汉台区滨江东路晨晖帝景府A1号楼2402室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购买汉中市南郑区陆生野生动物致害政府救助责任保险服务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野生动物致害政府救助责任保险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标的名称：野生动物致害政府救助责任保险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一</w:t>
            </w:r>
            <w:r>
              <w:rPr>
                <w:rFonts w:ascii="仿宋_GB2312" w:hAnsi="仿宋_GB2312" w:cs="仿宋_GB2312" w:eastAsia="仿宋_GB2312"/>
                <w:sz w:val="32"/>
              </w:rPr>
              <w:t>）</w:t>
            </w:r>
            <w:r>
              <w:rPr>
                <w:rFonts w:ascii="仿宋_GB2312" w:hAnsi="仿宋_GB2312" w:cs="仿宋_GB2312" w:eastAsia="仿宋_GB2312"/>
                <w:sz w:val="32"/>
              </w:rPr>
              <w:t>保险范围</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致害动物种类：</w:t>
            </w:r>
            <w:r>
              <w:rPr>
                <w:rFonts w:ascii="仿宋_GB2312" w:hAnsi="仿宋_GB2312" w:cs="仿宋_GB2312" w:eastAsia="仿宋_GB2312"/>
                <w:sz w:val="32"/>
              </w:rPr>
              <w:t>包含但不限于《</w:t>
            </w:r>
            <w:r>
              <w:rPr>
                <w:rFonts w:ascii="仿宋_GB2312" w:hAnsi="仿宋_GB2312" w:cs="仿宋_GB2312" w:eastAsia="仿宋_GB2312"/>
                <w:sz w:val="32"/>
              </w:rPr>
              <w:t>国家重点保护陆生野生动物</w:t>
            </w:r>
            <w:r>
              <w:rPr>
                <w:rFonts w:ascii="仿宋_GB2312" w:hAnsi="仿宋_GB2312" w:cs="仿宋_GB2312" w:eastAsia="仿宋_GB2312"/>
                <w:sz w:val="32"/>
              </w:rPr>
              <w:t>名录》</w:t>
            </w:r>
            <w:r>
              <w:rPr>
                <w:rFonts w:ascii="仿宋_GB2312" w:hAnsi="仿宋_GB2312" w:cs="仿宋_GB2312" w:eastAsia="仿宋_GB2312"/>
                <w:sz w:val="32"/>
              </w:rPr>
              <w:t>《</w:t>
            </w:r>
            <w:r>
              <w:rPr>
                <w:rFonts w:ascii="仿宋_GB2312" w:hAnsi="仿宋_GB2312" w:cs="仿宋_GB2312" w:eastAsia="仿宋_GB2312"/>
                <w:sz w:val="32"/>
              </w:rPr>
              <w:t>陕西省重点保护野生动物保护名录</w:t>
            </w:r>
            <w:r>
              <w:rPr>
                <w:rFonts w:ascii="仿宋_GB2312" w:hAnsi="仿宋_GB2312" w:cs="仿宋_GB2312" w:eastAsia="仿宋_GB2312"/>
                <w:sz w:val="32"/>
              </w:rPr>
              <w:t>》</w:t>
            </w:r>
            <w:r>
              <w:rPr>
                <w:rFonts w:ascii="仿宋_GB2312" w:hAnsi="仿宋_GB2312" w:cs="仿宋_GB2312" w:eastAsia="仿宋_GB2312"/>
                <w:sz w:val="32"/>
              </w:rPr>
              <w:t>以及《国家保护的有重要生态、科学、社会价值的陆生野生动物名录》中的野生动物种类。</w:t>
            </w:r>
          </w:p>
          <w:p>
            <w:pPr>
              <w:pStyle w:val="null3"/>
              <w:ind w:firstLine="640"/>
              <w:jc w:val="both"/>
            </w:pPr>
            <w:r>
              <w:rPr>
                <w:rFonts w:ascii="仿宋_GB2312" w:hAnsi="仿宋_GB2312" w:cs="仿宋_GB2312" w:eastAsia="仿宋_GB2312"/>
                <w:sz w:val="32"/>
              </w:rPr>
              <w:t>2.人身伤害保障人群：全区所有在册的户籍人员以及其他在本区境内活动的流动人员。</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致害损失范围：</w:t>
            </w:r>
            <w:r>
              <w:rPr>
                <w:rFonts w:ascii="仿宋_GB2312" w:hAnsi="仿宋_GB2312" w:cs="仿宋_GB2312" w:eastAsia="仿宋_GB2312"/>
                <w:sz w:val="32"/>
              </w:rPr>
              <w:t>全</w:t>
            </w:r>
            <w:r>
              <w:rPr>
                <w:rFonts w:ascii="仿宋_GB2312" w:hAnsi="仿宋_GB2312" w:cs="仿宋_GB2312" w:eastAsia="仿宋_GB2312"/>
                <w:sz w:val="32"/>
              </w:rPr>
              <w:t>区农户以及在本区境内生产经营的种植业作物</w:t>
            </w:r>
            <w:r>
              <w:rPr>
                <w:rFonts w:ascii="仿宋_GB2312" w:hAnsi="仿宋_GB2312" w:cs="仿宋_GB2312" w:eastAsia="仿宋_GB2312"/>
                <w:sz w:val="32"/>
              </w:rPr>
              <w:t>或养殖的</w:t>
            </w:r>
            <w:r>
              <w:rPr>
                <w:rFonts w:ascii="仿宋_GB2312" w:hAnsi="仿宋_GB2312" w:cs="仿宋_GB2312" w:eastAsia="仿宋_GB2312"/>
                <w:sz w:val="32"/>
              </w:rPr>
              <w:t>牲畜</w:t>
            </w:r>
            <w:r>
              <w:rPr>
                <w:rFonts w:ascii="仿宋_GB2312" w:hAnsi="仿宋_GB2312" w:cs="仿宋_GB2312" w:eastAsia="仿宋_GB2312"/>
                <w:sz w:val="32"/>
              </w:rPr>
              <w:t>家禽</w:t>
            </w:r>
            <w:r>
              <w:rPr>
                <w:rFonts w:ascii="仿宋_GB2312" w:hAnsi="仿宋_GB2312" w:cs="仿宋_GB2312" w:eastAsia="仿宋_GB2312"/>
                <w:sz w:val="32"/>
              </w:rPr>
              <w:t>遭受野生动物侵害致死的损失责任。包括但不限于人身伤亡、农作物损毁、经济林木损害、家禽家畜伤亡等因陆生野生动物直接造成的损失</w:t>
            </w:r>
            <w:r>
              <w:rPr>
                <w:rFonts w:ascii="仿宋_GB2312" w:hAnsi="仿宋_GB2312" w:cs="仿宋_GB2312" w:eastAsia="仿宋_GB2312"/>
                <w:sz w:val="32"/>
              </w:rPr>
              <w:t>。</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二</w:t>
            </w:r>
            <w:r>
              <w:rPr>
                <w:rFonts w:ascii="仿宋_GB2312" w:hAnsi="仿宋_GB2312" w:cs="仿宋_GB2312" w:eastAsia="仿宋_GB2312"/>
                <w:sz w:val="32"/>
              </w:rPr>
              <w:t>）</w:t>
            </w:r>
            <w:r>
              <w:rPr>
                <w:rFonts w:ascii="仿宋_GB2312" w:hAnsi="仿宋_GB2312" w:cs="仿宋_GB2312" w:eastAsia="仿宋_GB2312"/>
                <w:sz w:val="32"/>
              </w:rPr>
              <w:t>保险责任与理赔程序</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保险责任</w:t>
            </w:r>
            <w:r>
              <w:rPr>
                <w:rFonts w:ascii="仿宋_GB2312" w:hAnsi="仿宋_GB2312" w:cs="仿宋_GB2312" w:eastAsia="仿宋_GB2312"/>
                <w:sz w:val="32"/>
              </w:rPr>
              <w:t>：</w:t>
            </w:r>
            <w:r>
              <w:rPr>
                <w:rFonts w:ascii="仿宋_GB2312" w:hAnsi="仿宋_GB2312" w:cs="仿宋_GB2312" w:eastAsia="仿宋_GB2312"/>
                <w:sz w:val="32"/>
              </w:rPr>
              <w:t>在</w:t>
            </w:r>
            <w:r>
              <w:rPr>
                <w:rFonts w:ascii="仿宋_GB2312" w:hAnsi="仿宋_GB2312" w:cs="仿宋_GB2312" w:eastAsia="仿宋_GB2312"/>
                <w:sz w:val="32"/>
              </w:rPr>
              <w:t>保险期间内，被保险人在保险区域内，因野生动物造成保险标的损失的，保险公司</w:t>
            </w:r>
            <w:r>
              <w:rPr>
                <w:rFonts w:ascii="仿宋_GB2312" w:hAnsi="仿宋_GB2312" w:cs="仿宋_GB2312" w:eastAsia="仿宋_GB2312"/>
                <w:sz w:val="32"/>
              </w:rPr>
              <w:t>将</w:t>
            </w:r>
            <w:r>
              <w:rPr>
                <w:rFonts w:ascii="仿宋_GB2312" w:hAnsi="仿宋_GB2312" w:cs="仿宋_GB2312" w:eastAsia="仿宋_GB2312"/>
                <w:sz w:val="32"/>
              </w:rPr>
              <w:t>按照合同约定承担赔偿责任。</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理赔程序</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报案：被保险人在发生野生动物致害事件后，应及时</w:t>
            </w:r>
            <w:r>
              <w:rPr>
                <w:rFonts w:ascii="仿宋_GB2312" w:hAnsi="仿宋_GB2312" w:cs="仿宋_GB2312" w:eastAsia="仿宋_GB2312"/>
                <w:sz w:val="32"/>
              </w:rPr>
              <w:t>向</w:t>
            </w:r>
            <w:r>
              <w:rPr>
                <w:rFonts w:ascii="仿宋_GB2312" w:hAnsi="仿宋_GB2312" w:cs="仿宋_GB2312" w:eastAsia="仿宋_GB2312"/>
                <w:sz w:val="32"/>
              </w:rPr>
              <w:t>保险公司报案，</w:t>
            </w:r>
            <w:r>
              <w:rPr>
                <w:rFonts w:ascii="仿宋_GB2312" w:hAnsi="仿宋_GB2312" w:cs="仿宋_GB2312" w:eastAsia="仿宋_GB2312"/>
                <w:sz w:val="32"/>
              </w:rPr>
              <w:t>并</w:t>
            </w:r>
            <w:r>
              <w:rPr>
                <w:rFonts w:ascii="仿宋_GB2312" w:hAnsi="仿宋_GB2312" w:cs="仿宋_GB2312" w:eastAsia="仿宋_GB2312"/>
                <w:sz w:val="32"/>
              </w:rPr>
              <w:t>提供详细的事件信息，包括致害时间、地点、损失情况等</w:t>
            </w:r>
            <w:r>
              <w:rPr>
                <w:rFonts w:ascii="仿宋_GB2312" w:hAnsi="仿宋_GB2312" w:cs="仿宋_GB2312" w:eastAsia="仿宋_GB2312"/>
                <w:sz w:val="32"/>
              </w:rPr>
              <w:t>信息</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查勘定损：保险公司接到报案后，应在规定时间内派</w:t>
            </w:r>
            <w:r>
              <w:rPr>
                <w:rFonts w:ascii="仿宋_GB2312" w:hAnsi="仿宋_GB2312" w:cs="仿宋_GB2312" w:eastAsia="仿宋_GB2312"/>
                <w:sz w:val="32"/>
              </w:rPr>
              <w:t>工作人</w:t>
            </w:r>
            <w:r>
              <w:rPr>
                <w:rFonts w:ascii="仿宋_GB2312" w:hAnsi="仿宋_GB2312" w:cs="仿宋_GB2312" w:eastAsia="仿宋_GB2312"/>
                <w:sz w:val="32"/>
              </w:rPr>
              <w:t>员到现场查勘</w:t>
            </w:r>
            <w:r>
              <w:rPr>
                <w:rFonts w:ascii="仿宋_GB2312" w:hAnsi="仿宋_GB2312" w:cs="仿宋_GB2312" w:eastAsia="仿宋_GB2312"/>
                <w:sz w:val="32"/>
              </w:rPr>
              <w:t>，</w:t>
            </w:r>
            <w:r>
              <w:rPr>
                <w:rFonts w:ascii="仿宋_GB2312" w:hAnsi="仿宋_GB2312" w:cs="仿宋_GB2312" w:eastAsia="仿宋_GB2312"/>
                <w:sz w:val="32"/>
              </w:rPr>
              <w:t>对损失情况进行核实和评估。对于复杂案件或损失较大的情况，可邀请相关专家参与定损。</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理赔申请：被保险人需</w:t>
            </w:r>
            <w:r>
              <w:rPr>
                <w:rFonts w:ascii="仿宋_GB2312" w:hAnsi="仿宋_GB2312" w:cs="仿宋_GB2312" w:eastAsia="仿宋_GB2312"/>
                <w:sz w:val="32"/>
              </w:rPr>
              <w:t>配合</w:t>
            </w:r>
            <w:r>
              <w:rPr>
                <w:rFonts w:ascii="仿宋_GB2312" w:hAnsi="仿宋_GB2312" w:cs="仿宋_GB2312" w:eastAsia="仿宋_GB2312"/>
                <w:sz w:val="32"/>
              </w:rPr>
              <w:t>保险公司</w:t>
            </w:r>
            <w:r>
              <w:rPr>
                <w:rFonts w:ascii="仿宋_GB2312" w:hAnsi="仿宋_GB2312" w:cs="仿宋_GB2312" w:eastAsia="仿宋_GB2312"/>
                <w:sz w:val="32"/>
              </w:rPr>
              <w:t>收集或</w:t>
            </w:r>
            <w:r>
              <w:rPr>
                <w:rFonts w:ascii="仿宋_GB2312" w:hAnsi="仿宋_GB2312" w:cs="仿宋_GB2312" w:eastAsia="仿宋_GB2312"/>
                <w:sz w:val="32"/>
              </w:rPr>
              <w:t>提交理赔</w:t>
            </w:r>
            <w:r>
              <w:rPr>
                <w:rFonts w:ascii="仿宋_GB2312" w:hAnsi="仿宋_GB2312" w:cs="仿宋_GB2312" w:eastAsia="仿宋_GB2312"/>
                <w:sz w:val="32"/>
              </w:rPr>
              <w:t>相关</w:t>
            </w:r>
            <w:r>
              <w:rPr>
                <w:rFonts w:ascii="仿宋_GB2312" w:hAnsi="仿宋_GB2312" w:cs="仿宋_GB2312" w:eastAsia="仿宋_GB2312"/>
                <w:sz w:val="32"/>
              </w:rPr>
              <w:t>材料。</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审核赔付：保险公司对理赔材料进行审核，在确定保险责任和损失金额后，按照合同约定及时支付赔款。</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640"/>
              <w:jc w:val="both"/>
            </w:pPr>
            <w:r>
              <w:rPr>
                <w:rFonts w:ascii="仿宋_GB2312" w:hAnsi="仿宋_GB2312" w:cs="仿宋_GB2312" w:eastAsia="仿宋_GB2312"/>
                <w:sz w:val="32"/>
              </w:rPr>
              <w:t>（三）赔偿标准</w:t>
            </w:r>
          </w:p>
          <w:p>
            <w:pPr>
              <w:pStyle w:val="null3"/>
              <w:ind w:firstLine="640"/>
              <w:jc w:val="both"/>
            </w:pPr>
            <w:r>
              <w:rPr>
                <w:rFonts w:ascii="仿宋_GB2312" w:hAnsi="仿宋_GB2312" w:cs="仿宋_GB2312" w:eastAsia="仿宋_GB2312"/>
                <w:sz w:val="32"/>
              </w:rPr>
              <w:t>1.经费预算：48万元</w:t>
            </w:r>
          </w:p>
          <w:p>
            <w:pPr>
              <w:pStyle w:val="null3"/>
              <w:ind w:firstLine="640"/>
              <w:jc w:val="both"/>
            </w:pPr>
            <w:r>
              <w:rPr>
                <w:rFonts w:ascii="仿宋_GB2312" w:hAnsi="仿宋_GB2312" w:cs="仿宋_GB2312" w:eastAsia="仿宋_GB2312"/>
                <w:sz w:val="32"/>
              </w:rPr>
              <w:t>2.理赔项目及赔偿限额标准</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1）累计赔偿责任限额1000万元。</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2）每次事故责任限额200万元。其中：①每次事故每人人身伤亡、残疾责任限额20万元；②每次事故每人医疗费用责任限额2万元。</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3）每次事故财产损失责任险额：专业合作社或农业公司5万元/户，普通农户1万元/户。</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4）理赔项目及赔偿限额标准参照2025年理赔项目及赔偿限额标准一览表（如下表所示），最终标准以2026年的保单为准。</w:t>
            </w:r>
          </w:p>
          <w:p>
            <w:pPr>
              <w:pStyle w:val="null3"/>
              <w:ind w:firstLine="640"/>
              <w:jc w:val="both"/>
            </w:pPr>
            <w:r>
              <w:rPr>
                <w:rFonts w:ascii="仿宋_GB2312" w:hAnsi="仿宋_GB2312" w:cs="仿宋_GB2312" w:eastAsia="仿宋_GB2312"/>
                <w:sz w:val="32"/>
                <w:color w:val="000000"/>
              </w:rPr>
              <w:t>(5)胡蜂意外蛰伤赔偿标准为：伤残、死亡每次事故赔偿限额5万元/人；医疗费用每次事故赔偿限额20000元/人，每次事故免赔200元后按国家医保范围内的85%赔付。</w:t>
            </w:r>
          </w:p>
          <w:p>
            <w:pPr>
              <w:pStyle w:val="null3"/>
              <w:jc w:val="center"/>
            </w:pPr>
            <w:r>
              <w:rPr>
                <w:rFonts w:ascii="仿宋_GB2312" w:hAnsi="仿宋_GB2312" w:cs="仿宋_GB2312" w:eastAsia="仿宋_GB2312"/>
                <w:sz w:val="24"/>
                <w:color w:val="000000"/>
              </w:rPr>
              <w:t>理赔项目及赔偿限额标准一览表</w:t>
            </w:r>
          </w:p>
          <w:tbl>
            <w:tblPr>
              <w:tblBorders>
                <w:top w:val="none" w:color="000000" w:sz="4"/>
                <w:left w:val="none" w:color="000000" w:sz="4"/>
                <w:bottom w:val="none" w:color="000000" w:sz="4"/>
                <w:right w:val="none" w:color="000000" w:sz="4"/>
                <w:insideH w:val="none"/>
                <w:insideV w:val="none"/>
              </w:tblBorders>
            </w:tblPr>
            <w:tblGrid>
              <w:gridCol w:w="310"/>
              <w:gridCol w:w="457"/>
              <w:gridCol w:w="588"/>
              <w:gridCol w:w="531"/>
              <w:gridCol w:w="657"/>
            </w:tblGrid>
            <w:tr>
              <w:tc>
                <w:tcPr>
                  <w:tcW w:type="dxa" w:w="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保障责任及项目</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保障对象</w:t>
                  </w:r>
                </w:p>
                <w:p>
                  <w:pPr>
                    <w:pStyle w:val="null3"/>
                    <w:jc w:val="center"/>
                  </w:pPr>
                  <w:r>
                    <w:rPr>
                      <w:rFonts w:ascii="仿宋_GB2312" w:hAnsi="仿宋_GB2312" w:cs="仿宋_GB2312" w:eastAsia="仿宋_GB2312"/>
                      <w:sz w:val="24"/>
                    </w:rPr>
                    <w:t>及范围</w:t>
                  </w:r>
                </w:p>
              </w:tc>
              <w:tc>
                <w:tcPr>
                  <w:tcW w:type="dxa" w:w="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每次事故</w:t>
                  </w:r>
                </w:p>
                <w:p>
                  <w:pPr>
                    <w:pStyle w:val="null3"/>
                    <w:jc w:val="center"/>
                  </w:pPr>
                  <w:r>
                    <w:rPr>
                      <w:rFonts w:ascii="仿宋_GB2312" w:hAnsi="仿宋_GB2312" w:cs="仿宋_GB2312" w:eastAsia="仿宋_GB2312"/>
                      <w:sz w:val="24"/>
                    </w:rPr>
                    <w:t>赔偿限额</w:t>
                  </w:r>
                </w:p>
              </w:tc>
              <w:tc>
                <w:tcPr>
                  <w:tcW w:type="dxa" w:w="5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每次事故</w:t>
                  </w:r>
                </w:p>
                <w:p>
                  <w:pPr>
                    <w:pStyle w:val="null3"/>
                    <w:jc w:val="center"/>
                  </w:pPr>
                  <w:r>
                    <w:rPr>
                      <w:rFonts w:ascii="仿宋_GB2312" w:hAnsi="仿宋_GB2312" w:cs="仿宋_GB2312" w:eastAsia="仿宋_GB2312"/>
                      <w:sz w:val="24"/>
                    </w:rPr>
                    <w:t>免</w:t>
                  </w:r>
                  <w:r>
                    <w:rPr>
                      <w:rFonts w:ascii="仿宋_GB2312" w:hAnsi="仿宋_GB2312" w:cs="仿宋_GB2312" w:eastAsia="仿宋_GB2312"/>
                      <w:sz w:val="24"/>
                    </w:rPr>
                    <w:t>赔</w:t>
                  </w:r>
                </w:p>
              </w:tc>
              <w:tc>
                <w:tcPr>
                  <w:tcW w:type="dxa" w:w="6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w:t>
                  </w:r>
                  <w:r>
                    <w:rPr>
                      <w:rFonts w:ascii="仿宋_GB2312" w:hAnsi="仿宋_GB2312" w:cs="仿宋_GB2312" w:eastAsia="仿宋_GB2312"/>
                      <w:sz w:val="24"/>
                    </w:rPr>
                    <w:t xml:space="preserve">  </w:t>
                  </w:r>
                  <w:r>
                    <w:rPr>
                      <w:rFonts w:ascii="仿宋_GB2312" w:hAnsi="仿宋_GB2312" w:cs="仿宋_GB2312" w:eastAsia="仿宋_GB2312"/>
                      <w:sz w:val="24"/>
                    </w:rPr>
                    <w:t>注</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人身伤害</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伤残、死亡</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20万元/人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w:t>
                  </w:r>
                </w:p>
              </w:tc>
              <w:tc>
                <w:tcPr>
                  <w:tcW w:type="dxa" w:w="6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医保报销后的医疗费凭报销分割单和发票复印件赔付</w:t>
                  </w:r>
                </w:p>
                <w:p>
                  <w:pPr>
                    <w:pStyle w:val="null3"/>
                    <w:jc w:val="both"/>
                  </w:pPr>
                </w:p>
              </w:tc>
            </w:tr>
            <w:tr>
              <w:tc>
                <w:tcPr>
                  <w:tcW w:type="dxa" w:w="310"/>
                  <w:vMerge/>
                  <w:tcBorders>
                    <w:top w:val="none" w:color="000000" w:sz="4"/>
                    <w:left w:val="single" w:color="000000" w:sz="4"/>
                    <w:bottom w:val="single" w:color="000000" w:sz="4"/>
                    <w:right w:val="single" w:color="000000" w:sz="4"/>
                  </w:tcBorders>
                </w:tcP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医疗费用</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2万元/人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每次事故免赔</w:t>
                  </w:r>
                  <w:r>
                    <w:rPr>
                      <w:rFonts w:ascii="仿宋_GB2312" w:hAnsi="仿宋_GB2312" w:cs="仿宋_GB2312" w:eastAsia="仿宋_GB2312"/>
                      <w:sz w:val="24"/>
                    </w:rPr>
                    <w:t>200元后按国家医保范围内的85%赔付</w:t>
                  </w:r>
                </w:p>
              </w:tc>
              <w:tc>
                <w:tcPr>
                  <w:tcW w:type="dxa" w:w="657"/>
                  <w:vMerge/>
                  <w:tcBorders>
                    <w:top w:val="none" w:color="000000" w:sz="4"/>
                    <w:left w:val="single" w:color="000000" w:sz="4"/>
                    <w:bottom w:val="single" w:color="000000" w:sz="4"/>
                    <w:right w:val="single" w:color="000000" w:sz="4"/>
                  </w:tcBorders>
                </w:tcP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胡蜂意外蛰伤</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伤残、死亡</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5万元/人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10"/>
                  <w:vMerge/>
                  <w:tcBorders>
                    <w:top w:val="none" w:color="000000" w:sz="4"/>
                    <w:left w:val="single" w:color="000000" w:sz="4"/>
                    <w:bottom w:val="single" w:color="000000" w:sz="4"/>
                    <w:right w:val="single" w:color="000000" w:sz="4"/>
                  </w:tcBorders>
                </w:tcP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医疗费用</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2万元/人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每次事故免赔</w:t>
                  </w:r>
                  <w:r>
                    <w:rPr>
                      <w:rFonts w:ascii="仿宋_GB2312" w:hAnsi="仿宋_GB2312" w:cs="仿宋_GB2312" w:eastAsia="仿宋_GB2312"/>
                      <w:sz w:val="24"/>
                    </w:rPr>
                    <w:t>200元后按国家医保范围内的85%赔付</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医保报销后的医疗费凭报销分割单和发票复印件赔付</w:t>
                  </w:r>
                </w:p>
                <w:p>
                  <w:pPr>
                    <w:pStyle w:val="null3"/>
                    <w:jc w:val="both"/>
                  </w:pP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一般农作物</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玉米、小麦、水稻、油菜、</w:t>
                  </w:r>
                  <w:r>
                    <w:rPr>
                      <w:rFonts w:ascii="仿宋_GB2312" w:hAnsi="仿宋_GB2312" w:cs="仿宋_GB2312" w:eastAsia="仿宋_GB2312"/>
                      <w:sz w:val="24"/>
                    </w:rPr>
                    <w:t>土豆、大豆，以及瓜果、</w:t>
                  </w:r>
                </w:p>
                <w:p>
                  <w:pPr>
                    <w:pStyle w:val="null3"/>
                    <w:jc w:val="center"/>
                  </w:pPr>
                  <w:r>
                    <w:rPr>
                      <w:rFonts w:ascii="仿宋_GB2312" w:hAnsi="仿宋_GB2312" w:cs="仿宋_GB2312" w:eastAsia="仿宋_GB2312"/>
                      <w:sz w:val="24"/>
                    </w:rPr>
                    <w:t>魔芋等</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600元/亩</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根据实际损失面积、损失程度以及不同生长期对应的赔偿比例确定赔偿金额。</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中药材</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天麻、黄精、猪苓等中药材</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2000元/亩</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其他一般中药材在</w:t>
                  </w:r>
                  <w:r>
                    <w:rPr>
                      <w:rFonts w:ascii="仿宋_GB2312" w:hAnsi="仿宋_GB2312" w:cs="仿宋_GB2312" w:eastAsia="仿宋_GB2312"/>
                      <w:sz w:val="24"/>
                    </w:rPr>
                    <w:t>2000元/亩范围内参照市价协商处理</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养殖类</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仔猪</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200元/头</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30公斤内）</w:t>
                  </w:r>
                </w:p>
              </w:tc>
            </w:tr>
            <w:tr>
              <w:tc>
                <w:tcPr>
                  <w:tcW w:type="dxa" w:w="310"/>
                  <w:vMerge/>
                  <w:tcBorders>
                    <w:top w:val="none" w:color="000000" w:sz="4"/>
                    <w:left w:val="single" w:color="000000" w:sz="4"/>
                    <w:bottom w:val="single" w:color="000000" w:sz="4"/>
                    <w:right w:val="single" w:color="000000" w:sz="4"/>
                  </w:tcBorders>
                </w:tcPr>
                <w:p/>
              </w:tc>
              <w:tc>
                <w:tcPr>
                  <w:tcW w:type="dxa" w:w="4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育肥猪</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400元/头</w:t>
                  </w:r>
                </w:p>
              </w:tc>
              <w:tc>
                <w:tcPr>
                  <w:tcW w:type="dxa" w:w="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60公斤以下</w:t>
                  </w:r>
                </w:p>
              </w:tc>
            </w:tr>
            <w:tr>
              <w:tc>
                <w:tcPr>
                  <w:tcW w:type="dxa" w:w="310"/>
                  <w:vMerge/>
                  <w:tcBorders>
                    <w:top w:val="none" w:color="000000" w:sz="4"/>
                    <w:left w:val="single" w:color="000000" w:sz="4"/>
                    <w:bottom w:val="single" w:color="000000" w:sz="4"/>
                    <w:right w:val="single" w:color="000000" w:sz="4"/>
                  </w:tcBorders>
                </w:tcPr>
                <w:p/>
              </w:tc>
              <w:tc>
                <w:tcPr>
                  <w:tcW w:type="dxa" w:w="457"/>
                  <w:vMerge/>
                  <w:tcBorders>
                    <w:top w:val="none" w:color="000000" w:sz="4"/>
                    <w:left w:val="single" w:color="000000" w:sz="4"/>
                    <w:bottom w:val="single" w:color="000000" w:sz="4"/>
                    <w:right w:val="single" w:color="000000" w:sz="4"/>
                  </w:tcBorders>
                </w:tcP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600元/头</w:t>
                  </w:r>
                </w:p>
              </w:tc>
              <w:tc>
                <w:tcPr>
                  <w:tcW w:type="dxa" w:w="531"/>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60公斤以上</w:t>
                  </w:r>
                </w:p>
              </w:tc>
            </w:tr>
            <w:tr>
              <w:tc>
                <w:tcPr>
                  <w:tcW w:type="dxa" w:w="310"/>
                  <w:vMerge/>
                  <w:tcBorders>
                    <w:top w:val="none" w:color="000000" w:sz="4"/>
                    <w:left w:val="single" w:color="000000" w:sz="4"/>
                    <w:bottom w:val="single" w:color="000000" w:sz="4"/>
                    <w:right w:val="single" w:color="000000" w:sz="4"/>
                  </w:tcBorders>
                </w:tcP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能繁母猪</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800元/头</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0"/>
                  <w:vMerge/>
                  <w:tcBorders>
                    <w:top w:val="none" w:color="000000" w:sz="4"/>
                    <w:left w:val="single" w:color="000000" w:sz="4"/>
                    <w:bottom w:val="single" w:color="000000" w:sz="4"/>
                    <w:right w:val="single" w:color="000000" w:sz="4"/>
                  </w:tcBorders>
                </w:tcP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中蜂</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500元/箱</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累计赔付不超过</w:t>
                  </w:r>
                </w:p>
                <w:p>
                  <w:pPr>
                    <w:pStyle w:val="null3"/>
                    <w:jc w:val="center"/>
                  </w:pPr>
                  <w:r>
                    <w:rPr>
                      <w:rFonts w:ascii="仿宋_GB2312" w:hAnsi="仿宋_GB2312" w:cs="仿宋_GB2312" w:eastAsia="仿宋_GB2312"/>
                      <w:sz w:val="24"/>
                    </w:rPr>
                    <w:t>5000元/户·年</w:t>
                  </w:r>
                </w:p>
              </w:tc>
            </w:tr>
            <w:tr>
              <w:tc>
                <w:tcPr>
                  <w:tcW w:type="dxa" w:w="310"/>
                  <w:vMerge/>
                  <w:tcBorders>
                    <w:top w:val="none" w:color="000000" w:sz="4"/>
                    <w:left w:val="single" w:color="000000" w:sz="4"/>
                    <w:bottom w:val="single" w:color="000000" w:sz="4"/>
                    <w:right w:val="single" w:color="000000" w:sz="4"/>
                  </w:tcBorders>
                </w:tcPr>
                <w:p/>
              </w:tc>
              <w:tc>
                <w:tcPr>
                  <w:tcW w:type="dxa" w:w="4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牛</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1000元/头</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齿龄</w:t>
                  </w:r>
                  <w:r>
                    <w:rPr>
                      <w:rFonts w:ascii="仿宋_GB2312" w:hAnsi="仿宋_GB2312" w:cs="仿宋_GB2312" w:eastAsia="仿宋_GB2312"/>
                      <w:sz w:val="24"/>
                    </w:rPr>
                    <w:t>2年以下</w:t>
                  </w:r>
                </w:p>
              </w:tc>
            </w:tr>
            <w:tr>
              <w:tc>
                <w:tcPr>
                  <w:tcW w:type="dxa" w:w="310"/>
                  <w:vMerge/>
                  <w:tcBorders>
                    <w:top w:val="none" w:color="000000" w:sz="4"/>
                    <w:left w:val="single" w:color="000000" w:sz="4"/>
                    <w:bottom w:val="single" w:color="000000" w:sz="4"/>
                    <w:right w:val="single" w:color="000000" w:sz="4"/>
                  </w:tcBorders>
                </w:tcPr>
                <w:p/>
              </w:tc>
              <w:tc>
                <w:tcPr>
                  <w:tcW w:type="dxa" w:w="457"/>
                  <w:vMerge/>
                  <w:tcBorders>
                    <w:top w:val="none" w:color="000000" w:sz="4"/>
                    <w:left w:val="single" w:color="000000" w:sz="4"/>
                    <w:bottom w:val="single" w:color="000000" w:sz="4"/>
                    <w:right w:val="single" w:color="000000" w:sz="4"/>
                  </w:tcBorders>
                </w:tcP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2000元/头</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齿龄</w:t>
                  </w:r>
                  <w:r>
                    <w:rPr>
                      <w:rFonts w:ascii="仿宋_GB2312" w:hAnsi="仿宋_GB2312" w:cs="仿宋_GB2312" w:eastAsia="仿宋_GB2312"/>
                      <w:sz w:val="24"/>
                    </w:rPr>
                    <w:t>2年以上</w:t>
                  </w:r>
                </w:p>
              </w:tc>
            </w:tr>
            <w:tr>
              <w:tc>
                <w:tcPr>
                  <w:tcW w:type="dxa" w:w="310"/>
                  <w:vMerge/>
                  <w:tcBorders>
                    <w:top w:val="none" w:color="000000" w:sz="4"/>
                    <w:left w:val="single" w:color="000000" w:sz="4"/>
                    <w:bottom w:val="single" w:color="000000" w:sz="4"/>
                    <w:right w:val="single" w:color="000000" w:sz="4"/>
                  </w:tcBorders>
                </w:tcPr>
                <w:p/>
              </w:tc>
              <w:tc>
                <w:tcPr>
                  <w:tcW w:type="dxa" w:w="4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羊</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400元/头</w:t>
                  </w:r>
                </w:p>
              </w:tc>
              <w:tc>
                <w:tcPr>
                  <w:tcW w:type="dxa" w:w="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齿龄</w:t>
                  </w:r>
                  <w:r>
                    <w:rPr>
                      <w:rFonts w:ascii="仿宋_GB2312" w:hAnsi="仿宋_GB2312" w:cs="仿宋_GB2312" w:eastAsia="仿宋_GB2312"/>
                      <w:sz w:val="24"/>
                    </w:rPr>
                    <w:t>1.5年以下</w:t>
                  </w:r>
                </w:p>
              </w:tc>
            </w:tr>
            <w:tr>
              <w:tc>
                <w:tcPr>
                  <w:tcW w:type="dxa" w:w="310"/>
                  <w:vMerge/>
                  <w:tcBorders>
                    <w:top w:val="none" w:color="000000" w:sz="4"/>
                    <w:left w:val="single" w:color="000000" w:sz="4"/>
                    <w:bottom w:val="single" w:color="000000" w:sz="4"/>
                    <w:right w:val="single" w:color="000000" w:sz="4"/>
                  </w:tcBorders>
                </w:tcPr>
                <w:p/>
              </w:tc>
              <w:tc>
                <w:tcPr>
                  <w:tcW w:type="dxa" w:w="457"/>
                  <w:vMerge/>
                  <w:tcBorders>
                    <w:top w:val="none" w:color="000000" w:sz="4"/>
                    <w:left w:val="single" w:color="000000" w:sz="4"/>
                    <w:bottom w:val="single" w:color="000000" w:sz="4"/>
                    <w:right w:val="single" w:color="000000" w:sz="4"/>
                  </w:tcBorders>
                </w:tcP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800元/头</w:t>
                  </w:r>
                </w:p>
              </w:tc>
              <w:tc>
                <w:tcPr>
                  <w:tcW w:type="dxa" w:w="531"/>
                  <w:vMerge/>
                  <w:tcBorders>
                    <w:top w:val="none" w:color="000000" w:sz="4"/>
                    <w:left w:val="single" w:color="000000" w:sz="4"/>
                    <w:bottom w:val="single" w:color="000000" w:sz="4"/>
                    <w:right w:val="single" w:color="000000" w:sz="4"/>
                  </w:tcBorders>
                </w:tcP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齿龄</w:t>
                  </w:r>
                  <w:r>
                    <w:rPr>
                      <w:rFonts w:ascii="仿宋_GB2312" w:hAnsi="仿宋_GB2312" w:cs="仿宋_GB2312" w:eastAsia="仿宋_GB2312"/>
                      <w:sz w:val="24"/>
                    </w:rPr>
                    <w:t>1.5年以上</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家禽类</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肉（鸡、鸭、鹅）、</w:t>
                  </w:r>
                  <w:r>
                    <w:rPr>
                      <w:rFonts w:ascii="仿宋_GB2312" w:hAnsi="仿宋_GB2312" w:cs="仿宋_GB2312" w:eastAsia="仿宋_GB2312"/>
                      <w:sz w:val="24"/>
                    </w:rPr>
                    <w:t>仔鸡</w:t>
                  </w:r>
                  <w:r>
                    <w:rPr>
                      <w:rFonts w:ascii="仿宋_GB2312" w:hAnsi="仿宋_GB2312" w:cs="仿宋_GB2312" w:eastAsia="仿宋_GB2312"/>
                      <w:sz w:val="24"/>
                    </w:rPr>
                    <w:t>（鸡、鸭、鹅）</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30元/只</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每次受损</w:t>
                  </w:r>
                  <w:r>
                    <w:rPr>
                      <w:rFonts w:ascii="仿宋_GB2312" w:hAnsi="仿宋_GB2312" w:cs="仿宋_GB2312" w:eastAsia="仿宋_GB2312"/>
                      <w:sz w:val="24"/>
                    </w:rPr>
                    <w:t>3只以上立案赔付</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8"/>
                <w:color w:val="000000"/>
              </w:rPr>
              <w:t>注：农作物类，其中</w:t>
            </w:r>
            <w:r>
              <w:rPr>
                <w:rFonts w:ascii="仿宋_GB2312" w:hAnsi="仿宋_GB2312" w:cs="仿宋_GB2312" w:eastAsia="仿宋_GB2312"/>
                <w:sz w:val="28"/>
                <w:color w:val="000000"/>
              </w:rPr>
              <w:t>玉米、小麦、水稻、油菜、土豆</w:t>
            </w:r>
            <w:r>
              <w:rPr>
                <w:rFonts w:ascii="仿宋_GB2312" w:hAnsi="仿宋_GB2312" w:cs="仿宋_GB2312" w:eastAsia="仿宋_GB2312"/>
                <w:sz w:val="28"/>
                <w:color w:val="000000"/>
              </w:rPr>
              <w:t>500元/亩；大豆350元/亩、魔芋450元/亩、山药600元/亩、其他农作物350元/亩。</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满足本项目人员配置要求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满足本项目设施设备要求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汉中市南郑区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乙方根据经甲方确认的保险条件，出具正式保险单。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乙双方签订服务合同后，由甲方通知乙方出单，乙方需在个5工作日内出具保单和发票，甲方自收到乙方出具的发票及正式单后，按本合同约定向乙方支付全额保险费，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1、甲乙双方必须遵守本合同并执行合同中的各项规定，保证本合同的正常履行。 2、如因乙方工作人员在履行职务过程中的疏忽、失职、过错等故意或者过失原因给甲方造成损失或侵害，包括但不限于甲方本身 的财产损失以及由此而导致的甲方对任何第三方的法律责任等，乙方对此均应承担全部的赔偿责任。 二、解决合同纠纷的方式 1、合同一经签订，不得随意变更、中止或终止。对确需变更、调整或者中止、终止合同的，应按规定履行相应的手续。 2、合同执行中发生争议的，甲、乙双方应协商解决，协商达不成一致时，可向甲方所在地人民法院提请诉讼。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为顺利推进政府采购电子化交易平台应用工作，中标供应商需要在领取中标通知书时向代理机构提供纸质版响应文件，正 本壹份、副本贰份、电子版壹份，若线上电子响应文件与纸质响应文件不一致的，以线上电子响应文件为准；若正本和副本不 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资质审查</w:t>
            </w:r>
          </w:p>
        </w:tc>
        <w:tc>
          <w:tcPr>
            <w:tcW w:type="dxa" w:w="3322"/>
          </w:tcPr>
          <w:p>
            <w:pPr>
              <w:pStyle w:val="null3"/>
            </w:pPr>
            <w:r>
              <w:rPr>
                <w:rFonts w:ascii="仿宋_GB2312" w:hAnsi="仿宋_GB2312" w:cs="仿宋_GB2312" w:eastAsia="仿宋_GB2312"/>
              </w:rPr>
              <w:t>具有国家金融监督管理总局（原中国银行保险监督管理委员会）颁发的经营保险业务许可证或保险许可证。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主体审查</w:t>
            </w:r>
          </w:p>
        </w:tc>
        <w:tc>
          <w:tcPr>
            <w:tcW w:type="dxa" w:w="3322"/>
          </w:tcPr>
          <w:p>
            <w:pPr>
              <w:pStyle w:val="null3"/>
            </w:pPr>
            <w:r>
              <w:rPr>
                <w:rFonts w:ascii="仿宋_GB2312" w:hAnsi="仿宋_GB2312" w:cs="仿宋_GB2312" w:eastAsia="仿宋_GB2312"/>
              </w:rPr>
              <w:t>具有独⽴承担⺠事责任能⼒的法⼈、其他组织或⾃然⼈，并出具合法有效的营业执照或事业单位法⼈证等国家规定的相关证明，⾃然⼈参与的提供其⾝份证明。（同一保险机构只允许其本部或一家分支机构参与）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法定代表⼈（或分⽀机构负责⼈）⾝份证明或授权委托书</w:t>
            </w:r>
          </w:p>
        </w:tc>
        <w:tc>
          <w:tcPr>
            <w:tcW w:type="dxa" w:w="3322"/>
          </w:tcPr>
          <w:p>
            <w:pPr>
              <w:pStyle w:val="null3"/>
            </w:pPr>
            <w:r>
              <w:rPr>
                <w:rFonts w:ascii="仿宋_GB2312" w:hAnsi="仿宋_GB2312" w:cs="仿宋_GB2312" w:eastAsia="仿宋_GB2312"/>
              </w:rPr>
              <w:t>法定代表⼈（或分⽀机构负责⼈）参加投标须提供《法定 代表⼈（或分⽀机构负责⼈）⾝份证明》及⾝份证扫描件；法定代表⼈（或分⽀机构负责⼈）授权他⼈参加投标，须提供《法 定代表⼈（或分⽀机构负责⼈）授权委托书》、委托代理⼈⾝份证扫描件。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推⾏政 府采购供应商基本资格条件承诺制的通知》（ 汉采办采管〔2024〕20号）⽂件要求，提供资格承诺函。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本项⽬不接受联合体投标</w:t>
            </w:r>
          </w:p>
        </w:tc>
        <w:tc>
          <w:tcPr>
            <w:tcW w:type="dxa" w:w="3322"/>
          </w:tcPr>
          <w:p>
            <w:pPr>
              <w:pStyle w:val="null3"/>
            </w:pPr>
            <w:r>
              <w:rPr>
                <w:rFonts w:ascii="仿宋_GB2312" w:hAnsi="仿宋_GB2312" w:cs="仿宋_GB2312" w:eastAsia="仿宋_GB2312"/>
              </w:rPr>
              <w:t>本项⽬不接受联合体投标，提供声明函。单位负责人为同一人或者存在直接控股、管理关系的不同供应商，不得参加同一合同项下的政府采购活动，提供声明函。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且报价不超过最高限价金额</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响应文件内容符合竞争性磋商文件要求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响应文件封面 供应商应提交的相关资格证明材料.docx 类似项目业绩.docx 中小企业声明函 残疾人福利性单位声明函 商务应答表 服务方案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提供供应商2023年1月1日以来类似项⽬的业绩，每提供⼀个得2分，最⾼得6分，未提供不得分。（应提供中标通知书、保险单或保险合同关键⻚扫描件）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vMerge/>
          </w:tcPr>
          <w:p/>
        </w:tc>
        <w:tc>
          <w:tcPr>
            <w:tcW w:type="dxa" w:w="1661"/>
          </w:tcPr>
          <w:p>
            <w:pPr>
              <w:pStyle w:val="null3"/>
            </w:pPr>
            <w:r>
              <w:rPr>
                <w:rFonts w:ascii="仿宋_GB2312" w:hAnsi="仿宋_GB2312" w:cs="仿宋_GB2312" w:eastAsia="仿宋_GB2312"/>
              </w:rPr>
              <w:t>培训服务承诺</w:t>
            </w:r>
          </w:p>
        </w:tc>
        <w:tc>
          <w:tcPr>
            <w:tcW w:type="dxa" w:w="2492"/>
          </w:tcPr>
          <w:p>
            <w:pPr>
              <w:pStyle w:val="null3"/>
            </w:pPr>
            <w:r>
              <w:rPr>
                <w:rFonts w:ascii="仿宋_GB2312" w:hAnsi="仿宋_GB2312" w:cs="仿宋_GB2312" w:eastAsia="仿宋_GB2312"/>
              </w:rPr>
              <w:t>根据供应商制定的针对采购人、投保人(被保险人）关于保险内容及理赔流程的培训服务承诺（包括：培训次数、培训时间、培训内容）进行评分： 每提供⼀条得2分，最⾼得6分，未提供不得分。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优惠条件</w:t>
            </w:r>
          </w:p>
        </w:tc>
        <w:tc>
          <w:tcPr>
            <w:tcW w:type="dxa" w:w="2492"/>
          </w:tcPr>
          <w:p>
            <w:pPr>
              <w:pStyle w:val="null3"/>
            </w:pPr>
            <w:r>
              <w:rPr>
                <w:rFonts w:ascii="仿宋_GB2312" w:hAnsi="仿宋_GB2312" w:cs="仿宋_GB2312" w:eastAsia="仿宋_GB2312"/>
              </w:rPr>
              <w:t>根据供应商提供更有利于本项⽬投保、理赔等条款，特⾊服务及增值服务等优惠条件的数量及实现程度进⾏评分： 每提供⼀条得2分，最⾼得8分，未提供不得分。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⼈员、设备配置</w:t>
            </w:r>
          </w:p>
        </w:tc>
        <w:tc>
          <w:tcPr>
            <w:tcW w:type="dxa" w:w="2492"/>
          </w:tcPr>
          <w:p>
            <w:pPr>
              <w:pStyle w:val="null3"/>
            </w:pPr>
            <w:r>
              <w:rPr>
                <w:rFonts w:ascii="仿宋_GB2312" w:hAnsi="仿宋_GB2312" w:cs="仿宋_GB2312" w:eastAsia="仿宋_GB2312"/>
              </w:rPr>
              <w:t>1、供应商拟投⼊本项⽬的专职理赔服务⼈员在2⼈的基础上，每增加⼀⼈的加2分，最⾼得6分。 注：专职⼈员必须是供应商在册⼈员并提供相关证明⽂件扫描件,包含但不限于社保缴纳凭证、⼈员合同、⼈员简介等。 2、供应商拟投⼊本项⽬的⾃有⻋辆，每⼀辆得2分，最⾼得4分。 注：须提供⻋辆⾏驶证或购⻋发票扫描件。（⻋辆⾏驶证或购⻋发票须与供应商⼀致，否则不得分）。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偿付能⼒</w:t>
            </w:r>
          </w:p>
        </w:tc>
        <w:tc>
          <w:tcPr>
            <w:tcW w:type="dxa" w:w="2492"/>
          </w:tcPr>
          <w:p>
            <w:pPr>
              <w:pStyle w:val="null3"/>
            </w:pPr>
            <w:r>
              <w:rPr>
                <w:rFonts w:ascii="仿宋_GB2312" w:hAnsi="仿宋_GB2312" w:cs="仿宋_GB2312" w:eastAsia="仿宋_GB2312"/>
              </w:rPr>
              <w:t>根据供应商偿付能⼒的⾼低情况进⾏评分： （1）最近连续五年或以上偿付能⼒充⾜率≥100%，得10分； （2）最近连续四年偿付能⼒充⾜率≥100%,得8分； （3）最近连续三年偿付能⼒充⾜率≥100%,得6分； （4）最近连续二年偿付能⼒充⾜率≥100%,得4分； （5）最近⼀年偿付能⼒充⾜率≥100%, 得2分； （6）其他不得分。（提供偿付能力报表等相关证明材料，未提供不得分）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响应及时效承诺</w:t>
            </w:r>
          </w:p>
        </w:tc>
        <w:tc>
          <w:tcPr>
            <w:tcW w:type="dxa" w:w="2492"/>
          </w:tcPr>
          <w:p>
            <w:pPr>
              <w:pStyle w:val="null3"/>
            </w:pPr>
            <w:r>
              <w:rPr>
                <w:rFonts w:ascii="仿宋_GB2312" w:hAnsi="仿宋_GB2312" w:cs="仿宋_GB2312" w:eastAsia="仿宋_GB2312"/>
              </w:rPr>
              <w:t>1、供应商在服务⽅案中承诺接到报案电话后，在60分钟(不含)以内查勘⼈员赶赴现场查勘调解的，得4分。（未提供相关承诺不得分）2、根据供应商在服务⽅案中承诺的赔付义务履⾏时效进⾏打分： （1）承诺3个⼯作⽇内赔付的，得5分； （2）承诺5个⼯作⽇内赔付的，得4分； （3）承诺7个⼯作⽇或以上赔付的，得3分。 （4）未提供相关承诺不得分。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整体服务⽅案</w:t>
            </w:r>
          </w:p>
        </w:tc>
        <w:tc>
          <w:tcPr>
            <w:tcW w:type="dxa" w:w="2492"/>
          </w:tcPr>
          <w:p>
            <w:pPr>
              <w:pStyle w:val="null3"/>
            </w:pPr>
            <w:r>
              <w:rPr>
                <w:rFonts w:ascii="仿宋_GB2312" w:hAnsi="仿宋_GB2312" w:cs="仿宋_GB2312" w:eastAsia="仿宋_GB2312"/>
              </w:rPr>
              <w:t>一、评审内容： 供应商针对本项目提供服务方案，内容包含但不限于：①整体服务方案；②服务保障措施；③服务管理模式及重难点分析。二、评审标准：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承保服务⽅案</w:t>
            </w:r>
          </w:p>
        </w:tc>
        <w:tc>
          <w:tcPr>
            <w:tcW w:type="dxa" w:w="2492"/>
          </w:tcPr>
          <w:p>
            <w:pPr>
              <w:pStyle w:val="null3"/>
            </w:pPr>
            <w:r>
              <w:rPr>
                <w:rFonts w:ascii="仿宋_GB2312" w:hAnsi="仿宋_GB2312" w:cs="仿宋_GB2312" w:eastAsia="仿宋_GB2312"/>
              </w:rPr>
              <w:t>一、评审内容： 供应商针对本项目提供项目承保服务⽅案，内容包含但不限于：①救助责任及范围；②保险限额标准；③投保时效。二、评审标准：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理赔服务⽅案</w:t>
            </w:r>
          </w:p>
        </w:tc>
        <w:tc>
          <w:tcPr>
            <w:tcW w:type="dxa" w:w="2492"/>
          </w:tcPr>
          <w:p>
            <w:pPr>
              <w:pStyle w:val="null3"/>
            </w:pPr>
            <w:r>
              <w:rPr>
                <w:rFonts w:ascii="仿宋_GB2312" w:hAnsi="仿宋_GB2312" w:cs="仿宋_GB2312" w:eastAsia="仿宋_GB2312"/>
              </w:rPr>
              <w:t>一、评审内容： 供应商针对本项目提供项目理赔服务⽅案，内容包含但不限于：①理赔流程及理赔质量标准；②理赔响应时效及场勘查时效；③档案及跟踪管理保障措施。二、评审标准：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本项⽬以满⾜竞争性磋商⽂件要求 的有效供应商最低投标价格为评标 基准价。其他投标供应商的价格分 统⼀按照下列公式计算：投标报价 得分=(评标基准价∕投标报价)×价 格权值（15%）×100（四舍五⼊ 后保留⼩数点后两位）。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详见附件：拟签订采购合同文本（服务）.docx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