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版本号：ZSHZB-2026-21120260716001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2026年度安全第三方咨询服务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ZSHZB-2026-211</w:t>
      </w:r>
      <w:r>
        <w:br/>
      </w:r>
      <w:r>
        <w:br/>
      </w:r>
      <w:r>
        <w:br/>
      </w:r>
    </w:p>
    <w:p>
      <w:pPr>
        <w:pStyle w:val="null3"/>
        <w:jc w:val="center"/>
        <w:outlineLvl w:val="2"/>
      </w:pPr>
      <w:r>
        <w:rPr>
          <w:rFonts w:ascii="仿宋_GB2312" w:hAnsi="仿宋_GB2312" w:cs="仿宋_GB2312" w:eastAsia="仿宋_GB2312"/>
          <w:sz w:val="28"/>
          <w:b/>
        </w:rPr>
        <w:t>西安市雁塔区住房和城乡建设局</w:t>
      </w:r>
    </w:p>
    <w:p>
      <w:pPr>
        <w:pStyle w:val="null3"/>
        <w:jc w:val="center"/>
        <w:outlineLvl w:val="2"/>
      </w:pPr>
      <w:r>
        <w:rPr>
          <w:rFonts w:ascii="仿宋_GB2312" w:hAnsi="仿宋_GB2312" w:cs="仿宋_GB2312" w:eastAsia="仿宋_GB2312"/>
          <w:sz w:val="28"/>
          <w:b/>
        </w:rPr>
        <w:t>陕西中盛禾项目咨询有限公司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陕西中盛禾项目咨询有限公司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西安市雁塔区住房和城乡建设局</w:t>
      </w:r>
      <w:r>
        <w:rPr>
          <w:rFonts w:ascii="仿宋_GB2312" w:hAnsi="仿宋_GB2312" w:cs="仿宋_GB2312" w:eastAsia="仿宋_GB2312"/>
        </w:rPr>
        <w:t>委托，拟对</w:t>
      </w:r>
      <w:r>
        <w:rPr>
          <w:rFonts w:ascii="仿宋_GB2312" w:hAnsi="仿宋_GB2312" w:cs="仿宋_GB2312" w:eastAsia="仿宋_GB2312"/>
        </w:rPr>
        <w:t>2026年度安全第三方咨询服务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ZSHZB-2026-211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2026年度安全第三方咨询服务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托第三方专业技术力量资源优势，为主管部门提升工程安全生产现状管理，提供常态化技术指导、综合评测、报告出具、标准化创优等全链条赋能服务；为服务范围内工程提供风险辨识、隐患整治、教育培训、灾后重建等方面专业技术咨询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1、法定代表人身份证明或法定代表人授权委托书：法定代表人直接参加投标的，须出具法定代表人身份证明书；法定代表人授权代表参加投标的，须出具法定代表人授权委托书和被授权人身份证。</w:t>
      </w:r>
    </w:p>
    <w:p>
      <w:pPr>
        <w:pStyle w:val="null3"/>
      </w:pPr>
      <w:r>
        <w:rPr>
          <w:rFonts w:ascii="仿宋_GB2312" w:hAnsi="仿宋_GB2312" w:cs="仿宋_GB2312" w:eastAsia="仿宋_GB2312"/>
        </w:rPr>
        <w:t>2、企业资质要求：具备行政主管部门颁发的工程监理综合资质或房屋建筑工程监理甲级及以上资质，且无不良记录。</w:t>
      </w:r>
    </w:p>
    <w:p>
      <w:pPr>
        <w:pStyle w:val="null3"/>
      </w:pPr>
      <w:r>
        <w:rPr>
          <w:rFonts w:ascii="仿宋_GB2312" w:hAnsi="仿宋_GB2312" w:cs="仿宋_GB2312" w:eastAsia="仿宋_GB2312"/>
        </w:rPr>
        <w:t>3、项目负责人资格要求：项目负责人具有注册安全工程师或注册监理工程师或高级职称。</w:t>
      </w:r>
    </w:p>
    <w:p>
      <w:pPr>
        <w:pStyle w:val="null3"/>
      </w:pPr>
      <w:r>
        <w:rPr>
          <w:rFonts w:ascii="仿宋_GB2312" w:hAnsi="仿宋_GB2312" w:cs="仿宋_GB2312" w:eastAsia="仿宋_GB2312"/>
        </w:rPr>
        <w:t>4、信誉要求：供应商未列入“失信被执行人”、“重大税收违法案件当事人名单”和“政府采购严重违法失信行为记录名单”。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1、法定代表人身份证明或法定代表人授权委托书：法定代表人直接参加投标的，须出具法定代表人身份证明书；法定代表人授权代表参加投标的，须出具法定代表人授权委托书和被授权人身份证。</w:t>
      </w:r>
    </w:p>
    <w:p>
      <w:pPr>
        <w:pStyle w:val="null3"/>
      </w:pPr>
      <w:r>
        <w:rPr>
          <w:rFonts w:ascii="仿宋_GB2312" w:hAnsi="仿宋_GB2312" w:cs="仿宋_GB2312" w:eastAsia="仿宋_GB2312"/>
        </w:rPr>
        <w:t>2、企业资质要求：具备行政主管部门颁发的工程监理综合资质或房屋建筑工程监理甲级及以上资质，且无不良记录。</w:t>
      </w:r>
    </w:p>
    <w:p>
      <w:pPr>
        <w:pStyle w:val="null3"/>
      </w:pPr>
      <w:r>
        <w:rPr>
          <w:rFonts w:ascii="仿宋_GB2312" w:hAnsi="仿宋_GB2312" w:cs="仿宋_GB2312" w:eastAsia="仿宋_GB2312"/>
        </w:rPr>
        <w:t>3、项目负责人资格要求：项目负责人具有注册安全工程师或注册监理工程师或高级职称。</w:t>
      </w:r>
    </w:p>
    <w:p>
      <w:pPr>
        <w:pStyle w:val="null3"/>
      </w:pPr>
      <w:r>
        <w:rPr>
          <w:rFonts w:ascii="仿宋_GB2312" w:hAnsi="仿宋_GB2312" w:cs="仿宋_GB2312" w:eastAsia="仿宋_GB2312"/>
        </w:rPr>
        <w:t>4、信誉要求：供应商未列入“失信被执行人”、“重大税收违法案件当事人名单”和“政府采购严重违法失信行为记录名单”。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西安市翠华路146号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029-85363508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陕西中盛禾项目咨询有限公司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陕西省西安市雁塔区陕西省西安市雁塔区太白南路甲字6号上上国际2403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狄芳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18092735047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采购包2：1,800,000.00元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参考《国家计委关于印发&lt;招标代理服务收费管理暂行办法&gt;的通知》（计价格【2002】1980号）及《国家发改委关于降低部分建设项目收费标准规范收费行为等有关问题的通知》（发改价格[2011]534号）规定按标准收取。 2、中标单位在领取中标通知书前，须向招标代理机构一次性支付招标代理服务费。 3、招标代理服务费缴纳信息： 银行户名：陕西中盛禾项目咨询有限公司 开户行名称：交通银行股份有限公司西安大雁塔支行 账号：611301053013002029330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西安市雁塔区住房和城乡建设局</w:t>
      </w:r>
      <w:r>
        <w:rPr>
          <w:rFonts w:ascii="仿宋_GB2312" w:hAnsi="仿宋_GB2312" w:cs="仿宋_GB2312" w:eastAsia="仿宋_GB2312"/>
        </w:rPr>
        <w:t>和</w:t>
      </w:r>
      <w:r>
        <w:rPr>
          <w:rFonts w:ascii="仿宋_GB2312" w:hAnsi="仿宋_GB2312" w:cs="仿宋_GB2312" w:eastAsia="仿宋_GB2312"/>
        </w:rPr>
        <w:t>陕西中盛禾项目咨询有限公司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陕西中盛禾项目咨询有限公司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陕西中盛禾项目咨询有限公司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联系人：狄芳</w:t>
      </w:r>
    </w:p>
    <w:p>
      <w:pPr>
        <w:pStyle w:val="null3"/>
      </w:pPr>
      <w:r>
        <w:rPr>
          <w:rFonts w:ascii="仿宋_GB2312" w:hAnsi="仿宋_GB2312" w:cs="仿宋_GB2312" w:eastAsia="仿宋_GB2312"/>
        </w:rPr>
        <w:t>联系电话：18092735047</w:t>
      </w:r>
    </w:p>
    <w:p>
      <w:pPr>
        <w:pStyle w:val="null3"/>
      </w:pPr>
      <w:r>
        <w:rPr>
          <w:rFonts w:ascii="仿宋_GB2312" w:hAnsi="仿宋_GB2312" w:cs="仿宋_GB2312" w:eastAsia="仿宋_GB2312"/>
        </w:rPr>
        <w:t>地址：西安市未央区北三环首创国际城八期64号楼1811室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托第三方专业技术力量资源优势，为主管部门提升工程安全生产现状管理，提供常态化技术指导、综合评测、报告出具、标准化创优等全链条赋能服务；为服务范围内工程提供风险辨识、隐患整治、教育培训、灾后重建等方面专业技术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安全第三方咨询服务（一标段）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安全第三方咨询服务（二标段）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标的名称：安全第三方咨询服务（一标段）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一、本项目服务范围覆盖辖区全部在建房屋建筑工程</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装饰装修</w:t>
            </w:r>
            <w:r>
              <w:rPr>
                <w:rFonts w:ascii="仿宋_GB2312" w:hAnsi="仿宋_GB2312" w:cs="仿宋_GB2312" w:eastAsia="仿宋_GB2312"/>
                <w:sz w:val="21"/>
              </w:rPr>
              <w:t>工程</w:t>
            </w:r>
            <w:r>
              <w:rPr>
                <w:rFonts w:ascii="仿宋_GB2312" w:hAnsi="仿宋_GB2312" w:cs="仿宋_GB2312" w:eastAsia="仿宋_GB2312"/>
                <w:sz w:val="21"/>
              </w:rPr>
              <w:t>）</w:t>
            </w:r>
            <w:r>
              <w:rPr>
                <w:rFonts w:ascii="仿宋_GB2312" w:hAnsi="仿宋_GB2312" w:cs="仿宋_GB2312" w:eastAsia="仿宋_GB2312"/>
                <w:sz w:val="21"/>
              </w:rPr>
              <w:t>等</w:t>
            </w:r>
            <w:r>
              <w:rPr>
                <w:rFonts w:ascii="仿宋_GB2312" w:hAnsi="仿宋_GB2312" w:cs="仿宋_GB2312" w:eastAsia="仿宋_GB2312"/>
                <w:sz w:val="21"/>
              </w:rPr>
              <w:t>，包含上述项目全部施工标段</w:t>
            </w:r>
            <w:r>
              <w:rPr>
                <w:rFonts w:ascii="仿宋_GB2312" w:hAnsi="仿宋_GB2312" w:cs="仿宋_GB2312" w:eastAsia="仿宋_GB2312"/>
                <w:sz w:val="21"/>
              </w:rPr>
              <w:t>。</w:t>
            </w:r>
            <w:r>
              <w:rPr>
                <w:rFonts w:ascii="仿宋_GB2312" w:hAnsi="仿宋_GB2312" w:cs="仿宋_GB2312" w:eastAsia="仿宋_GB2312"/>
                <w:sz w:val="21"/>
              </w:rPr>
              <w:t>通过采购第三方专业技术服务，依托独立机构专业技术力量，</w:t>
            </w:r>
            <w:r>
              <w:rPr>
                <w:rFonts w:ascii="仿宋_GB2312" w:hAnsi="仿宋_GB2312" w:cs="仿宋_GB2312" w:eastAsia="仿宋_GB2312"/>
                <w:sz w:val="21"/>
              </w:rPr>
              <w:t>为</w:t>
            </w:r>
            <w:r>
              <w:rPr>
                <w:rFonts w:ascii="仿宋_GB2312" w:hAnsi="仿宋_GB2312" w:cs="仿宋_GB2312" w:eastAsia="仿宋_GB2312"/>
                <w:sz w:val="21"/>
              </w:rPr>
              <w:t>主管部门</w:t>
            </w:r>
            <w:r>
              <w:rPr>
                <w:rFonts w:ascii="仿宋_GB2312" w:hAnsi="仿宋_GB2312" w:cs="仿宋_GB2312" w:eastAsia="仿宋_GB2312"/>
                <w:sz w:val="21"/>
              </w:rPr>
              <w:t>提升</w:t>
            </w:r>
            <w:r>
              <w:rPr>
                <w:rFonts w:ascii="仿宋_GB2312" w:hAnsi="仿宋_GB2312" w:cs="仿宋_GB2312" w:eastAsia="仿宋_GB2312"/>
                <w:sz w:val="21"/>
              </w:rPr>
              <w:t>工程安全生产</w:t>
            </w:r>
            <w:r>
              <w:rPr>
                <w:rFonts w:ascii="仿宋_GB2312" w:hAnsi="仿宋_GB2312" w:cs="仿宋_GB2312" w:eastAsia="仿宋_GB2312"/>
                <w:sz w:val="21"/>
              </w:rPr>
              <w:t>现状管理，提供</w:t>
            </w:r>
            <w:r>
              <w:rPr>
                <w:rFonts w:ascii="仿宋_GB2312" w:hAnsi="仿宋_GB2312" w:cs="仿宋_GB2312" w:eastAsia="仿宋_GB2312"/>
                <w:sz w:val="21"/>
              </w:rPr>
              <w:t>常态化技术指导、综合评测、报告</w:t>
            </w:r>
            <w:r>
              <w:rPr>
                <w:rFonts w:ascii="仿宋_GB2312" w:hAnsi="仿宋_GB2312" w:cs="仿宋_GB2312" w:eastAsia="仿宋_GB2312"/>
                <w:sz w:val="21"/>
              </w:rPr>
              <w:t>出具</w:t>
            </w:r>
            <w:r>
              <w:rPr>
                <w:rFonts w:ascii="仿宋_GB2312" w:hAnsi="仿宋_GB2312" w:cs="仿宋_GB2312" w:eastAsia="仿宋_GB2312"/>
                <w:sz w:val="21"/>
              </w:rPr>
              <w:t>、标准化</w:t>
            </w:r>
            <w:r>
              <w:rPr>
                <w:rFonts w:ascii="仿宋_GB2312" w:hAnsi="仿宋_GB2312" w:cs="仿宋_GB2312" w:eastAsia="仿宋_GB2312"/>
                <w:sz w:val="21"/>
              </w:rPr>
              <w:t>创优</w:t>
            </w:r>
            <w:r>
              <w:rPr>
                <w:rFonts w:ascii="仿宋_GB2312" w:hAnsi="仿宋_GB2312" w:cs="仿宋_GB2312" w:eastAsia="仿宋_GB2312"/>
                <w:sz w:val="21"/>
              </w:rPr>
              <w:t>等全链条赋能服务</w:t>
            </w:r>
            <w:r>
              <w:rPr>
                <w:rFonts w:ascii="仿宋_GB2312" w:hAnsi="仿宋_GB2312" w:cs="仿宋_GB2312" w:eastAsia="仿宋_GB2312"/>
                <w:sz w:val="21"/>
              </w:rPr>
              <w:t>；</w:t>
            </w:r>
            <w:r>
              <w:rPr>
                <w:rFonts w:ascii="仿宋_GB2312" w:hAnsi="仿宋_GB2312" w:cs="仿宋_GB2312" w:eastAsia="仿宋_GB2312"/>
                <w:sz w:val="21"/>
              </w:rPr>
              <w:t>为</w:t>
            </w:r>
            <w:r>
              <w:rPr>
                <w:rFonts w:ascii="仿宋_GB2312" w:hAnsi="仿宋_GB2312" w:cs="仿宋_GB2312" w:eastAsia="仿宋_GB2312"/>
                <w:sz w:val="21"/>
              </w:rPr>
              <w:t>服务范围内工程</w:t>
            </w:r>
            <w:r>
              <w:rPr>
                <w:rFonts w:ascii="仿宋_GB2312" w:hAnsi="仿宋_GB2312" w:cs="仿宋_GB2312" w:eastAsia="仿宋_GB2312"/>
                <w:sz w:val="21"/>
              </w:rPr>
              <w:t>提供风险辨识、隐患整治、</w:t>
            </w:r>
            <w:r>
              <w:rPr>
                <w:rFonts w:ascii="仿宋_GB2312" w:hAnsi="仿宋_GB2312" w:cs="仿宋_GB2312" w:eastAsia="仿宋_GB2312"/>
                <w:sz w:val="21"/>
              </w:rPr>
              <w:t>教育培训、灾后重建</w:t>
            </w:r>
            <w:r>
              <w:rPr>
                <w:rFonts w:ascii="仿宋_GB2312" w:hAnsi="仿宋_GB2312" w:cs="仿宋_GB2312" w:eastAsia="仿宋_GB2312"/>
                <w:sz w:val="21"/>
              </w:rPr>
              <w:t>等方面</w:t>
            </w:r>
            <w:r>
              <w:rPr>
                <w:rFonts w:ascii="仿宋_GB2312" w:hAnsi="仿宋_GB2312" w:cs="仿宋_GB2312" w:eastAsia="仿宋_GB2312"/>
                <w:sz w:val="21"/>
              </w:rPr>
              <w:t>专业</w:t>
            </w:r>
            <w:r>
              <w:rPr>
                <w:rFonts w:ascii="仿宋_GB2312" w:hAnsi="仿宋_GB2312" w:cs="仿宋_GB2312" w:eastAsia="仿宋_GB2312"/>
                <w:sz w:val="21"/>
              </w:rPr>
              <w:t>技术咨询服务。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二、服务工作内容</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针对</w:t>
            </w:r>
            <w:r>
              <w:rPr>
                <w:rFonts w:ascii="仿宋_GB2312" w:hAnsi="仿宋_GB2312" w:cs="仿宋_GB2312" w:eastAsia="仿宋_GB2312"/>
                <w:sz w:val="21"/>
              </w:rPr>
              <w:t>全域项目现场安全现状摸排与风险分级管控</w:t>
            </w:r>
          </w:p>
          <w:p>
            <w:pPr>
              <w:pStyle w:val="null3"/>
            </w:pPr>
            <w:r>
              <w:rPr>
                <w:rFonts w:ascii="仿宋_GB2312" w:hAnsi="仿宋_GB2312" w:cs="仿宋_GB2312" w:eastAsia="仿宋_GB2312"/>
                <w:sz w:val="21"/>
              </w:rPr>
              <w:t>对辖区所有在建项目全标段实施全覆盖实地踏勘摸排，围绕</w:t>
            </w:r>
            <w:r>
              <w:rPr>
                <w:rFonts w:ascii="仿宋_GB2312" w:hAnsi="仿宋_GB2312" w:cs="仿宋_GB2312" w:eastAsia="仿宋_GB2312"/>
                <w:sz w:val="21"/>
              </w:rPr>
              <w:t>施工现场制度管理和</w:t>
            </w:r>
            <w:r>
              <w:rPr>
                <w:rFonts w:ascii="仿宋_GB2312" w:hAnsi="仿宋_GB2312" w:cs="仿宋_GB2312" w:eastAsia="仿宋_GB2312"/>
                <w:sz w:val="21"/>
              </w:rPr>
              <w:t>实体安全</w:t>
            </w:r>
            <w:r>
              <w:rPr>
                <w:rFonts w:ascii="仿宋_GB2312" w:hAnsi="仿宋_GB2312" w:cs="仿宋_GB2312" w:eastAsia="仿宋_GB2312"/>
                <w:sz w:val="21"/>
              </w:rPr>
              <w:t>两大维度</w:t>
            </w:r>
            <w:r>
              <w:rPr>
                <w:rFonts w:ascii="仿宋_GB2312" w:hAnsi="仿宋_GB2312" w:cs="仿宋_GB2312" w:eastAsia="仿宋_GB2312"/>
                <w:sz w:val="21"/>
              </w:rPr>
              <w:t>开展系统性现状梳理</w:t>
            </w:r>
            <w:r>
              <w:rPr>
                <w:rFonts w:ascii="仿宋_GB2312" w:hAnsi="仿宋_GB2312" w:cs="仿宋_GB2312" w:eastAsia="仿宋_GB2312"/>
                <w:sz w:val="21"/>
              </w:rPr>
              <w:t>，</w:t>
            </w:r>
            <w:r>
              <w:rPr>
                <w:rFonts w:ascii="仿宋_GB2312" w:hAnsi="仿宋_GB2312" w:cs="仿宋_GB2312" w:eastAsia="仿宋_GB2312"/>
                <w:sz w:val="21"/>
              </w:rPr>
              <w:t>分级界定隐患风险等级，列明问题判定依据、风险危害程度，建立全域项目动态</w:t>
            </w:r>
            <w:r>
              <w:rPr>
                <w:rFonts w:ascii="仿宋_GB2312" w:hAnsi="仿宋_GB2312" w:cs="仿宋_GB2312" w:eastAsia="仿宋_GB2312"/>
                <w:sz w:val="21"/>
              </w:rPr>
              <w:t>安全</w:t>
            </w:r>
            <w:r>
              <w:rPr>
                <w:rFonts w:ascii="仿宋_GB2312" w:hAnsi="仿宋_GB2312" w:cs="仿宋_GB2312" w:eastAsia="仿宋_GB2312"/>
                <w:sz w:val="21"/>
              </w:rPr>
              <w:t>风险台账</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配合采购人指导</w:t>
            </w:r>
            <w:r>
              <w:rPr>
                <w:rFonts w:ascii="仿宋_GB2312" w:hAnsi="仿宋_GB2312" w:cs="仿宋_GB2312" w:eastAsia="仿宋_GB2312"/>
                <w:sz w:val="21"/>
              </w:rPr>
              <w:t>参建单位履职梳理</w:t>
            </w:r>
            <w:r>
              <w:rPr>
                <w:rFonts w:ascii="仿宋_GB2312" w:hAnsi="仿宋_GB2312" w:cs="仿宋_GB2312" w:eastAsia="仿宋_GB2312"/>
                <w:sz w:val="21"/>
              </w:rPr>
              <w:t>及</w:t>
            </w:r>
            <w:r>
              <w:rPr>
                <w:rFonts w:ascii="仿宋_GB2312" w:hAnsi="仿宋_GB2312" w:cs="仿宋_GB2312" w:eastAsia="仿宋_GB2312"/>
                <w:sz w:val="21"/>
              </w:rPr>
              <w:t>安全技术咨询</w:t>
            </w:r>
          </w:p>
          <w:p>
            <w:pPr>
              <w:pStyle w:val="null3"/>
            </w:pPr>
            <w:r>
              <w:rPr>
                <w:rFonts w:ascii="仿宋_GB2312" w:hAnsi="仿宋_GB2312" w:cs="仿宋_GB2312" w:eastAsia="仿宋_GB2312"/>
                <w:sz w:val="21"/>
              </w:rPr>
              <w:t>配合</w:t>
            </w:r>
            <w:r>
              <w:rPr>
                <w:rFonts w:ascii="仿宋_GB2312" w:hAnsi="仿宋_GB2312" w:cs="仿宋_GB2312" w:eastAsia="仿宋_GB2312"/>
                <w:sz w:val="21"/>
              </w:rPr>
              <w:t>梳理</w:t>
            </w:r>
            <w:r>
              <w:rPr>
                <w:rFonts w:ascii="仿宋_GB2312" w:hAnsi="仿宋_GB2312" w:cs="仿宋_GB2312" w:eastAsia="仿宋_GB2312"/>
                <w:sz w:val="21"/>
              </w:rPr>
              <w:t>参建单位</w:t>
            </w:r>
            <w:r>
              <w:rPr>
                <w:rFonts w:ascii="仿宋_GB2312" w:hAnsi="仿宋_GB2312" w:cs="仿宋_GB2312" w:eastAsia="仿宋_GB2312"/>
                <w:sz w:val="21"/>
              </w:rPr>
              <w:t>安全责任制落实、专项方案编审论证、安全交底、安全教育等内业资料合规性。针对现场管理缺陷、制度漏洞、</w:t>
            </w:r>
            <w:r>
              <w:rPr>
                <w:rFonts w:ascii="仿宋_GB2312" w:hAnsi="仿宋_GB2312" w:cs="仿宋_GB2312" w:eastAsia="仿宋_GB2312"/>
                <w:sz w:val="21"/>
              </w:rPr>
              <w:t>履职缺位等</w:t>
            </w:r>
            <w:r>
              <w:rPr>
                <w:rFonts w:ascii="仿宋_GB2312" w:hAnsi="仿宋_GB2312" w:cs="仿宋_GB2312" w:eastAsia="仿宋_GB2312"/>
                <w:sz w:val="21"/>
              </w:rPr>
              <w:t>违规事项提供专业化</w:t>
            </w:r>
            <w:r>
              <w:rPr>
                <w:rFonts w:ascii="仿宋_GB2312" w:hAnsi="仿宋_GB2312" w:cs="仿宋_GB2312" w:eastAsia="仿宋_GB2312"/>
                <w:sz w:val="21"/>
              </w:rPr>
              <w:t>技术</w:t>
            </w:r>
            <w:r>
              <w:rPr>
                <w:rFonts w:ascii="仿宋_GB2312" w:hAnsi="仿宋_GB2312" w:cs="仿宋_GB2312" w:eastAsia="仿宋_GB2312"/>
                <w:sz w:val="21"/>
              </w:rPr>
              <w:t>咨询，出具整改优化建议，指导参建各方完善安全</w:t>
            </w:r>
            <w:r>
              <w:rPr>
                <w:rFonts w:ascii="仿宋_GB2312" w:hAnsi="仿宋_GB2312" w:cs="仿宋_GB2312" w:eastAsia="仿宋_GB2312"/>
                <w:sz w:val="21"/>
              </w:rPr>
              <w:t>管理</w:t>
            </w:r>
            <w:r>
              <w:rPr>
                <w:rFonts w:ascii="仿宋_GB2312" w:hAnsi="仿宋_GB2312" w:cs="仿宋_GB2312" w:eastAsia="仿宋_GB2312"/>
                <w:sz w:val="21"/>
              </w:rPr>
              <w:t>体系、落实现场标准化管控</w:t>
            </w:r>
            <w:r>
              <w:rPr>
                <w:rFonts w:ascii="仿宋_GB2312" w:hAnsi="仿宋_GB2312" w:cs="仿宋_GB2312" w:eastAsia="仿宋_GB2312"/>
                <w:sz w:val="21"/>
              </w:rPr>
              <w:t>和灾害重建</w:t>
            </w:r>
            <w:r>
              <w:rPr>
                <w:rFonts w:ascii="仿宋_GB2312" w:hAnsi="仿宋_GB2312" w:cs="仿宋_GB2312" w:eastAsia="仿宋_GB2312"/>
                <w:sz w:val="21"/>
              </w:rPr>
              <w:t>举措</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安全生产综合评测、企业安全经营指导</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以隐患发生率、整改完成率、现场标准化程度、主体履职成效等为指标，对单个项目、施工标段、参建企业提供专项安全技术服务</w:t>
            </w:r>
            <w:r>
              <w:rPr>
                <w:rFonts w:ascii="仿宋_GB2312" w:hAnsi="仿宋_GB2312" w:cs="仿宋_GB2312" w:eastAsia="仿宋_GB2312"/>
                <w:sz w:val="21"/>
              </w:rPr>
              <w:t>，定期</w:t>
            </w:r>
            <w:r>
              <w:rPr>
                <w:rFonts w:ascii="仿宋_GB2312" w:hAnsi="仿宋_GB2312" w:cs="仿宋_GB2312" w:eastAsia="仿宋_GB2312"/>
                <w:sz w:val="21"/>
              </w:rPr>
              <w:t>开展施工风险辨识、工程安全性技术评估</w:t>
            </w:r>
            <w:r>
              <w:rPr>
                <w:rFonts w:ascii="仿宋_GB2312" w:hAnsi="仿宋_GB2312" w:cs="仿宋_GB2312" w:eastAsia="仿宋_GB2312"/>
                <w:sz w:val="21"/>
              </w:rPr>
              <w:t>，</w:t>
            </w:r>
            <w:r>
              <w:rPr>
                <w:rFonts w:ascii="仿宋_GB2312" w:hAnsi="仿宋_GB2312" w:cs="仿宋_GB2312" w:eastAsia="仿宋_GB2312"/>
                <w:sz w:val="21"/>
              </w:rPr>
              <w:t>量化安全管理综合评测，出具评级结论；</w:t>
            </w:r>
          </w:p>
          <w:p>
            <w:pPr>
              <w:pStyle w:val="null3"/>
            </w:pPr>
            <w:r>
              <w:rPr>
                <w:rFonts w:ascii="仿宋_GB2312" w:hAnsi="仿宋_GB2312" w:cs="仿宋_GB2312" w:eastAsia="仿宋_GB2312"/>
                <w:sz w:val="21"/>
              </w:rPr>
              <w:t>2.</w:t>
            </w:r>
            <w:r>
              <w:rPr>
                <w:rFonts w:ascii="仿宋_GB2312" w:hAnsi="仿宋_GB2312" w:cs="仿宋_GB2312" w:eastAsia="仿宋_GB2312"/>
                <w:sz w:val="21"/>
              </w:rPr>
              <w:t>汇总全区域安全数据，分析</w:t>
            </w:r>
            <w:r>
              <w:rPr>
                <w:rFonts w:ascii="仿宋_GB2312" w:hAnsi="仿宋_GB2312" w:cs="仿宋_GB2312" w:eastAsia="仿宋_GB2312"/>
                <w:sz w:val="21"/>
              </w:rPr>
              <w:t>区域</w:t>
            </w:r>
            <w:r>
              <w:rPr>
                <w:rFonts w:ascii="仿宋_GB2312" w:hAnsi="仿宋_GB2312" w:cs="仿宋_GB2312" w:eastAsia="仿宋_GB2312"/>
                <w:sz w:val="21"/>
              </w:rPr>
              <w:t>行业共性隐患、阶段性风险特征，研判施工企业安全生产经营管控短板与合规风险，形成行业运行分析结论，为监管施策、企业信用考评提供数据</w:t>
            </w:r>
            <w:r>
              <w:rPr>
                <w:rFonts w:ascii="仿宋_GB2312" w:hAnsi="仿宋_GB2312" w:cs="仿宋_GB2312" w:eastAsia="仿宋_GB2312"/>
                <w:sz w:val="21"/>
              </w:rPr>
              <w:t>技术服务</w:t>
            </w:r>
            <w:r>
              <w:rPr>
                <w:rFonts w:ascii="仿宋_GB2312" w:hAnsi="仿宋_GB2312" w:cs="仿宋_GB2312" w:eastAsia="仿宋_GB2312"/>
                <w:sz w:val="21"/>
              </w:rPr>
              <w:t>支撑</w:t>
            </w:r>
            <w:r>
              <w:rPr>
                <w:rFonts w:ascii="仿宋_GB2312" w:hAnsi="仿宋_GB2312" w:cs="仿宋_GB2312" w:eastAsia="仿宋_GB2312"/>
                <w:sz w:val="21"/>
              </w:rPr>
              <w:t>；</w:t>
            </w:r>
          </w:p>
          <w:p>
            <w:pPr>
              <w:pStyle w:val="null3"/>
            </w:pPr>
            <w:r>
              <w:rPr>
                <w:rFonts w:ascii="仿宋_GB2312" w:hAnsi="仿宋_GB2312" w:cs="仿宋_GB2312" w:eastAsia="仿宋_GB2312"/>
                <w:sz w:val="21"/>
              </w:rPr>
              <w:t>3.每季度为服务范围内的工程</w:t>
            </w:r>
            <w:r>
              <w:rPr>
                <w:rFonts w:ascii="仿宋_GB2312" w:hAnsi="仿宋_GB2312" w:cs="仿宋_GB2312" w:eastAsia="仿宋_GB2312"/>
                <w:sz w:val="21"/>
              </w:rPr>
              <w:t>提供</w:t>
            </w:r>
            <w:r>
              <w:rPr>
                <w:rFonts w:ascii="仿宋_GB2312" w:hAnsi="仿宋_GB2312" w:cs="仿宋_GB2312" w:eastAsia="仿宋_GB2312"/>
                <w:sz w:val="21"/>
              </w:rPr>
              <w:t>不少于</w:t>
            </w:r>
            <w:r>
              <w:rPr>
                <w:rFonts w:ascii="仿宋_GB2312" w:hAnsi="仿宋_GB2312" w:cs="仿宋_GB2312" w:eastAsia="仿宋_GB2312"/>
                <w:sz w:val="21"/>
              </w:rPr>
              <w:t>1次的安全生产专题教育培训服务，宣讲安全生产相关的法律法规、履职责任、隐患辨识、应急处置等方面内容；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）全周期各类报告编制出具</w:t>
            </w:r>
          </w:p>
          <w:p>
            <w:pPr>
              <w:pStyle w:val="null3"/>
            </w:pPr>
            <w:r>
              <w:rPr>
                <w:rFonts w:ascii="仿宋_GB2312" w:hAnsi="仿宋_GB2312" w:cs="仿宋_GB2312" w:eastAsia="仿宋_GB2312"/>
                <w:sz w:val="21"/>
              </w:rPr>
              <w:t>按约定时限编制并报送全套正式书面及电子版成果：月度项目安全评测</w:t>
            </w:r>
            <w:r>
              <w:rPr>
                <w:rFonts w:ascii="仿宋_GB2312" w:hAnsi="仿宋_GB2312" w:cs="仿宋_GB2312" w:eastAsia="仿宋_GB2312"/>
                <w:sz w:val="21"/>
              </w:rPr>
              <w:t>分析</w:t>
            </w:r>
            <w:r>
              <w:rPr>
                <w:rFonts w:ascii="仿宋_GB2312" w:hAnsi="仿宋_GB2312" w:cs="仿宋_GB2312" w:eastAsia="仿宋_GB2312"/>
                <w:sz w:val="21"/>
              </w:rPr>
              <w:t>报告、季度行业安全研判报告、年度全域安全生产总评估报告</w:t>
            </w:r>
            <w:r>
              <w:rPr>
                <w:rFonts w:ascii="仿宋_GB2312" w:hAnsi="仿宋_GB2312" w:cs="仿宋_GB2312" w:eastAsia="仿宋_GB2312"/>
                <w:sz w:val="21"/>
              </w:rPr>
              <w:t>、</w:t>
            </w:r>
            <w:r>
              <w:rPr>
                <w:rFonts w:ascii="仿宋_GB2312" w:hAnsi="仿宋_GB2312" w:cs="仿宋_GB2312" w:eastAsia="仿宋_GB2312"/>
                <w:sz w:val="21"/>
              </w:rPr>
              <w:t>重点时段安全风险和</w:t>
            </w:r>
            <w:r>
              <w:rPr>
                <w:rFonts w:ascii="仿宋_GB2312" w:hAnsi="仿宋_GB2312" w:cs="仿宋_GB2312" w:eastAsia="仿宋_GB2312"/>
                <w:sz w:val="21"/>
              </w:rPr>
              <w:t>重点项目</w:t>
            </w:r>
            <w:r>
              <w:rPr>
                <w:rFonts w:ascii="仿宋_GB2312" w:hAnsi="仿宋_GB2312" w:cs="仿宋_GB2312" w:eastAsia="仿宋_GB2312"/>
                <w:sz w:val="21"/>
              </w:rPr>
              <w:t>安全技术性评估</w:t>
            </w:r>
            <w:r>
              <w:rPr>
                <w:rFonts w:ascii="仿宋_GB2312" w:hAnsi="仿宋_GB2312" w:cs="仿宋_GB2312" w:eastAsia="仿宋_GB2312"/>
                <w:sz w:val="21"/>
              </w:rPr>
              <w:t>报告</w:t>
            </w:r>
            <w:r>
              <w:rPr>
                <w:rFonts w:ascii="仿宋_GB2312" w:hAnsi="仿宋_GB2312" w:cs="仿宋_GB2312" w:eastAsia="仿宋_GB2312"/>
                <w:sz w:val="21"/>
              </w:rPr>
              <w:t>，</w:t>
            </w:r>
            <w:r>
              <w:rPr>
                <w:rFonts w:ascii="仿宋_GB2312" w:hAnsi="仿宋_GB2312" w:cs="仿宋_GB2312" w:eastAsia="仿宋_GB2312"/>
                <w:sz w:val="21"/>
              </w:rPr>
              <w:t>所有报告内容客观详实、数据完整、签章规范</w:t>
            </w:r>
            <w:r>
              <w:rPr>
                <w:rFonts w:ascii="仿宋_GB2312" w:hAnsi="仿宋_GB2312" w:cs="仿宋_GB2312" w:eastAsia="仿宋_GB2312"/>
                <w:sz w:val="21"/>
              </w:rPr>
              <w:t>；</w:t>
            </w:r>
            <w:r>
              <w:rPr>
                <w:rFonts w:ascii="仿宋_GB2312" w:hAnsi="仿宋_GB2312" w:cs="仿宋_GB2312" w:eastAsia="仿宋_GB2312"/>
                <w:sz w:val="21"/>
              </w:rPr>
              <w:t>指导采购人合规性修订优化</w:t>
            </w:r>
            <w:r>
              <w:rPr>
                <w:rFonts w:ascii="仿宋_GB2312" w:hAnsi="仿宋_GB2312" w:cs="仿宋_GB2312" w:eastAsia="仿宋_GB2312"/>
                <w:sz w:val="21"/>
              </w:rPr>
              <w:t>预案</w:t>
            </w:r>
            <w:r>
              <w:rPr>
                <w:rFonts w:ascii="仿宋_GB2312" w:hAnsi="仿宋_GB2312" w:cs="仿宋_GB2312" w:eastAsia="仿宋_GB2312"/>
                <w:sz w:val="21"/>
              </w:rPr>
              <w:t>体系、补充实操处置流程、完善应急资源配置；</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建筑领域</w:t>
            </w:r>
            <w:r>
              <w:rPr>
                <w:rFonts w:ascii="仿宋_GB2312" w:hAnsi="仿宋_GB2312" w:cs="仿宋_GB2312" w:eastAsia="仿宋_GB2312"/>
                <w:sz w:val="21"/>
              </w:rPr>
              <w:t>标准化创优</w:t>
            </w:r>
            <w:r>
              <w:rPr>
                <w:rFonts w:ascii="仿宋_GB2312" w:hAnsi="仿宋_GB2312" w:cs="仿宋_GB2312" w:eastAsia="仿宋_GB2312"/>
                <w:sz w:val="21"/>
              </w:rPr>
              <w:t>机制建设</w:t>
            </w:r>
          </w:p>
          <w:p>
            <w:pPr>
              <w:pStyle w:val="null3"/>
            </w:pPr>
            <w:r>
              <w:rPr>
                <w:rFonts w:ascii="仿宋_GB2312" w:hAnsi="仿宋_GB2312" w:cs="仿宋_GB2312" w:eastAsia="仿宋_GB2312"/>
                <w:sz w:val="21"/>
              </w:rPr>
              <w:t>配合</w:t>
            </w:r>
            <w:r>
              <w:rPr>
                <w:rFonts w:ascii="仿宋_GB2312" w:hAnsi="仿宋_GB2312" w:cs="仿宋_GB2312" w:eastAsia="仿宋_GB2312"/>
                <w:sz w:val="21"/>
              </w:rPr>
              <w:t>采购人健全完善辖区建筑工程安全生产标准化创优长效机制，</w:t>
            </w:r>
            <w:r>
              <w:rPr>
                <w:rFonts w:ascii="仿宋_GB2312" w:hAnsi="仿宋_GB2312" w:cs="仿宋_GB2312" w:eastAsia="仿宋_GB2312"/>
                <w:sz w:val="21"/>
              </w:rPr>
              <w:t>结合辖区管控痛点提出长效安全治理合理化建议</w:t>
            </w:r>
            <w:r>
              <w:rPr>
                <w:rFonts w:ascii="仿宋_GB2312" w:hAnsi="仿宋_GB2312" w:cs="仿宋_GB2312" w:eastAsia="仿宋_GB2312"/>
                <w:sz w:val="21"/>
              </w:rPr>
              <w:t>，</w:t>
            </w:r>
            <w:r>
              <w:rPr>
                <w:rFonts w:ascii="仿宋_GB2312" w:hAnsi="仿宋_GB2312" w:cs="仿宋_GB2312" w:eastAsia="仿宋_GB2312"/>
                <w:sz w:val="21"/>
              </w:rPr>
              <w:t>破解项目标准化落实参差不齐、现场管控同质化短板，总结</w:t>
            </w:r>
            <w:r>
              <w:rPr>
                <w:rFonts w:ascii="仿宋_GB2312" w:hAnsi="仿宋_GB2312" w:cs="仿宋_GB2312" w:eastAsia="仿宋_GB2312"/>
                <w:sz w:val="21"/>
              </w:rPr>
              <w:t>提炼</w:t>
            </w:r>
            <w:r>
              <w:rPr>
                <w:rFonts w:ascii="仿宋_GB2312" w:hAnsi="仿宋_GB2312" w:cs="仿宋_GB2312" w:eastAsia="仿宋_GB2312"/>
                <w:sz w:val="21"/>
              </w:rPr>
              <w:t>标杆项目先进管理经验、工艺做法及管控模式</w:t>
            </w:r>
            <w:r>
              <w:rPr>
                <w:rFonts w:ascii="仿宋_GB2312" w:hAnsi="仿宋_GB2312" w:cs="仿宋_GB2312" w:eastAsia="仿宋_GB2312"/>
                <w:sz w:val="21"/>
              </w:rPr>
              <w:t>，</w:t>
            </w:r>
            <w:r>
              <w:rPr>
                <w:rFonts w:ascii="仿宋_GB2312" w:hAnsi="仿宋_GB2312" w:cs="仿宋_GB2312" w:eastAsia="仿宋_GB2312"/>
                <w:sz w:val="21"/>
              </w:rPr>
              <w:t>提升辖区工程建设领域安全标准化整体水平</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科技赋能安全监管</w:t>
            </w:r>
          </w:p>
          <w:p>
            <w:pPr>
              <w:pStyle w:val="null3"/>
            </w:pPr>
            <w:r>
              <w:rPr>
                <w:rFonts w:ascii="仿宋_GB2312" w:hAnsi="仿宋_GB2312" w:cs="仿宋_GB2312" w:eastAsia="仿宋_GB2312"/>
                <w:sz w:val="21"/>
              </w:rPr>
              <w:t>借助无人机航拍巡查技术，对在建项目高处、基坑、大型机械、屋顶等人工难以抵达区域开展常态化航拍摸排，留存影像资料，实现全域施工现场数字化、可视化管控。</w:t>
            </w:r>
          </w:p>
          <w:p>
            <w:pPr>
              <w:pStyle w:val="null3"/>
            </w:pPr>
            <w:r>
              <w:rPr>
                <w:rFonts w:ascii="仿宋_GB2312" w:hAnsi="仿宋_GB2312" w:cs="仿宋_GB2312" w:eastAsia="仿宋_GB2312"/>
                <w:sz w:val="21"/>
              </w:rPr>
              <w:t>无人机参数要求：</w:t>
            </w:r>
          </w:p>
          <w:p>
            <w:pPr>
              <w:pStyle w:val="null3"/>
            </w:pPr>
            <w:r>
              <w:rPr>
                <w:rFonts w:ascii="仿宋_GB2312" w:hAnsi="仿宋_GB2312" w:cs="仿宋_GB2312" w:eastAsia="仿宋_GB2312"/>
                <w:sz w:val="20"/>
              </w:rPr>
              <w:t>1.整机飞行平台要求</w:t>
            </w:r>
          </w:p>
          <w:p>
            <w:pPr>
              <w:pStyle w:val="null3"/>
            </w:pPr>
            <w:r>
              <w:rPr>
                <w:rFonts w:ascii="仿宋_GB2312" w:hAnsi="仿宋_GB2312" w:cs="仿宋_GB2312" w:eastAsia="仿宋_GB2312"/>
                <w:sz w:val="20"/>
              </w:rPr>
              <w:t>①设备为电动折叠式四旋翼工业无人机，最大起飞重量≤9kg；单电池标准空载续航时长≥40min；作业抗风风速≥10m/s；机身整体防护等级不低于IP45，优先IP54及以上；整机稳定工作温度区间覆盖-10℃～45℃；</w:t>
            </w:r>
          </w:p>
          <w:p>
            <w:pPr>
              <w:pStyle w:val="null3"/>
            </w:pPr>
            <w:r>
              <w:rPr>
                <w:rFonts w:ascii="仿宋_GB2312" w:hAnsi="仿宋_GB2312" w:cs="仿宋_GB2312" w:eastAsia="仿宋_GB2312"/>
                <w:sz w:val="20"/>
              </w:rPr>
              <w:t>②标配四星及以上多星GNSS+RTK差分高精度定位系统；RTK固定解模式下，悬停水平精度≤0.1m、垂直悬停精度≤0.15m；搭载五向及以上视觉或多传感器融合主动避障系统，可实现障碍物自主制动、智能绕行避让。</w:t>
            </w:r>
          </w:p>
          <w:p>
            <w:pPr>
              <w:pStyle w:val="null3"/>
            </w:pPr>
            <w:r>
              <w:rPr>
                <w:rFonts w:ascii="仿宋_GB2312" w:hAnsi="仿宋_GB2312" w:cs="仿宋_GB2312" w:eastAsia="仿宋_GB2312"/>
                <w:sz w:val="20"/>
              </w:rPr>
              <w:t>2.云台航拍载荷配置</w:t>
            </w:r>
          </w:p>
          <w:p>
            <w:pPr>
              <w:pStyle w:val="null3"/>
            </w:pPr>
            <w:r>
              <w:rPr>
                <w:rFonts w:ascii="仿宋_GB2312" w:hAnsi="仿宋_GB2312" w:cs="仿宋_GB2312" w:eastAsia="仿宋_GB2312"/>
                <w:sz w:val="20"/>
              </w:rPr>
              <w:t>搭载三轴机械增稳防抖云台，可见光相机有效像素</w:t>
            </w:r>
            <w:r>
              <w:rPr>
                <w:rFonts w:ascii="仿宋_GB2312" w:hAnsi="仿宋_GB2312" w:cs="仿宋_GB2312" w:eastAsia="仿宋_GB2312"/>
                <w:sz w:val="20"/>
              </w:rPr>
              <w:t>≥2000万，光学变焦倍数≥4倍；支持4K高清视频录制；拍摄照片可自动叠加经纬度坐标水印，满足现场取证、档案归档规范要求。</w:t>
            </w:r>
          </w:p>
          <w:p>
            <w:pPr>
              <w:pStyle w:val="null3"/>
            </w:pPr>
            <w:r>
              <w:rPr>
                <w:rFonts w:ascii="仿宋_GB2312" w:hAnsi="仿宋_GB2312" w:cs="仿宋_GB2312" w:eastAsia="仿宋_GB2312"/>
                <w:sz w:val="20"/>
              </w:rPr>
              <w:t>3.图传链路与作业功能</w:t>
            </w:r>
          </w:p>
          <w:p>
            <w:pPr>
              <w:pStyle w:val="null3"/>
            </w:pPr>
            <w:r>
              <w:rPr>
                <w:rFonts w:ascii="仿宋_GB2312" w:hAnsi="仿宋_GB2312" w:cs="仿宋_GB2312" w:eastAsia="仿宋_GB2312"/>
                <w:sz w:val="20"/>
              </w:rPr>
              <w:t>①数字高清无线图传，开阔无遮挡环境有效传输距离≥10km；配套工业级手持地面站控制器；</w:t>
            </w:r>
          </w:p>
          <w:p>
            <w:pPr>
              <w:pStyle w:val="null3"/>
            </w:pPr>
            <w:r>
              <w:rPr>
                <w:rFonts w:ascii="仿宋_GB2312" w:hAnsi="仿宋_GB2312" w:cs="仿宋_GB2312" w:eastAsia="仿宋_GB2312"/>
                <w:sz w:val="20"/>
              </w:rPr>
              <w:t>②飞行模式支持：人工手动实时巡检、全自动航线规划飞行、任务断点续飞；飞行轨迹日志、巡检标记点位、航拍原始影像数据均可完整导出至本地存储归档。</w:t>
            </w:r>
          </w:p>
          <w:p>
            <w:pPr>
              <w:pStyle w:val="null3"/>
            </w:pPr>
            <w:r>
              <w:rPr>
                <w:rFonts w:ascii="仿宋_GB2312" w:hAnsi="仿宋_GB2312" w:cs="仿宋_GB2312" w:eastAsia="仿宋_GB2312"/>
                <w:sz w:val="20"/>
              </w:rPr>
              <w:t>4.资质文件、标配配件及售后质保</w:t>
            </w:r>
          </w:p>
          <w:p>
            <w:pPr>
              <w:pStyle w:val="null3"/>
            </w:pPr>
            <w:r>
              <w:rPr>
                <w:rFonts w:ascii="仿宋_GB2312" w:hAnsi="仿宋_GB2312" w:cs="仿宋_GB2312" w:eastAsia="仿宋_GB2312"/>
                <w:sz w:val="20"/>
              </w:rPr>
              <w:t>①整机具备SRRC无线电发射设备型号核准证书、原厂出厂产品合格证，机身序列号支持民航无人机实名登记；</w:t>
            </w:r>
          </w:p>
          <w:p>
            <w:pPr>
              <w:pStyle w:val="null3"/>
            </w:pPr>
            <w:r>
              <w:rPr>
                <w:rFonts w:ascii="仿宋_GB2312" w:hAnsi="仿宋_GB2312" w:cs="仿宋_GB2312" w:eastAsia="仿宋_GB2312"/>
                <w:sz w:val="20"/>
              </w:rPr>
              <w:t>②供货标配包含：2块原厂作业电池、硬质航空收纳防护箱、全套备用桨叶与常规操作备用配件；</w:t>
            </w:r>
          </w:p>
          <w:p>
            <w:pPr>
              <w:pStyle w:val="null3"/>
            </w:pPr>
            <w:r>
              <w:rPr>
                <w:rFonts w:ascii="仿宋_GB2312" w:hAnsi="仿宋_GB2312" w:cs="仿宋_GB2312" w:eastAsia="仿宋_GB2312"/>
                <w:sz w:val="20"/>
              </w:rPr>
              <w:t>③整机原厂官方质保期限不少于1年。</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7）需具备无人机操作手不少于1名，持有民航局CAAC民用无人驾驶航空器超视距驾驶员执照，签注多旋翼类别，执照在有效期内。</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三、服务期限、成果交付、商务条款</w:t>
            </w:r>
          </w:p>
          <w:p>
            <w:pPr>
              <w:pStyle w:val="null3"/>
            </w:pPr>
            <w:r>
              <w:rPr>
                <w:rFonts w:ascii="仿宋_GB2312" w:hAnsi="仿宋_GB2312" w:cs="仿宋_GB2312" w:eastAsia="仿宋_GB2312"/>
                <w:sz w:val="21"/>
              </w:rPr>
              <w:t>1.服务期限：一年；</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2.成果交付：所有台账、表单、各类报告、安全技术文件、教育培训资料、安全评估资料分电子档+纸质盖章版按期提交；</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3.考核方式：采购人依据报送时效、报告质量、隐患闭环成效、现场服务落地情况按月</w:t>
            </w:r>
            <w:r>
              <w:rPr>
                <w:rFonts w:ascii="仿宋_GB2312" w:hAnsi="仿宋_GB2312" w:cs="仿宋_GB2312" w:eastAsia="仿宋_GB2312"/>
                <w:sz w:val="21"/>
              </w:rPr>
              <w:t>、</w:t>
            </w:r>
            <w:r>
              <w:rPr>
                <w:rFonts w:ascii="仿宋_GB2312" w:hAnsi="仿宋_GB2312" w:cs="仿宋_GB2312" w:eastAsia="仿宋_GB2312"/>
                <w:sz w:val="21"/>
              </w:rPr>
              <w:t>季度对</w:t>
            </w:r>
            <w:r>
              <w:rPr>
                <w:rFonts w:ascii="仿宋_GB2312" w:hAnsi="仿宋_GB2312" w:cs="仿宋_GB2312" w:eastAsia="仿宋_GB2312"/>
                <w:sz w:val="21"/>
              </w:rPr>
              <w:t>供应商</w:t>
            </w:r>
            <w:r>
              <w:rPr>
                <w:rFonts w:ascii="仿宋_GB2312" w:hAnsi="仿宋_GB2312" w:cs="仿宋_GB2312" w:eastAsia="仿宋_GB2312"/>
                <w:sz w:val="21"/>
              </w:rPr>
              <w:t>履约考评。</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ind w:firstLine="524"/>
              <w:jc w:val="both"/>
            </w:pPr>
            <w:r>
              <w:rPr>
                <w:rFonts w:ascii="仿宋_GB2312" w:hAnsi="仿宋_GB2312" w:cs="仿宋_GB2312" w:eastAsia="仿宋_GB2312"/>
                <w:sz w:val="21"/>
                <w:b/>
              </w:rPr>
              <w:t>范围如下：</w:t>
            </w:r>
          </w:p>
          <w:tbl>
            <w:tblPr>
              <w:tblInd w:type="dxa" w:w="90"/>
              <w:tblBorders>
                <w:top w:val="none" w:color="000000" w:sz="4"/>
                <w:left w:val="none" w:color="000000" w:sz="4"/>
                <w:bottom w:val="none" w:color="000000" w:sz="4"/>
                <w:right w:val="none" w:color="000000" w:sz="4"/>
                <w:insideH w:val="none"/>
                <w:insideV w:val="none"/>
              </w:tblBorders>
            </w:tblPr>
            <w:tblGrid>
              <w:gridCol w:w="340"/>
              <w:gridCol w:w="3085"/>
              <w:gridCol w:w="396"/>
            </w:tblGrid>
            <w:tr>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辖区</w:t>
                  </w:r>
                  <w:r>
                    <w:rPr>
                      <w:rFonts w:ascii="仿宋_GB2312" w:hAnsi="仿宋_GB2312" w:cs="仿宋_GB2312" w:eastAsia="仿宋_GB2312"/>
                      <w:sz w:val="21"/>
                      <w:b/>
                    </w:rPr>
                    <w:t>范围</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小寨</w:t>
                  </w:r>
                  <w:r>
                    <w:rPr>
                      <w:rFonts w:ascii="仿宋_GB2312" w:hAnsi="仿宋_GB2312" w:cs="仿宋_GB2312" w:eastAsia="仿宋_GB2312"/>
                      <w:sz w:val="21"/>
                    </w:rPr>
                    <w:t>路街道办</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大雁塔</w:t>
                  </w:r>
                  <w:r>
                    <w:rPr>
                      <w:rFonts w:ascii="仿宋_GB2312" w:hAnsi="仿宋_GB2312" w:cs="仿宋_GB2312" w:eastAsia="仿宋_GB2312"/>
                      <w:sz w:val="21"/>
                    </w:rPr>
                    <w:t>街道办</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长延堡</w:t>
                  </w:r>
                  <w:r>
                    <w:rPr>
                      <w:rFonts w:ascii="仿宋_GB2312" w:hAnsi="仿宋_GB2312" w:cs="仿宋_GB2312" w:eastAsia="仿宋_GB2312"/>
                      <w:sz w:val="21"/>
                    </w:rPr>
                    <w:t>街道办</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等驾坡</w:t>
                  </w:r>
                  <w:r>
                    <w:rPr>
                      <w:rFonts w:ascii="仿宋_GB2312" w:hAnsi="仿宋_GB2312" w:cs="仿宋_GB2312" w:eastAsia="仿宋_GB2312"/>
                      <w:sz w:val="21"/>
                    </w:rPr>
                    <w:t>街道办</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曲江街道办</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电子城街道办</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7</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科技产业园</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b/>
                <w:color w:val="000000"/>
              </w:rPr>
              <w:t>注：商务要求为实质性要求，不得负偏离。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标的名称：安全第三方咨询服务（二标段）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一、本项目服务范围覆盖辖区全部在建房屋建筑工程</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装饰装修</w:t>
            </w:r>
            <w:r>
              <w:rPr>
                <w:rFonts w:ascii="仿宋_GB2312" w:hAnsi="仿宋_GB2312" w:cs="仿宋_GB2312" w:eastAsia="仿宋_GB2312"/>
                <w:sz w:val="21"/>
              </w:rPr>
              <w:t>工程</w:t>
            </w:r>
            <w:r>
              <w:rPr>
                <w:rFonts w:ascii="仿宋_GB2312" w:hAnsi="仿宋_GB2312" w:cs="仿宋_GB2312" w:eastAsia="仿宋_GB2312"/>
                <w:sz w:val="21"/>
              </w:rPr>
              <w:t>）</w:t>
            </w:r>
            <w:r>
              <w:rPr>
                <w:rFonts w:ascii="仿宋_GB2312" w:hAnsi="仿宋_GB2312" w:cs="仿宋_GB2312" w:eastAsia="仿宋_GB2312"/>
                <w:sz w:val="21"/>
              </w:rPr>
              <w:t>等</w:t>
            </w:r>
            <w:r>
              <w:rPr>
                <w:rFonts w:ascii="仿宋_GB2312" w:hAnsi="仿宋_GB2312" w:cs="仿宋_GB2312" w:eastAsia="仿宋_GB2312"/>
                <w:sz w:val="21"/>
              </w:rPr>
              <w:t>，包含上述项目全部施工标段</w:t>
            </w:r>
            <w:r>
              <w:rPr>
                <w:rFonts w:ascii="仿宋_GB2312" w:hAnsi="仿宋_GB2312" w:cs="仿宋_GB2312" w:eastAsia="仿宋_GB2312"/>
                <w:sz w:val="21"/>
              </w:rPr>
              <w:t>。</w:t>
            </w:r>
            <w:r>
              <w:rPr>
                <w:rFonts w:ascii="仿宋_GB2312" w:hAnsi="仿宋_GB2312" w:cs="仿宋_GB2312" w:eastAsia="仿宋_GB2312"/>
                <w:sz w:val="21"/>
              </w:rPr>
              <w:t>通过采购第三方专业技术服务，依托独立机构专业技术力量，</w:t>
            </w:r>
            <w:r>
              <w:rPr>
                <w:rFonts w:ascii="仿宋_GB2312" w:hAnsi="仿宋_GB2312" w:cs="仿宋_GB2312" w:eastAsia="仿宋_GB2312"/>
                <w:sz w:val="21"/>
              </w:rPr>
              <w:t>为</w:t>
            </w:r>
            <w:r>
              <w:rPr>
                <w:rFonts w:ascii="仿宋_GB2312" w:hAnsi="仿宋_GB2312" w:cs="仿宋_GB2312" w:eastAsia="仿宋_GB2312"/>
                <w:sz w:val="21"/>
              </w:rPr>
              <w:t>主管部门</w:t>
            </w:r>
            <w:r>
              <w:rPr>
                <w:rFonts w:ascii="仿宋_GB2312" w:hAnsi="仿宋_GB2312" w:cs="仿宋_GB2312" w:eastAsia="仿宋_GB2312"/>
                <w:sz w:val="21"/>
              </w:rPr>
              <w:t>提升</w:t>
            </w:r>
            <w:r>
              <w:rPr>
                <w:rFonts w:ascii="仿宋_GB2312" w:hAnsi="仿宋_GB2312" w:cs="仿宋_GB2312" w:eastAsia="仿宋_GB2312"/>
                <w:sz w:val="21"/>
              </w:rPr>
              <w:t>工程安全生产</w:t>
            </w:r>
            <w:r>
              <w:rPr>
                <w:rFonts w:ascii="仿宋_GB2312" w:hAnsi="仿宋_GB2312" w:cs="仿宋_GB2312" w:eastAsia="仿宋_GB2312"/>
                <w:sz w:val="21"/>
              </w:rPr>
              <w:t>现状管理，提供</w:t>
            </w:r>
            <w:r>
              <w:rPr>
                <w:rFonts w:ascii="仿宋_GB2312" w:hAnsi="仿宋_GB2312" w:cs="仿宋_GB2312" w:eastAsia="仿宋_GB2312"/>
                <w:sz w:val="21"/>
              </w:rPr>
              <w:t>常态化技术指导、综合评测、报告</w:t>
            </w:r>
            <w:r>
              <w:rPr>
                <w:rFonts w:ascii="仿宋_GB2312" w:hAnsi="仿宋_GB2312" w:cs="仿宋_GB2312" w:eastAsia="仿宋_GB2312"/>
                <w:sz w:val="21"/>
              </w:rPr>
              <w:t>出具</w:t>
            </w:r>
            <w:r>
              <w:rPr>
                <w:rFonts w:ascii="仿宋_GB2312" w:hAnsi="仿宋_GB2312" w:cs="仿宋_GB2312" w:eastAsia="仿宋_GB2312"/>
                <w:sz w:val="21"/>
              </w:rPr>
              <w:t>、标准化</w:t>
            </w:r>
            <w:r>
              <w:rPr>
                <w:rFonts w:ascii="仿宋_GB2312" w:hAnsi="仿宋_GB2312" w:cs="仿宋_GB2312" w:eastAsia="仿宋_GB2312"/>
                <w:sz w:val="21"/>
              </w:rPr>
              <w:t>创优</w:t>
            </w:r>
            <w:r>
              <w:rPr>
                <w:rFonts w:ascii="仿宋_GB2312" w:hAnsi="仿宋_GB2312" w:cs="仿宋_GB2312" w:eastAsia="仿宋_GB2312"/>
                <w:sz w:val="21"/>
              </w:rPr>
              <w:t>等全链条赋能服务</w:t>
            </w:r>
            <w:r>
              <w:rPr>
                <w:rFonts w:ascii="仿宋_GB2312" w:hAnsi="仿宋_GB2312" w:cs="仿宋_GB2312" w:eastAsia="仿宋_GB2312"/>
                <w:sz w:val="21"/>
              </w:rPr>
              <w:t>；</w:t>
            </w:r>
            <w:r>
              <w:rPr>
                <w:rFonts w:ascii="仿宋_GB2312" w:hAnsi="仿宋_GB2312" w:cs="仿宋_GB2312" w:eastAsia="仿宋_GB2312"/>
                <w:sz w:val="21"/>
              </w:rPr>
              <w:t>为</w:t>
            </w:r>
            <w:r>
              <w:rPr>
                <w:rFonts w:ascii="仿宋_GB2312" w:hAnsi="仿宋_GB2312" w:cs="仿宋_GB2312" w:eastAsia="仿宋_GB2312"/>
                <w:sz w:val="21"/>
              </w:rPr>
              <w:t>服务范围内工程</w:t>
            </w:r>
            <w:r>
              <w:rPr>
                <w:rFonts w:ascii="仿宋_GB2312" w:hAnsi="仿宋_GB2312" w:cs="仿宋_GB2312" w:eastAsia="仿宋_GB2312"/>
                <w:sz w:val="21"/>
              </w:rPr>
              <w:t>提供风险辨识、隐患整治、</w:t>
            </w:r>
            <w:r>
              <w:rPr>
                <w:rFonts w:ascii="仿宋_GB2312" w:hAnsi="仿宋_GB2312" w:cs="仿宋_GB2312" w:eastAsia="仿宋_GB2312"/>
                <w:sz w:val="21"/>
              </w:rPr>
              <w:t>教育培训、灾后重建</w:t>
            </w:r>
            <w:r>
              <w:rPr>
                <w:rFonts w:ascii="仿宋_GB2312" w:hAnsi="仿宋_GB2312" w:cs="仿宋_GB2312" w:eastAsia="仿宋_GB2312"/>
                <w:sz w:val="21"/>
              </w:rPr>
              <w:t>等方面</w:t>
            </w:r>
            <w:r>
              <w:rPr>
                <w:rFonts w:ascii="仿宋_GB2312" w:hAnsi="仿宋_GB2312" w:cs="仿宋_GB2312" w:eastAsia="仿宋_GB2312"/>
                <w:sz w:val="21"/>
              </w:rPr>
              <w:t>专业</w:t>
            </w:r>
            <w:r>
              <w:rPr>
                <w:rFonts w:ascii="仿宋_GB2312" w:hAnsi="仿宋_GB2312" w:cs="仿宋_GB2312" w:eastAsia="仿宋_GB2312"/>
                <w:sz w:val="21"/>
              </w:rPr>
              <w:t>技术咨询服务。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二、服务工作内容</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针对</w:t>
            </w:r>
            <w:r>
              <w:rPr>
                <w:rFonts w:ascii="仿宋_GB2312" w:hAnsi="仿宋_GB2312" w:cs="仿宋_GB2312" w:eastAsia="仿宋_GB2312"/>
                <w:sz w:val="21"/>
              </w:rPr>
              <w:t>全域项目现场安全现状摸排与风险分级管控</w:t>
            </w:r>
          </w:p>
          <w:p>
            <w:pPr>
              <w:pStyle w:val="null3"/>
            </w:pPr>
            <w:r>
              <w:rPr>
                <w:rFonts w:ascii="仿宋_GB2312" w:hAnsi="仿宋_GB2312" w:cs="仿宋_GB2312" w:eastAsia="仿宋_GB2312"/>
                <w:sz w:val="21"/>
              </w:rPr>
              <w:t>对辖区所有在建项目全标段实施全覆盖实地踏勘摸排，围绕</w:t>
            </w:r>
            <w:r>
              <w:rPr>
                <w:rFonts w:ascii="仿宋_GB2312" w:hAnsi="仿宋_GB2312" w:cs="仿宋_GB2312" w:eastAsia="仿宋_GB2312"/>
                <w:sz w:val="21"/>
              </w:rPr>
              <w:t>施工现场制度管理和</w:t>
            </w:r>
            <w:r>
              <w:rPr>
                <w:rFonts w:ascii="仿宋_GB2312" w:hAnsi="仿宋_GB2312" w:cs="仿宋_GB2312" w:eastAsia="仿宋_GB2312"/>
                <w:sz w:val="21"/>
              </w:rPr>
              <w:t>实体安全</w:t>
            </w:r>
            <w:r>
              <w:rPr>
                <w:rFonts w:ascii="仿宋_GB2312" w:hAnsi="仿宋_GB2312" w:cs="仿宋_GB2312" w:eastAsia="仿宋_GB2312"/>
                <w:sz w:val="21"/>
              </w:rPr>
              <w:t>两大维度</w:t>
            </w:r>
            <w:r>
              <w:rPr>
                <w:rFonts w:ascii="仿宋_GB2312" w:hAnsi="仿宋_GB2312" w:cs="仿宋_GB2312" w:eastAsia="仿宋_GB2312"/>
                <w:sz w:val="21"/>
              </w:rPr>
              <w:t>开展系统性现状梳理</w:t>
            </w:r>
            <w:r>
              <w:rPr>
                <w:rFonts w:ascii="仿宋_GB2312" w:hAnsi="仿宋_GB2312" w:cs="仿宋_GB2312" w:eastAsia="仿宋_GB2312"/>
                <w:sz w:val="21"/>
              </w:rPr>
              <w:t>，</w:t>
            </w:r>
            <w:r>
              <w:rPr>
                <w:rFonts w:ascii="仿宋_GB2312" w:hAnsi="仿宋_GB2312" w:cs="仿宋_GB2312" w:eastAsia="仿宋_GB2312"/>
                <w:sz w:val="21"/>
              </w:rPr>
              <w:t>分级界定隐患风险等级，列明问题判定依据、风险危害程度，建立全域项目动态</w:t>
            </w:r>
            <w:r>
              <w:rPr>
                <w:rFonts w:ascii="仿宋_GB2312" w:hAnsi="仿宋_GB2312" w:cs="仿宋_GB2312" w:eastAsia="仿宋_GB2312"/>
                <w:sz w:val="21"/>
              </w:rPr>
              <w:t>安全</w:t>
            </w:r>
            <w:r>
              <w:rPr>
                <w:rFonts w:ascii="仿宋_GB2312" w:hAnsi="仿宋_GB2312" w:cs="仿宋_GB2312" w:eastAsia="仿宋_GB2312"/>
                <w:sz w:val="21"/>
              </w:rPr>
              <w:t>风险台账</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配合采购人指导</w:t>
            </w:r>
            <w:r>
              <w:rPr>
                <w:rFonts w:ascii="仿宋_GB2312" w:hAnsi="仿宋_GB2312" w:cs="仿宋_GB2312" w:eastAsia="仿宋_GB2312"/>
                <w:sz w:val="21"/>
              </w:rPr>
              <w:t>参建单位履职梳理</w:t>
            </w:r>
            <w:r>
              <w:rPr>
                <w:rFonts w:ascii="仿宋_GB2312" w:hAnsi="仿宋_GB2312" w:cs="仿宋_GB2312" w:eastAsia="仿宋_GB2312"/>
                <w:sz w:val="21"/>
              </w:rPr>
              <w:t>及</w:t>
            </w:r>
            <w:r>
              <w:rPr>
                <w:rFonts w:ascii="仿宋_GB2312" w:hAnsi="仿宋_GB2312" w:cs="仿宋_GB2312" w:eastAsia="仿宋_GB2312"/>
                <w:sz w:val="21"/>
              </w:rPr>
              <w:t>安全技术咨询</w:t>
            </w:r>
          </w:p>
          <w:p>
            <w:pPr>
              <w:pStyle w:val="null3"/>
            </w:pPr>
            <w:r>
              <w:rPr>
                <w:rFonts w:ascii="仿宋_GB2312" w:hAnsi="仿宋_GB2312" w:cs="仿宋_GB2312" w:eastAsia="仿宋_GB2312"/>
                <w:sz w:val="21"/>
              </w:rPr>
              <w:t>配合</w:t>
            </w:r>
            <w:r>
              <w:rPr>
                <w:rFonts w:ascii="仿宋_GB2312" w:hAnsi="仿宋_GB2312" w:cs="仿宋_GB2312" w:eastAsia="仿宋_GB2312"/>
                <w:sz w:val="21"/>
              </w:rPr>
              <w:t>梳理</w:t>
            </w:r>
            <w:r>
              <w:rPr>
                <w:rFonts w:ascii="仿宋_GB2312" w:hAnsi="仿宋_GB2312" w:cs="仿宋_GB2312" w:eastAsia="仿宋_GB2312"/>
                <w:sz w:val="21"/>
              </w:rPr>
              <w:t>参建单位</w:t>
            </w:r>
            <w:r>
              <w:rPr>
                <w:rFonts w:ascii="仿宋_GB2312" w:hAnsi="仿宋_GB2312" w:cs="仿宋_GB2312" w:eastAsia="仿宋_GB2312"/>
                <w:sz w:val="21"/>
              </w:rPr>
              <w:t>安全责任制落实、专项方案编审论证、安全交底、安全教育等内业资料合规性。针对现场管理缺陷、制度漏洞、</w:t>
            </w:r>
            <w:r>
              <w:rPr>
                <w:rFonts w:ascii="仿宋_GB2312" w:hAnsi="仿宋_GB2312" w:cs="仿宋_GB2312" w:eastAsia="仿宋_GB2312"/>
                <w:sz w:val="21"/>
              </w:rPr>
              <w:t>履职缺位等</w:t>
            </w:r>
            <w:r>
              <w:rPr>
                <w:rFonts w:ascii="仿宋_GB2312" w:hAnsi="仿宋_GB2312" w:cs="仿宋_GB2312" w:eastAsia="仿宋_GB2312"/>
                <w:sz w:val="21"/>
              </w:rPr>
              <w:t>违规事项提供专业化</w:t>
            </w:r>
            <w:r>
              <w:rPr>
                <w:rFonts w:ascii="仿宋_GB2312" w:hAnsi="仿宋_GB2312" w:cs="仿宋_GB2312" w:eastAsia="仿宋_GB2312"/>
                <w:sz w:val="21"/>
              </w:rPr>
              <w:t>技术</w:t>
            </w:r>
            <w:r>
              <w:rPr>
                <w:rFonts w:ascii="仿宋_GB2312" w:hAnsi="仿宋_GB2312" w:cs="仿宋_GB2312" w:eastAsia="仿宋_GB2312"/>
                <w:sz w:val="21"/>
              </w:rPr>
              <w:t>咨询，出具整改优化建议，指导参建各方完善安全</w:t>
            </w:r>
            <w:r>
              <w:rPr>
                <w:rFonts w:ascii="仿宋_GB2312" w:hAnsi="仿宋_GB2312" w:cs="仿宋_GB2312" w:eastAsia="仿宋_GB2312"/>
                <w:sz w:val="21"/>
              </w:rPr>
              <w:t>管理</w:t>
            </w:r>
            <w:r>
              <w:rPr>
                <w:rFonts w:ascii="仿宋_GB2312" w:hAnsi="仿宋_GB2312" w:cs="仿宋_GB2312" w:eastAsia="仿宋_GB2312"/>
                <w:sz w:val="21"/>
              </w:rPr>
              <w:t>体系、落实现场标准化管控</w:t>
            </w:r>
            <w:r>
              <w:rPr>
                <w:rFonts w:ascii="仿宋_GB2312" w:hAnsi="仿宋_GB2312" w:cs="仿宋_GB2312" w:eastAsia="仿宋_GB2312"/>
                <w:sz w:val="21"/>
              </w:rPr>
              <w:t>和灾害重建</w:t>
            </w:r>
            <w:r>
              <w:rPr>
                <w:rFonts w:ascii="仿宋_GB2312" w:hAnsi="仿宋_GB2312" w:cs="仿宋_GB2312" w:eastAsia="仿宋_GB2312"/>
                <w:sz w:val="21"/>
              </w:rPr>
              <w:t>举措</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安全生产综合评测、企业安全经营指导</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以隐患发生率、整改完成率、现场标准化程度、主体履职成效等为指标，对单个项目、施工标段、参建企业提供专项安全技术服务</w:t>
            </w:r>
            <w:r>
              <w:rPr>
                <w:rFonts w:ascii="仿宋_GB2312" w:hAnsi="仿宋_GB2312" w:cs="仿宋_GB2312" w:eastAsia="仿宋_GB2312"/>
                <w:sz w:val="21"/>
              </w:rPr>
              <w:t>，定期</w:t>
            </w:r>
            <w:r>
              <w:rPr>
                <w:rFonts w:ascii="仿宋_GB2312" w:hAnsi="仿宋_GB2312" w:cs="仿宋_GB2312" w:eastAsia="仿宋_GB2312"/>
                <w:sz w:val="21"/>
              </w:rPr>
              <w:t>开展施工风险辨识、工程安全性技术评估</w:t>
            </w:r>
            <w:r>
              <w:rPr>
                <w:rFonts w:ascii="仿宋_GB2312" w:hAnsi="仿宋_GB2312" w:cs="仿宋_GB2312" w:eastAsia="仿宋_GB2312"/>
                <w:sz w:val="21"/>
              </w:rPr>
              <w:t>，</w:t>
            </w:r>
            <w:r>
              <w:rPr>
                <w:rFonts w:ascii="仿宋_GB2312" w:hAnsi="仿宋_GB2312" w:cs="仿宋_GB2312" w:eastAsia="仿宋_GB2312"/>
                <w:sz w:val="21"/>
              </w:rPr>
              <w:t>量化安全管理综合评测，出具评级结论；</w:t>
            </w:r>
          </w:p>
          <w:p>
            <w:pPr>
              <w:pStyle w:val="null3"/>
            </w:pPr>
            <w:r>
              <w:rPr>
                <w:rFonts w:ascii="仿宋_GB2312" w:hAnsi="仿宋_GB2312" w:cs="仿宋_GB2312" w:eastAsia="仿宋_GB2312"/>
                <w:sz w:val="21"/>
              </w:rPr>
              <w:t>2.</w:t>
            </w:r>
            <w:r>
              <w:rPr>
                <w:rFonts w:ascii="仿宋_GB2312" w:hAnsi="仿宋_GB2312" w:cs="仿宋_GB2312" w:eastAsia="仿宋_GB2312"/>
                <w:sz w:val="21"/>
              </w:rPr>
              <w:t>汇总全区域安全数据，分析</w:t>
            </w:r>
            <w:r>
              <w:rPr>
                <w:rFonts w:ascii="仿宋_GB2312" w:hAnsi="仿宋_GB2312" w:cs="仿宋_GB2312" w:eastAsia="仿宋_GB2312"/>
                <w:sz w:val="21"/>
              </w:rPr>
              <w:t>区域</w:t>
            </w:r>
            <w:r>
              <w:rPr>
                <w:rFonts w:ascii="仿宋_GB2312" w:hAnsi="仿宋_GB2312" w:cs="仿宋_GB2312" w:eastAsia="仿宋_GB2312"/>
                <w:sz w:val="21"/>
              </w:rPr>
              <w:t>行业共性隐患、阶段性风险特征，研判施工企业安全生产经营管控短板与合规风险，形成行业运行分析结论，为监管施策、企业信用考评提供数据</w:t>
            </w:r>
            <w:r>
              <w:rPr>
                <w:rFonts w:ascii="仿宋_GB2312" w:hAnsi="仿宋_GB2312" w:cs="仿宋_GB2312" w:eastAsia="仿宋_GB2312"/>
                <w:sz w:val="21"/>
              </w:rPr>
              <w:t>技术服务</w:t>
            </w:r>
            <w:r>
              <w:rPr>
                <w:rFonts w:ascii="仿宋_GB2312" w:hAnsi="仿宋_GB2312" w:cs="仿宋_GB2312" w:eastAsia="仿宋_GB2312"/>
                <w:sz w:val="21"/>
              </w:rPr>
              <w:t>支撑</w:t>
            </w:r>
            <w:r>
              <w:rPr>
                <w:rFonts w:ascii="仿宋_GB2312" w:hAnsi="仿宋_GB2312" w:cs="仿宋_GB2312" w:eastAsia="仿宋_GB2312"/>
                <w:sz w:val="21"/>
              </w:rPr>
              <w:t>；</w:t>
            </w:r>
          </w:p>
          <w:p>
            <w:pPr>
              <w:pStyle w:val="null3"/>
            </w:pPr>
            <w:r>
              <w:rPr>
                <w:rFonts w:ascii="仿宋_GB2312" w:hAnsi="仿宋_GB2312" w:cs="仿宋_GB2312" w:eastAsia="仿宋_GB2312"/>
                <w:sz w:val="21"/>
              </w:rPr>
              <w:t>3.每季度为服务范围内的工程</w:t>
            </w:r>
            <w:r>
              <w:rPr>
                <w:rFonts w:ascii="仿宋_GB2312" w:hAnsi="仿宋_GB2312" w:cs="仿宋_GB2312" w:eastAsia="仿宋_GB2312"/>
                <w:sz w:val="21"/>
              </w:rPr>
              <w:t>提供</w:t>
            </w:r>
            <w:r>
              <w:rPr>
                <w:rFonts w:ascii="仿宋_GB2312" w:hAnsi="仿宋_GB2312" w:cs="仿宋_GB2312" w:eastAsia="仿宋_GB2312"/>
                <w:sz w:val="21"/>
              </w:rPr>
              <w:t>不少于</w:t>
            </w:r>
            <w:r>
              <w:rPr>
                <w:rFonts w:ascii="仿宋_GB2312" w:hAnsi="仿宋_GB2312" w:cs="仿宋_GB2312" w:eastAsia="仿宋_GB2312"/>
                <w:sz w:val="21"/>
              </w:rPr>
              <w:t>1次的安全生产专题教育培训服务，宣讲安全生产相关的法律法规、履职责任、隐患辨识、应急处置等方面内容；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）全周期各类报告编制出具</w:t>
            </w:r>
          </w:p>
          <w:p>
            <w:pPr>
              <w:pStyle w:val="null3"/>
            </w:pPr>
            <w:r>
              <w:rPr>
                <w:rFonts w:ascii="仿宋_GB2312" w:hAnsi="仿宋_GB2312" w:cs="仿宋_GB2312" w:eastAsia="仿宋_GB2312"/>
                <w:sz w:val="21"/>
              </w:rPr>
              <w:t>按约定时限编制并报送全套正式书面及电子版成果：月度项目安全评测</w:t>
            </w:r>
            <w:r>
              <w:rPr>
                <w:rFonts w:ascii="仿宋_GB2312" w:hAnsi="仿宋_GB2312" w:cs="仿宋_GB2312" w:eastAsia="仿宋_GB2312"/>
                <w:sz w:val="21"/>
              </w:rPr>
              <w:t>分析</w:t>
            </w:r>
            <w:r>
              <w:rPr>
                <w:rFonts w:ascii="仿宋_GB2312" w:hAnsi="仿宋_GB2312" w:cs="仿宋_GB2312" w:eastAsia="仿宋_GB2312"/>
                <w:sz w:val="21"/>
              </w:rPr>
              <w:t>报告、季度行业安全研判报告、年度全域安全生产总评估报告</w:t>
            </w:r>
            <w:r>
              <w:rPr>
                <w:rFonts w:ascii="仿宋_GB2312" w:hAnsi="仿宋_GB2312" w:cs="仿宋_GB2312" w:eastAsia="仿宋_GB2312"/>
                <w:sz w:val="21"/>
              </w:rPr>
              <w:t>、</w:t>
            </w:r>
            <w:r>
              <w:rPr>
                <w:rFonts w:ascii="仿宋_GB2312" w:hAnsi="仿宋_GB2312" w:cs="仿宋_GB2312" w:eastAsia="仿宋_GB2312"/>
                <w:sz w:val="21"/>
              </w:rPr>
              <w:t>重点时段安全风险和</w:t>
            </w:r>
            <w:r>
              <w:rPr>
                <w:rFonts w:ascii="仿宋_GB2312" w:hAnsi="仿宋_GB2312" w:cs="仿宋_GB2312" w:eastAsia="仿宋_GB2312"/>
                <w:sz w:val="21"/>
              </w:rPr>
              <w:t>重点项目</w:t>
            </w:r>
            <w:r>
              <w:rPr>
                <w:rFonts w:ascii="仿宋_GB2312" w:hAnsi="仿宋_GB2312" w:cs="仿宋_GB2312" w:eastAsia="仿宋_GB2312"/>
                <w:sz w:val="21"/>
              </w:rPr>
              <w:t>安全技术性评估</w:t>
            </w:r>
            <w:r>
              <w:rPr>
                <w:rFonts w:ascii="仿宋_GB2312" w:hAnsi="仿宋_GB2312" w:cs="仿宋_GB2312" w:eastAsia="仿宋_GB2312"/>
                <w:sz w:val="21"/>
              </w:rPr>
              <w:t>报告</w:t>
            </w:r>
            <w:r>
              <w:rPr>
                <w:rFonts w:ascii="仿宋_GB2312" w:hAnsi="仿宋_GB2312" w:cs="仿宋_GB2312" w:eastAsia="仿宋_GB2312"/>
                <w:sz w:val="21"/>
              </w:rPr>
              <w:t>，</w:t>
            </w:r>
            <w:r>
              <w:rPr>
                <w:rFonts w:ascii="仿宋_GB2312" w:hAnsi="仿宋_GB2312" w:cs="仿宋_GB2312" w:eastAsia="仿宋_GB2312"/>
                <w:sz w:val="21"/>
              </w:rPr>
              <w:t>所有报告内容客观详实、数据完整、签章规范</w:t>
            </w:r>
            <w:r>
              <w:rPr>
                <w:rFonts w:ascii="仿宋_GB2312" w:hAnsi="仿宋_GB2312" w:cs="仿宋_GB2312" w:eastAsia="仿宋_GB2312"/>
                <w:sz w:val="21"/>
              </w:rPr>
              <w:t>；</w:t>
            </w:r>
            <w:r>
              <w:rPr>
                <w:rFonts w:ascii="仿宋_GB2312" w:hAnsi="仿宋_GB2312" w:cs="仿宋_GB2312" w:eastAsia="仿宋_GB2312"/>
                <w:sz w:val="21"/>
              </w:rPr>
              <w:t>指导采购人合规性修订优化</w:t>
            </w:r>
            <w:r>
              <w:rPr>
                <w:rFonts w:ascii="仿宋_GB2312" w:hAnsi="仿宋_GB2312" w:cs="仿宋_GB2312" w:eastAsia="仿宋_GB2312"/>
                <w:sz w:val="21"/>
              </w:rPr>
              <w:t>预案</w:t>
            </w:r>
            <w:r>
              <w:rPr>
                <w:rFonts w:ascii="仿宋_GB2312" w:hAnsi="仿宋_GB2312" w:cs="仿宋_GB2312" w:eastAsia="仿宋_GB2312"/>
                <w:sz w:val="21"/>
              </w:rPr>
              <w:t>体系、补充实操处置流程、完善应急资源配置；</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建筑领域</w:t>
            </w:r>
            <w:r>
              <w:rPr>
                <w:rFonts w:ascii="仿宋_GB2312" w:hAnsi="仿宋_GB2312" w:cs="仿宋_GB2312" w:eastAsia="仿宋_GB2312"/>
                <w:sz w:val="21"/>
              </w:rPr>
              <w:t>标准化创优</w:t>
            </w:r>
            <w:r>
              <w:rPr>
                <w:rFonts w:ascii="仿宋_GB2312" w:hAnsi="仿宋_GB2312" w:cs="仿宋_GB2312" w:eastAsia="仿宋_GB2312"/>
                <w:sz w:val="21"/>
              </w:rPr>
              <w:t>机制建设</w:t>
            </w:r>
          </w:p>
          <w:p>
            <w:pPr>
              <w:pStyle w:val="null3"/>
            </w:pPr>
            <w:r>
              <w:rPr>
                <w:rFonts w:ascii="仿宋_GB2312" w:hAnsi="仿宋_GB2312" w:cs="仿宋_GB2312" w:eastAsia="仿宋_GB2312"/>
                <w:sz w:val="21"/>
              </w:rPr>
              <w:t>配合</w:t>
            </w:r>
            <w:r>
              <w:rPr>
                <w:rFonts w:ascii="仿宋_GB2312" w:hAnsi="仿宋_GB2312" w:cs="仿宋_GB2312" w:eastAsia="仿宋_GB2312"/>
                <w:sz w:val="21"/>
              </w:rPr>
              <w:t>采购人健全完善辖区建筑工程安全生产标准化创优长效机制，</w:t>
            </w:r>
            <w:r>
              <w:rPr>
                <w:rFonts w:ascii="仿宋_GB2312" w:hAnsi="仿宋_GB2312" w:cs="仿宋_GB2312" w:eastAsia="仿宋_GB2312"/>
                <w:sz w:val="21"/>
              </w:rPr>
              <w:t>结合辖区管控痛点提出长效安全治理合理化建议</w:t>
            </w:r>
            <w:r>
              <w:rPr>
                <w:rFonts w:ascii="仿宋_GB2312" w:hAnsi="仿宋_GB2312" w:cs="仿宋_GB2312" w:eastAsia="仿宋_GB2312"/>
                <w:sz w:val="21"/>
              </w:rPr>
              <w:t>，</w:t>
            </w:r>
            <w:r>
              <w:rPr>
                <w:rFonts w:ascii="仿宋_GB2312" w:hAnsi="仿宋_GB2312" w:cs="仿宋_GB2312" w:eastAsia="仿宋_GB2312"/>
                <w:sz w:val="21"/>
              </w:rPr>
              <w:t>破解项目标准化落实参差不齐、现场管控同质化短板，总结</w:t>
            </w:r>
            <w:r>
              <w:rPr>
                <w:rFonts w:ascii="仿宋_GB2312" w:hAnsi="仿宋_GB2312" w:cs="仿宋_GB2312" w:eastAsia="仿宋_GB2312"/>
                <w:sz w:val="21"/>
              </w:rPr>
              <w:t>提炼</w:t>
            </w:r>
            <w:r>
              <w:rPr>
                <w:rFonts w:ascii="仿宋_GB2312" w:hAnsi="仿宋_GB2312" w:cs="仿宋_GB2312" w:eastAsia="仿宋_GB2312"/>
                <w:sz w:val="21"/>
              </w:rPr>
              <w:t>标杆项目先进管理经验、工艺做法及管控模式</w:t>
            </w:r>
            <w:r>
              <w:rPr>
                <w:rFonts w:ascii="仿宋_GB2312" w:hAnsi="仿宋_GB2312" w:cs="仿宋_GB2312" w:eastAsia="仿宋_GB2312"/>
                <w:sz w:val="21"/>
              </w:rPr>
              <w:t>，</w:t>
            </w:r>
            <w:r>
              <w:rPr>
                <w:rFonts w:ascii="仿宋_GB2312" w:hAnsi="仿宋_GB2312" w:cs="仿宋_GB2312" w:eastAsia="仿宋_GB2312"/>
                <w:sz w:val="21"/>
              </w:rPr>
              <w:t>提升辖区工程建设领域安全标准化整体水平</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科技赋能安全监管</w:t>
            </w:r>
          </w:p>
          <w:p>
            <w:pPr>
              <w:pStyle w:val="null3"/>
            </w:pPr>
            <w:r>
              <w:rPr>
                <w:rFonts w:ascii="仿宋_GB2312" w:hAnsi="仿宋_GB2312" w:cs="仿宋_GB2312" w:eastAsia="仿宋_GB2312"/>
                <w:sz w:val="21"/>
              </w:rPr>
              <w:t>借助无人机航拍巡查技术，对在建项目高处、基坑、大型机械、屋顶等人工难以抵达区域开展常态化航拍摸排，留存影像资料，实现全域施工现场数字化、可视化管控。</w:t>
            </w:r>
          </w:p>
          <w:p>
            <w:pPr>
              <w:pStyle w:val="null3"/>
            </w:pPr>
            <w:r>
              <w:rPr>
                <w:rFonts w:ascii="仿宋_GB2312" w:hAnsi="仿宋_GB2312" w:cs="仿宋_GB2312" w:eastAsia="仿宋_GB2312"/>
                <w:sz w:val="21"/>
              </w:rPr>
              <w:t>无人机参数要求：</w:t>
            </w:r>
          </w:p>
          <w:p>
            <w:pPr>
              <w:pStyle w:val="null3"/>
            </w:pPr>
            <w:r>
              <w:rPr>
                <w:rFonts w:ascii="仿宋_GB2312" w:hAnsi="仿宋_GB2312" w:cs="仿宋_GB2312" w:eastAsia="仿宋_GB2312"/>
                <w:sz w:val="20"/>
              </w:rPr>
              <w:t>1.整机飞行平台要求</w:t>
            </w:r>
          </w:p>
          <w:p>
            <w:pPr>
              <w:pStyle w:val="null3"/>
            </w:pPr>
            <w:r>
              <w:rPr>
                <w:rFonts w:ascii="仿宋_GB2312" w:hAnsi="仿宋_GB2312" w:cs="仿宋_GB2312" w:eastAsia="仿宋_GB2312"/>
                <w:sz w:val="20"/>
              </w:rPr>
              <w:t>①设备为电动折叠式四旋翼工业无人机，最大起飞重量≤9kg；单电池标准空载续航时长≥40min；作业抗风风速≥10m/s；机身整体防护等级不低于IP45，优先IP54及以上；整机稳定工作温度区间覆盖-10℃～45℃；</w:t>
            </w:r>
          </w:p>
          <w:p>
            <w:pPr>
              <w:pStyle w:val="null3"/>
            </w:pPr>
            <w:r>
              <w:rPr>
                <w:rFonts w:ascii="仿宋_GB2312" w:hAnsi="仿宋_GB2312" w:cs="仿宋_GB2312" w:eastAsia="仿宋_GB2312"/>
                <w:sz w:val="20"/>
              </w:rPr>
              <w:t>②标配四星及以上多星GNSS+RTK差分高精度定位系统；RTK固定解模式下，悬停水平精度≤0.1m、垂直悬停精度≤0.15m；搭载五向及以上视觉或多传感器融合主动避障系统，可实现障碍物自主制动、智能绕行避让。</w:t>
            </w:r>
          </w:p>
          <w:p>
            <w:pPr>
              <w:pStyle w:val="null3"/>
            </w:pPr>
            <w:r>
              <w:rPr>
                <w:rFonts w:ascii="仿宋_GB2312" w:hAnsi="仿宋_GB2312" w:cs="仿宋_GB2312" w:eastAsia="仿宋_GB2312"/>
                <w:sz w:val="20"/>
              </w:rPr>
              <w:t>2.云台航拍载荷配置</w:t>
            </w:r>
          </w:p>
          <w:p>
            <w:pPr>
              <w:pStyle w:val="null3"/>
            </w:pPr>
            <w:r>
              <w:rPr>
                <w:rFonts w:ascii="仿宋_GB2312" w:hAnsi="仿宋_GB2312" w:cs="仿宋_GB2312" w:eastAsia="仿宋_GB2312"/>
                <w:sz w:val="20"/>
              </w:rPr>
              <w:t>搭载三轴机械增稳防抖云台，可见光相机有效像素</w:t>
            </w:r>
            <w:r>
              <w:rPr>
                <w:rFonts w:ascii="仿宋_GB2312" w:hAnsi="仿宋_GB2312" w:cs="仿宋_GB2312" w:eastAsia="仿宋_GB2312"/>
                <w:sz w:val="20"/>
              </w:rPr>
              <w:t>≥2000万，光学变焦倍数≥4倍；支持4K高清视频录制；拍摄照片可自动叠加经纬度坐标水印，满足现场取证、档案归档规范要求。</w:t>
            </w:r>
          </w:p>
          <w:p>
            <w:pPr>
              <w:pStyle w:val="null3"/>
            </w:pPr>
            <w:r>
              <w:rPr>
                <w:rFonts w:ascii="仿宋_GB2312" w:hAnsi="仿宋_GB2312" w:cs="仿宋_GB2312" w:eastAsia="仿宋_GB2312"/>
                <w:sz w:val="20"/>
              </w:rPr>
              <w:t>3.图传链路与作业功能</w:t>
            </w:r>
          </w:p>
          <w:p>
            <w:pPr>
              <w:pStyle w:val="null3"/>
            </w:pPr>
            <w:r>
              <w:rPr>
                <w:rFonts w:ascii="仿宋_GB2312" w:hAnsi="仿宋_GB2312" w:cs="仿宋_GB2312" w:eastAsia="仿宋_GB2312"/>
                <w:sz w:val="20"/>
              </w:rPr>
              <w:t>①数字高清无线图传，开阔无遮挡环境有效传输距离≥10km；配套工业级手持地面站控制器；</w:t>
            </w:r>
          </w:p>
          <w:p>
            <w:pPr>
              <w:pStyle w:val="null3"/>
            </w:pPr>
            <w:r>
              <w:rPr>
                <w:rFonts w:ascii="仿宋_GB2312" w:hAnsi="仿宋_GB2312" w:cs="仿宋_GB2312" w:eastAsia="仿宋_GB2312"/>
                <w:sz w:val="20"/>
              </w:rPr>
              <w:t>②飞行模式支持：人工手动实时巡检、全自动航线规划飞行、任务断点续飞；飞行轨迹日志、巡检标记点位、航拍原始影像数据均可完整导出至本地存储归档。</w:t>
            </w:r>
          </w:p>
          <w:p>
            <w:pPr>
              <w:pStyle w:val="null3"/>
            </w:pPr>
            <w:r>
              <w:rPr>
                <w:rFonts w:ascii="仿宋_GB2312" w:hAnsi="仿宋_GB2312" w:cs="仿宋_GB2312" w:eastAsia="仿宋_GB2312"/>
                <w:sz w:val="20"/>
              </w:rPr>
              <w:t>4.资质文件、标配配件及售后质保</w:t>
            </w:r>
          </w:p>
          <w:p>
            <w:pPr>
              <w:pStyle w:val="null3"/>
            </w:pPr>
            <w:r>
              <w:rPr>
                <w:rFonts w:ascii="仿宋_GB2312" w:hAnsi="仿宋_GB2312" w:cs="仿宋_GB2312" w:eastAsia="仿宋_GB2312"/>
                <w:sz w:val="20"/>
              </w:rPr>
              <w:t>①整机具备SRRC无线电发射设备型号核准证书、原厂出厂产品合格证，机身序列号支持民航无人机实名登记；</w:t>
            </w:r>
          </w:p>
          <w:p>
            <w:pPr>
              <w:pStyle w:val="null3"/>
            </w:pPr>
            <w:r>
              <w:rPr>
                <w:rFonts w:ascii="仿宋_GB2312" w:hAnsi="仿宋_GB2312" w:cs="仿宋_GB2312" w:eastAsia="仿宋_GB2312"/>
                <w:sz w:val="20"/>
              </w:rPr>
              <w:t>②供货标配包含：2块原厂作业电池、硬质航空收纳防护箱、全套备用桨叶与常规操作备用配件；</w:t>
            </w:r>
          </w:p>
          <w:p>
            <w:pPr>
              <w:pStyle w:val="null3"/>
            </w:pPr>
            <w:r>
              <w:rPr>
                <w:rFonts w:ascii="仿宋_GB2312" w:hAnsi="仿宋_GB2312" w:cs="仿宋_GB2312" w:eastAsia="仿宋_GB2312"/>
                <w:sz w:val="20"/>
              </w:rPr>
              <w:t>③整机原厂官方质保期限不少于1年。</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7）需具备无人机操作手不少于1名，持有民航局CAAC民用无人驾驶航空器超视距驾驶员执照，签注多旋翼类别，执照在有效期内。</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三、服务期限、成果交付、商务条款</w:t>
            </w:r>
          </w:p>
          <w:p>
            <w:pPr>
              <w:pStyle w:val="null3"/>
            </w:pPr>
            <w:r>
              <w:rPr>
                <w:rFonts w:ascii="仿宋_GB2312" w:hAnsi="仿宋_GB2312" w:cs="仿宋_GB2312" w:eastAsia="仿宋_GB2312"/>
                <w:sz w:val="21"/>
              </w:rPr>
              <w:t>1.服务期限：一年；</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2.成果交付：所有台账、表单、各类报告、安全技术文件、教育培训资料、安全评估资料分电子档+纸质盖章版按期提交；</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3.考核方式：采购人依据报送时效、报告质量、隐患闭环成效、现场服务落地情况按月</w:t>
            </w:r>
            <w:r>
              <w:rPr>
                <w:rFonts w:ascii="仿宋_GB2312" w:hAnsi="仿宋_GB2312" w:cs="仿宋_GB2312" w:eastAsia="仿宋_GB2312"/>
                <w:sz w:val="21"/>
              </w:rPr>
              <w:t>、</w:t>
            </w:r>
            <w:r>
              <w:rPr>
                <w:rFonts w:ascii="仿宋_GB2312" w:hAnsi="仿宋_GB2312" w:cs="仿宋_GB2312" w:eastAsia="仿宋_GB2312"/>
                <w:sz w:val="21"/>
              </w:rPr>
              <w:t>季度对</w:t>
            </w:r>
            <w:r>
              <w:rPr>
                <w:rFonts w:ascii="仿宋_GB2312" w:hAnsi="仿宋_GB2312" w:cs="仿宋_GB2312" w:eastAsia="仿宋_GB2312"/>
                <w:sz w:val="21"/>
              </w:rPr>
              <w:t>供应商</w:t>
            </w:r>
            <w:r>
              <w:rPr>
                <w:rFonts w:ascii="仿宋_GB2312" w:hAnsi="仿宋_GB2312" w:cs="仿宋_GB2312" w:eastAsia="仿宋_GB2312"/>
                <w:sz w:val="21"/>
              </w:rPr>
              <w:t>履约考评。</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ind w:firstLine="524"/>
              <w:jc w:val="both"/>
            </w:pPr>
            <w:r>
              <w:rPr>
                <w:rFonts w:ascii="仿宋_GB2312" w:hAnsi="仿宋_GB2312" w:cs="仿宋_GB2312" w:eastAsia="仿宋_GB2312"/>
                <w:sz w:val="24"/>
                <w:b/>
              </w:rPr>
              <w:t>范围如下：</w:t>
            </w:r>
          </w:p>
          <w:tbl>
            <w:tblPr>
              <w:tblInd w:type="dxa" w:w="120"/>
              <w:tblBorders>
                <w:top w:val="none" w:color="000000" w:sz="4"/>
                <w:left w:val="none" w:color="000000" w:sz="4"/>
                <w:bottom w:val="none" w:color="000000" w:sz="4"/>
                <w:right w:val="none" w:color="000000" w:sz="4"/>
                <w:insideH w:val="none"/>
                <w:insideV w:val="none"/>
              </w:tblBorders>
            </w:tblPr>
            <w:tblGrid>
              <w:gridCol w:w="520"/>
              <w:gridCol w:w="2888"/>
              <w:gridCol w:w="416"/>
            </w:tblGrid>
            <w:tr>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辖区</w:t>
                  </w:r>
                  <w:r>
                    <w:rPr>
                      <w:rFonts w:ascii="仿宋_GB2312" w:hAnsi="仿宋_GB2312" w:cs="仿宋_GB2312" w:eastAsia="仿宋_GB2312"/>
                      <w:sz w:val="24"/>
                      <w:b/>
                    </w:rPr>
                    <w:t>范围</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2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杜城</w:t>
                  </w:r>
                  <w:r>
                    <w:rPr>
                      <w:rFonts w:ascii="仿宋_GB2312" w:hAnsi="仿宋_GB2312" w:cs="仿宋_GB2312" w:eastAsia="仿宋_GB2312"/>
                      <w:sz w:val="24"/>
                    </w:rPr>
                    <w:t>街道办</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2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漳浒寨</w:t>
                  </w:r>
                  <w:r>
                    <w:rPr>
                      <w:rFonts w:ascii="仿宋_GB2312" w:hAnsi="仿宋_GB2312" w:cs="仿宋_GB2312" w:eastAsia="仿宋_GB2312"/>
                      <w:sz w:val="24"/>
                    </w:rPr>
                    <w:t>街道办</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2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未来产业城</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2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西沣办</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b/>
                <w:color w:val="000000"/>
              </w:rPr>
              <w:t>注：商务要求为实质性要求，不得负偏离。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根据项目需求自行安排</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根据项目需求自行安排</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1、中标人最终的服务质量负完全责任。 2、验收依据： （1）合同； （2）国家有关的验收标准及规范； （3）招标文件、投标文件。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1、中标人最终的服务质量负完全责任。 2、验收依据： （1）合同； （2）国家有关的验收标准及规范； （3）招标文件、投标文件。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进度款，采取按季度结款（最后不足一个季度按一个季度计算），达到付款条件起10个工作日内，支付合同总金额的100.0%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进度款，采取按季度结款（最后不足一个季度按一个季度计算），达到付款条件起10个工作日内，支付合同总金额的100.0%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一、本项目实行兼投不兼中规则，各投标人最多仅能中标本项目其中1个标段。 二、因采购文件编制格式限制，支付约定完整版内容如下： 采购包1： １.本合同总金额为： 元（大写人民币： 元整） 合同总金额包括合同规定的乙方的全部费用，即包括所有机械设备费、服务费、规范规定的检验费、保险费、管理费、税费、规费和利润，如有缺漏项，视同包含在合同总价内。 ２.支付方式：采取按季度结款（最后不足一个季度按一个季度计算），达到付款条件起10日内支付。 3.每次付款前乙方均须提供等额有效的增值税发票给甲方，甲方在收到发票且在财政资金到位的情况下，将应付款项支付给乙方。因财政、政策、审计、不可抗力等原因导致付款延迟的除外。 4.甲乙双方约定的技术服务费支付方式为：【银行转账】 采购包2： １.本合同总金额为： 元（大写人民币： 元整） 合同总金额包括合同规定的乙方的全部费用，即包括所有机械设备费、服务费、规范规定的检验费、保险费、管理费、税费、规费和利润，如有缺漏项，视同包含在合同总价内。 ２.支付方式：采取按季度结款（最后不足一个季度按一个季度计算），达到付款条件起10日内支付。 3.每次付款前乙方均须提供等额有效的增值税发票给甲方，甲方在收到发票且在财政资金到位的情况下，将应付款项支付给乙方。因财政、政策、审计、不可抗力等原因导致付款延迟的除外。 4.甲乙双方约定的技术服务费支付方式为：【银行转账】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（1）投标人应具有独立承担民事责任的能力，提供投标人的营业执照等证明文件，自然人的身份证明等； （2）税收缴纳证明：提供投标人自开标前六个月以来已缴纳任意时段完税凭证或税务机关开具的完税证明（任意税种）；依法免税的应提供相关文件证明； （3）社会保障资金缴纳证明：提供投标人自开标前六个月以来已缴存的任意时段的社会保障资金缴存单据或社保机构开具的社会保险参保缴费情况证明；依法不需要缴纳社会保障资金的投标人应提供相关文件证明； （4）提供投标人具备履行合同所必需的设备和专业技术能力的证明材料； （5）投标人参加本次开标前3年内，在经营活动中没有重大违法记录的书面声明；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2025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或信用担保机构出具的投标担保函，以上三种形式的资料提供任何一种即可（成立时间至提交投标文件截止时间不足一年的可提供成立后任意时段的资产负债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（1）投标人应具有独立承担民事责任的能力，提供投标人的营业执照等证明文件，自然人的身份证明等； （2）税收缴纳证明：提供投标人自开标前六个月以来已缴纳任意时段完税凭证或税务机关开具的完税证明（任意税种）；依法免税的应提供相关文件证明； （3）社会保障资金缴纳证明：提供投标人自开标前六个月以来已缴存的任意时段的社会保障资金缴存单据或社保机构开具的社会保险参保缴费情况证明；依法不需要缴纳社会保障资金的投标人应提供相关文件证明； （4）提供投标人具备履行合同所必需的设备和专业技术能力的证明材料； （5）投标人参加本次开标前3年内，在经营活动中没有重大违法记录的书面声明；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2025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或信用担保机构出具的投标担保函，以上三种形式的资料提供任何一种即可（成立时间至提交投标文件截止时间不足一年的可提供成立后任意时段的资产负债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法定代表人直接参加投标的，须出具法定代表人身份证明书；法定代表人授权代表参加投标的，须出具法定代表人授权委托书和被授权人身份证。</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具备行政主管部门颁发的工程监理综合资质或房屋建筑工程监理甲级及以上资质，且无不良记录。</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项目负责人资格要求</w:t>
            </w:r>
          </w:p>
        </w:tc>
        <w:tc>
          <w:tcPr>
            <w:tcW w:type="dxa" w:w="3322"/>
          </w:tcPr>
          <w:p>
            <w:pPr>
              <w:pStyle w:val="null3"/>
            </w:pPr>
            <w:r>
              <w:rPr>
                <w:rFonts w:ascii="仿宋_GB2312" w:hAnsi="仿宋_GB2312" w:cs="仿宋_GB2312" w:eastAsia="仿宋_GB2312"/>
              </w:rPr>
              <w:t>项目负责人具有注册安全工程师或注册监理工程师或高级职称。</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投标人应提交的相关资格证明材料（1）.docx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法定代表人直接参加投标的，须出具法定代表人身份证明书；法定代表人授权代表参加投标的，须出具法定代表人授权委托书和被授权人身份证。</w:t>
            </w:r>
          </w:p>
        </w:tc>
        <w:tc>
          <w:tcPr>
            <w:tcW w:type="dxa" w:w="1661"/>
          </w:tcPr>
          <w:p>
            <w:pPr>
              <w:pStyle w:val="null3"/>
            </w:pPr>
            <w:r>
              <w:rPr>
                <w:rFonts w:ascii="仿宋_GB2312" w:hAnsi="仿宋_GB2312" w:cs="仿宋_GB2312" w:eastAsia="仿宋_GB2312"/>
              </w:rPr>
              <w:t>投标人应提交的相关资格证明材料（2）.docx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具备行政主管部门颁发的工程监理综合资质或房屋建筑工程监理甲级及以上资质，且无不良记录。</w:t>
            </w:r>
          </w:p>
        </w:tc>
        <w:tc>
          <w:tcPr>
            <w:tcW w:type="dxa" w:w="1661"/>
          </w:tcPr>
          <w:p>
            <w:pPr>
              <w:pStyle w:val="null3"/>
            </w:pPr>
            <w:r>
              <w:rPr>
                <w:rFonts w:ascii="仿宋_GB2312" w:hAnsi="仿宋_GB2312" w:cs="仿宋_GB2312" w:eastAsia="仿宋_GB2312"/>
              </w:rPr>
              <w:t>投标人应提交的相关资格证明材料（2）.docx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项目负责人资格要求</w:t>
            </w:r>
          </w:p>
        </w:tc>
        <w:tc>
          <w:tcPr>
            <w:tcW w:type="dxa" w:w="3322"/>
          </w:tcPr>
          <w:p>
            <w:pPr>
              <w:pStyle w:val="null3"/>
            </w:pPr>
            <w:r>
              <w:rPr>
                <w:rFonts w:ascii="仿宋_GB2312" w:hAnsi="仿宋_GB2312" w:cs="仿宋_GB2312" w:eastAsia="仿宋_GB2312"/>
              </w:rPr>
              <w:t>项目负责人具有注册安全工程师或注册监理工程师或高级职称。</w:t>
            </w:r>
          </w:p>
        </w:tc>
        <w:tc>
          <w:tcPr>
            <w:tcW w:type="dxa" w:w="1661"/>
          </w:tcPr>
          <w:p>
            <w:pPr>
              <w:pStyle w:val="null3"/>
            </w:pPr>
            <w:r>
              <w:rPr>
                <w:rFonts w:ascii="仿宋_GB2312" w:hAnsi="仿宋_GB2312" w:cs="仿宋_GB2312" w:eastAsia="仿宋_GB2312"/>
              </w:rPr>
              <w:t>投标人应提交的相关资格证明材料（2）.docx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投标人应提交的相关资格证明材料（2）.docx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投标函 报价明细表（1）.docx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投标文件上法定代表人（单位负责人）或授权委托人的签字齐全并加盖单位章</w:t>
            </w:r>
          </w:p>
        </w:tc>
        <w:tc>
          <w:tcPr>
            <w:tcW w:type="dxa" w:w="1661"/>
          </w:tcPr>
          <w:p>
            <w:pPr>
              <w:pStyle w:val="null3"/>
            </w:pPr>
            <w:r>
              <w:rPr>
                <w:rFonts w:ascii="仿宋_GB2312" w:hAnsi="仿宋_GB2312" w:cs="仿宋_GB2312" w:eastAsia="仿宋_GB2312"/>
              </w:rPr>
              <w:t>开标一览表 中小企业声明函 商务应答表 服务方案（1）.docx 服务内容及服务要求应答表 投标人需补充的其他内容（1）.docx 投标人应提交的相关资格证明材料（1）.docx 投标函 残疾人福利性单位声明函 报价明细表（1）.docx 标的清单 投标文件封面 业绩的相关证明材料（1）.docx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所有提交的证件、文件与印章一致</w:t>
            </w:r>
          </w:p>
        </w:tc>
        <w:tc>
          <w:tcPr>
            <w:tcW w:type="dxa" w:w="1661"/>
          </w:tcPr>
          <w:p>
            <w:pPr>
              <w:pStyle w:val="null3"/>
            </w:pPr>
            <w:r>
              <w:rPr>
                <w:rFonts w:ascii="仿宋_GB2312" w:hAnsi="仿宋_GB2312" w:cs="仿宋_GB2312" w:eastAsia="仿宋_GB2312"/>
              </w:rPr>
              <w:t>开标一览表 中小企业声明函 商务应答表 服务方案（1）.docx 服务内容及服务要求应答表 投标人需补充的其他内容（1）.docx 投标人应提交的相关资格证明材料（1）.docx 投标函 残疾人福利性单位声明函 报价明细表（1）.docx 标的清单 投标文件封面 业绩的相关证明材料（1）.docx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投标文件内容符合招标文件的要求</w:t>
            </w:r>
          </w:p>
        </w:tc>
        <w:tc>
          <w:tcPr>
            <w:tcW w:type="dxa" w:w="1661"/>
          </w:tcPr>
          <w:p>
            <w:pPr>
              <w:pStyle w:val="null3"/>
            </w:pPr>
            <w:r>
              <w:rPr>
                <w:rFonts w:ascii="仿宋_GB2312" w:hAnsi="仿宋_GB2312" w:cs="仿宋_GB2312" w:eastAsia="仿宋_GB2312"/>
              </w:rPr>
              <w:t>开标一览表 中小企业声明函 商务应答表 服务方案（1）.docx 服务内容及服务要求应答表 投标人需补充的其他内容（1）.docx 投标人应提交的相关资格证明材料（1）.docx 投标函 残疾人福利性单位声明函 报价明细表（1）.docx 标的清单 投标文件封面 业绩的相关证明材料（1）.docx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标的清单 报价明细表（2）.docx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投标文件上法定代表人（单位负责人）或授权委托人的签字齐全并加盖单位章</w:t>
            </w:r>
          </w:p>
        </w:tc>
        <w:tc>
          <w:tcPr>
            <w:tcW w:type="dxa" w:w="1661"/>
          </w:tcPr>
          <w:p>
            <w:pPr>
              <w:pStyle w:val="null3"/>
            </w:pPr>
            <w:r>
              <w:rPr>
                <w:rFonts w:ascii="仿宋_GB2312" w:hAnsi="仿宋_GB2312" w:cs="仿宋_GB2312" w:eastAsia="仿宋_GB2312"/>
              </w:rPr>
              <w:t>业绩的相关证明材料（2）.docx 开标一览表 中小企业声明函 商务应答表 服务内容及服务要求应答表 投标人应提交的相关资格证明材料（2）.docx 投标人需补充的其他内容（2）.docx 报价明细表（2）.docx 服务方案（2）.docx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所有提交的证件、文件与印章一致</w:t>
            </w:r>
          </w:p>
        </w:tc>
        <w:tc>
          <w:tcPr>
            <w:tcW w:type="dxa" w:w="1661"/>
          </w:tcPr>
          <w:p>
            <w:pPr>
              <w:pStyle w:val="null3"/>
            </w:pPr>
            <w:r>
              <w:rPr>
                <w:rFonts w:ascii="仿宋_GB2312" w:hAnsi="仿宋_GB2312" w:cs="仿宋_GB2312" w:eastAsia="仿宋_GB2312"/>
              </w:rPr>
              <w:t>业绩的相关证明材料（2）.docx 开标一览表 中小企业声明函 商务应答表 服务内容及服务要求应答表 投标人应提交的相关资格证明材料（2）.docx 投标人需补充的其他内容（2）.docx 报价明细表（2）.docx 服务方案（2）.docx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投标文件内容符合招标文件的要求</w:t>
            </w:r>
          </w:p>
        </w:tc>
        <w:tc>
          <w:tcPr>
            <w:tcW w:type="dxa" w:w="1661"/>
          </w:tcPr>
          <w:p>
            <w:pPr>
              <w:pStyle w:val="null3"/>
            </w:pPr>
            <w:r>
              <w:rPr>
                <w:rFonts w:ascii="仿宋_GB2312" w:hAnsi="仿宋_GB2312" w:cs="仿宋_GB2312" w:eastAsia="仿宋_GB2312"/>
              </w:rPr>
              <w:t>业绩的相关证明材料（2）.docx 开标一览表 中小企业声明函 商务应答表 服务内容及服务要求应答表 投标人应提交的相关资格证明材料（2）.docx 投标人需补充的其他内容（2）.docx 报价明细表（2）.docx 服务方案（2）.docx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①对项目需求的理解与分析； ②项目任务的目标阐述； ③工作路径； ④报告成果及提交方案； ⑤可行性服务响应； ⑥项目的重点难点分析及解决途径。 二、评审标准： 1.完整性：方案须全面，对评审内容中的各项要求有详细描述； 2.可实施性：切合本项目实际情况，实施步骤清晰、合理； 3.针对性：方案能够紧扣项目实际情况，内容科学合理。 上述6项评审内容全部满足评审标准得18分，评审内容缺项每项扣3分，每有一项评审内容存在缺陷，根据缺陷内容，每出现一处缺陷扣0-3分，扣完为止。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投标人需补充的其他内容（1）.docx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①工作质量、安全、进度控制保障措施； ②组织协调内容及措施； ③工作重点与难点分析及对应措施。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上述3项评审内容全部满足评审标准得6分，评审内容缺项每项扣2分，每有一项评审内容存在缺陷，根据缺陷内容，每出现一处缺陷扣0-2分，扣完为止。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投标人需补充的其他内容（1）.docx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针对服务内容及要求提供关于： ①风险预测； ②应对措施。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上述2项评审内容全部满足评审标准得2分，评审内容缺项每项扣1分，每有一项评审内容存在缺陷，根据缺陷内容，每出现一处缺陷扣0-1分，扣完为止。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投标人需补充的其他内容（1）.docx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①施工准备保证； ②划分各节点工期； ③分析确定重点工程工期。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上述3项评审内容全部满足评审标准得3分，评审内容缺项每项扣1分，每有一项评审内容存在缺陷，根据缺陷内容，每出现一处缺陷扣0-1分，扣完为止。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投标人需补充的其他内容（1）.docx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一、评审内容：针对本项目提供具体可行的服务承诺及合理化建议，包括但不限于 ①服务质量承诺； ②服务响应时限、人员到位、安全保障、不能完全履行承诺时愿意接受相关处罚等以及其他服务的承诺； ③有利于本项目实施的合理化建议； ④保密承诺。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上述4项评审内容全部满足评审标准得8分，评审内容缺项每项扣2分，每有一项评审内容存在缺陷，根据缺陷内容，每出现一处缺陷扣0-2分，扣完为止。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投标人需补充的其他内容（1）.docx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一、评审内容：针对本项目提供具体可行的人员配置方案，包括但不限于 ①机构设置、组成人员名单； ②人员岗位职责。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上述2项评审内容全部满足评审标准得3分，评审内容缺项每项扣1.5分，每有一项评审内容存在缺陷，根据缺陷内容，每出现一处缺陷扣0-1.5分，扣完为止。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投标人需补充的其他内容（1）.docx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①除项目负责人外，团队成员具有高级工程师职称，每提供一份计1.5分，本小项最高计3分； （需提供劳动合同复印件、截止投标前六个月内已缴存任意一个月社会保障资金缴存单据或社保机构开具的社会保险参保缴费证明，否则不计分） ②团队成员具有中级工程师职称，每提供一份计1分，本小项最高计5分； （需提供劳动合同复印件、截止投标前六个月内已缴存任意一个月社会保障资金缴存单据或社保机构开具的社会保险参保缴费证明，否则不计分） ③持有民航局CAAC民用无人驾驶航空器超视距驾驶员执照，签注多旋翼类别，执照在有效期内。每提供1份计1分，本小项最高计2分。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投标人需补充的其他内容（1）.docx</w:t>
            </w:r>
          </w:p>
        </w:tc>
      </w:tr>
      <w:tr>
        <w:tc>
          <w:tcPr>
            <w:tcW w:type="dxa" w:w="831"/>
            <w:vMerge/>
          </w:tcPr>
          <w:p/>
        </w:tc>
        <w:tc>
          <w:tcPr>
            <w:tcW w:type="dxa" w:w="1661"/>
          </w:tcPr>
          <w:p>
            <w:pPr>
              <w:pStyle w:val="null3"/>
            </w:pPr>
            <w:r>
              <w:rPr>
                <w:rFonts w:ascii="仿宋_GB2312" w:hAnsi="仿宋_GB2312" w:cs="仿宋_GB2312" w:eastAsia="仿宋_GB2312"/>
              </w:rPr>
              <w:t>拟投入设备情况</w:t>
            </w:r>
          </w:p>
        </w:tc>
        <w:tc>
          <w:tcPr>
            <w:tcW w:type="dxa" w:w="2492"/>
          </w:tcPr>
          <w:p>
            <w:pPr>
              <w:pStyle w:val="null3"/>
            </w:pPr>
            <w:r>
              <w:rPr>
                <w:rFonts w:ascii="仿宋_GB2312" w:hAnsi="仿宋_GB2312" w:cs="仿宋_GB2312" w:eastAsia="仿宋_GB2312"/>
              </w:rPr>
              <w:t>提供无人机1台，计1分；每多提供1台计1分，本小项最高计2分； （自有设备：①投标人需提供发票；②提供完整有效的证明材料，用以佐证所投产品全部技术参数满足采购需求； 租赁设备：①投标人需提供租赁合同；②提供产权人发票或其它相关证明材料；③提供完整有效的证明材料，用以佐证所投产品全部技术参数满足采购需求）</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投标人需补充的其他内容（1）.docx</w:t>
            </w:r>
          </w:p>
        </w:tc>
      </w:tr>
      <w:tr>
        <w:tc>
          <w:tcPr>
            <w:tcW w:type="dxa" w:w="831"/>
            <w:vMerge/>
          </w:tcPr>
          <w:p/>
        </w:tc>
        <w:tc>
          <w:tcPr>
            <w:tcW w:type="dxa" w:w="1661"/>
          </w:tcPr>
          <w:p>
            <w:pPr>
              <w:pStyle w:val="null3"/>
            </w:pPr>
            <w:r>
              <w:rPr>
                <w:rFonts w:ascii="仿宋_GB2312" w:hAnsi="仿宋_GB2312" w:cs="仿宋_GB2312" w:eastAsia="仿宋_GB2312"/>
              </w:rPr>
              <w:t>履约项目说明</w:t>
            </w:r>
          </w:p>
        </w:tc>
        <w:tc>
          <w:tcPr>
            <w:tcW w:type="dxa" w:w="2492"/>
          </w:tcPr>
          <w:p>
            <w:pPr>
              <w:pStyle w:val="null3"/>
            </w:pPr>
            <w:r>
              <w:rPr>
                <w:rFonts w:ascii="仿宋_GB2312" w:hAnsi="仿宋_GB2312" w:cs="仿宋_GB2312" w:eastAsia="仿宋_GB2312"/>
              </w:rPr>
              <w:t>投标人提供不限于所完成项目的满意度调查表、业主评价意见表等，每提供一份计2分，最高计4分。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服务方案（1）.docx</w:t>
            </w:r>
          </w:p>
          <w:p>
            <w:pPr>
              <w:pStyle w:val="null3"/>
            </w:pPr>
            <w:r>
              <w:rPr>
                <w:rFonts w:ascii="仿宋_GB2312" w:hAnsi="仿宋_GB2312" w:cs="仿宋_GB2312" w:eastAsia="仿宋_GB2312"/>
              </w:rPr>
              <w:t>投标人需补充的其他内容（1）.docx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投标人提供2023年7月至今类似项目业绩，以合同签订时间为准，每提供一份合同计3分，最高计15分。（须提供合同复印件并加盖公章，否则不计分）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业绩的相关证明材料（1）.docx</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投标人提供类似项目业绩，以合同签订时间为准，每提供一份合同计3分，最高计9分。（须提供合同复印件并加盖公章，否则不计分）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有效投标人最低报价为基准价得20分，其他各投标人的报价得分按下列公式计算：（基准价/投标报价） × 20% × 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①对项目需求的理解与分析； ②项目任务的目标阐述； ③工作路径； ④报告成果及提交方案； ⑤可行性服务响应； ⑥项目的重点难点分析及解决途径。 二、评审标准： 1.完整性：方案须全面，对评审内容中的各项要求有详细描述； 2.可实施性：切合本项目实际情况，实施步骤清晰、合理； 3.针对性：方案能够紧扣项目实际情况，内容科学合理。 上述6项评审内容全部满足评审标准得18分，评审内容缺项每项扣3分，每有一项评审内容存在缺陷，根据缺陷内容，每出现一处缺陷扣0-3分，扣完为止。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投标人需补充的其他内容（2）.docx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①工作质量、安全、进度控制保障措施； ②组织协调内容及措施； ③工作重点与难点分析及对应措施。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上述3项评审内容全部满足评审标准得6分，评审内容缺项每项扣2分，每有一项评审内容存在缺陷，根据缺陷内容，每出现一处缺陷扣0-2分，扣完为止。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投标人需补充的其他内容（2）.docx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针对服务内容及要求提供关于： ①风险预测； ②应对措施。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上述2项评审内容全部满足评审标准得2分，评审内容缺项每项扣1分，每有一项评审内容存在缺陷，根据缺陷内容，每出现一处缺陷扣0-1分，扣完为止。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投标人需补充的其他内容（2）.docx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①施工准备保证； ②划分各节点工期； ③分析确定重点工程工期。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上述3项评审内容全部满足评审标准得3分，评审内容缺项每项扣1分，每有一项评审内容存在缺陷，根据缺陷内容，每出现一处缺陷扣0-1分，扣完为止。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投标人需补充的其他内容（2）.docx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一、评审内容：针对本项目提供具体可行的服务承诺及合理化建议，包括但不限于 ①服务质量承诺； ②服务响应时限、人员到位、安全保障、不能完全履行承诺时愿意接受相关处罚等以及其他服务的承诺； ③有利于本项目实施的合理化建议； ④保密承诺。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上述4项评审内容全部满足评审标准得8分，评审内容缺项每项扣2分，每有一项评审内容存在缺陷，根据缺陷内容，每出现一处缺陷扣0-2分，扣完为止。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投标人需补充的其他内容（2）.docx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一、评审内容：针对本项目提供具体可行的人员配置方案，包括但不限于 ①机构设置、组成人员名单； ②人员岗位职责。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上述2项评审内容全部满足评审标准得3分，评审内容缺项每项扣1.5分，每有一项评审内容存在缺陷，根据缺陷内容，每出现一处缺陷扣0-1.5分，扣完为止。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投标人需补充的其他内容（2）.docx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①除项目负责人外，团队成员具有高级工程师职称，每提供一份计1.5分，本小项最高计3分； （需提供劳动合同复印件、截止投标前六个月内已缴存任意一个月社会保障资金缴存单据或社保机构开具的社会保险参保缴费证明，否则不计分） ②团队成员具有中级工程师职称，每提供一份计1分，本小项最高计5分； （需提供劳动合同复印件、截止投标前六个月内已缴存任意一个月社会保障资金缴存单据或社保机构开具的社会保险参保缴费证明，否则不计分） ③持有民航局CAAC民用无人驾驶航空器超视距驾驶员执照，签注多旋翼类别，执照在有效期内。每提供1份计1分，本小项最高计2分；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投标人需补充的其他内容（2）.docx</w:t>
            </w:r>
          </w:p>
        </w:tc>
      </w:tr>
      <w:tr>
        <w:tc>
          <w:tcPr>
            <w:tcW w:type="dxa" w:w="831"/>
            <w:vMerge/>
          </w:tcPr>
          <w:p/>
        </w:tc>
        <w:tc>
          <w:tcPr>
            <w:tcW w:type="dxa" w:w="1661"/>
          </w:tcPr>
          <w:p>
            <w:pPr>
              <w:pStyle w:val="null3"/>
            </w:pPr>
            <w:r>
              <w:rPr>
                <w:rFonts w:ascii="仿宋_GB2312" w:hAnsi="仿宋_GB2312" w:cs="仿宋_GB2312" w:eastAsia="仿宋_GB2312"/>
              </w:rPr>
              <w:t>拟投入设备情况</w:t>
            </w:r>
          </w:p>
        </w:tc>
        <w:tc>
          <w:tcPr>
            <w:tcW w:type="dxa" w:w="2492"/>
          </w:tcPr>
          <w:p>
            <w:pPr>
              <w:pStyle w:val="null3"/>
            </w:pPr>
            <w:r>
              <w:rPr>
                <w:rFonts w:ascii="仿宋_GB2312" w:hAnsi="仿宋_GB2312" w:cs="仿宋_GB2312" w:eastAsia="仿宋_GB2312"/>
              </w:rPr>
              <w:t>提供无人机1台，计1分；每多提供1台计1分，本小项最高计2分； （自有设备：①投标人需提供发票；②提供完整有效的证明材料，用以佐证所投产品全部技术参数满足采购需求； 租赁设备：①投标人需提供租赁合同；②提供产权人发票或其它相关证明材料；③提供完整有效的证明材料，用以佐证所投产品全部技术参数满足采购需求）</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投标人需补充的其他内容（2）.docx</w:t>
            </w:r>
          </w:p>
        </w:tc>
      </w:tr>
      <w:tr>
        <w:tc>
          <w:tcPr>
            <w:tcW w:type="dxa" w:w="831"/>
            <w:vMerge/>
          </w:tcPr>
          <w:p/>
        </w:tc>
        <w:tc>
          <w:tcPr>
            <w:tcW w:type="dxa" w:w="1661"/>
          </w:tcPr>
          <w:p>
            <w:pPr>
              <w:pStyle w:val="null3"/>
            </w:pPr>
            <w:r>
              <w:rPr>
                <w:rFonts w:ascii="仿宋_GB2312" w:hAnsi="仿宋_GB2312" w:cs="仿宋_GB2312" w:eastAsia="仿宋_GB2312"/>
              </w:rPr>
              <w:t>履约项目说明</w:t>
            </w:r>
          </w:p>
        </w:tc>
        <w:tc>
          <w:tcPr>
            <w:tcW w:type="dxa" w:w="2492"/>
          </w:tcPr>
          <w:p>
            <w:pPr>
              <w:pStyle w:val="null3"/>
            </w:pPr>
            <w:r>
              <w:rPr>
                <w:rFonts w:ascii="仿宋_GB2312" w:hAnsi="仿宋_GB2312" w:cs="仿宋_GB2312" w:eastAsia="仿宋_GB2312"/>
              </w:rPr>
              <w:t>投标人提供不限于所完成项目的满意度调查表、业主评价意见表等，每提供一份计2分，最高计4分。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服务方案（2）.docx</w:t>
            </w:r>
          </w:p>
          <w:p>
            <w:pPr>
              <w:pStyle w:val="null3"/>
            </w:pPr>
            <w:r>
              <w:rPr>
                <w:rFonts w:ascii="仿宋_GB2312" w:hAnsi="仿宋_GB2312" w:cs="仿宋_GB2312" w:eastAsia="仿宋_GB2312"/>
              </w:rPr>
              <w:t>投标人需补充的其他内容（2）.docx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投标人提供2023年7月至今类似项目业绩，以合同签订时间为准，每提供一份合同计3分，最高计15分。（须提供合同复印件并加盖公章，否则不计分）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业绩的相关证明材料（2）.docx</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投标人提供类似项目业绩，以合同签订时间为准，每提供一份合同计3分，最高计9分。（须提供合同复印件并加盖公章，否则不计分）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有效投标人最低报价为基准价得20分，其他各投标人的报价得分按下列公式计算：（基准价/投标报价） × 20% × 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详见附件：报价明细表（1）.docx</w:t>
      </w:r>
    </w:p>
    <w:p>
      <w:pPr>
        <w:pStyle w:val="null3"/>
        <w:ind w:firstLine="960"/>
      </w:pPr>
      <w:r>
        <w:rPr>
          <w:rFonts w:ascii="仿宋_GB2312" w:hAnsi="仿宋_GB2312" w:cs="仿宋_GB2312" w:eastAsia="仿宋_GB2312"/>
        </w:rPr>
        <w:t>详见附件：服务方案（1）.docx</w:t>
      </w:r>
    </w:p>
    <w:p>
      <w:pPr>
        <w:pStyle w:val="null3"/>
        <w:ind w:firstLine="960"/>
      </w:pPr>
      <w:r>
        <w:rPr>
          <w:rFonts w:ascii="仿宋_GB2312" w:hAnsi="仿宋_GB2312" w:cs="仿宋_GB2312" w:eastAsia="仿宋_GB2312"/>
        </w:rPr>
        <w:t>详见附件：投标人需补充的其他内容（1）.docx</w:t>
      </w:r>
    </w:p>
    <w:p>
      <w:pPr>
        <w:pStyle w:val="null3"/>
        <w:ind w:firstLine="960"/>
      </w:pPr>
      <w:r>
        <w:rPr>
          <w:rFonts w:ascii="仿宋_GB2312" w:hAnsi="仿宋_GB2312" w:cs="仿宋_GB2312" w:eastAsia="仿宋_GB2312"/>
        </w:rPr>
        <w:t>详见附件：投标人应提交的相关资格证明材料（1）.docx</w:t>
      </w:r>
    </w:p>
    <w:p>
      <w:pPr>
        <w:pStyle w:val="null3"/>
        <w:ind w:firstLine="960"/>
      </w:pPr>
      <w:r>
        <w:rPr>
          <w:rFonts w:ascii="仿宋_GB2312" w:hAnsi="仿宋_GB2312" w:cs="仿宋_GB2312" w:eastAsia="仿宋_GB2312"/>
        </w:rPr>
        <w:t>详见附件：业绩的相关证明材料（1）.docx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详见附件：报价明细表（2）.docx</w:t>
      </w:r>
    </w:p>
    <w:p>
      <w:pPr>
        <w:pStyle w:val="null3"/>
        <w:ind w:firstLine="960"/>
      </w:pPr>
      <w:r>
        <w:rPr>
          <w:rFonts w:ascii="仿宋_GB2312" w:hAnsi="仿宋_GB2312" w:cs="仿宋_GB2312" w:eastAsia="仿宋_GB2312"/>
        </w:rPr>
        <w:t>详见附件：服务方案（2）.docx</w:t>
      </w:r>
    </w:p>
    <w:p>
      <w:pPr>
        <w:pStyle w:val="null3"/>
        <w:ind w:firstLine="960"/>
      </w:pPr>
      <w:r>
        <w:rPr>
          <w:rFonts w:ascii="仿宋_GB2312" w:hAnsi="仿宋_GB2312" w:cs="仿宋_GB2312" w:eastAsia="仿宋_GB2312"/>
        </w:rPr>
        <w:t>详见附件：投标人应提交的相关资格证明材料（2）.docx</w:t>
      </w:r>
    </w:p>
    <w:p>
      <w:pPr>
        <w:pStyle w:val="null3"/>
        <w:ind w:firstLine="960"/>
      </w:pPr>
      <w:r>
        <w:rPr>
          <w:rFonts w:ascii="仿宋_GB2312" w:hAnsi="仿宋_GB2312" w:cs="仿宋_GB2312" w:eastAsia="仿宋_GB2312"/>
        </w:rPr>
        <w:t>详见附件：业绩的相关证明材料（2）.docx</w:t>
      </w:r>
    </w:p>
    <w:p>
      <w:pPr>
        <w:pStyle w:val="null3"/>
        <w:ind w:firstLine="960"/>
      </w:pPr>
      <w:r>
        <w:rPr>
          <w:rFonts w:ascii="仿宋_GB2312" w:hAnsi="仿宋_GB2312" w:cs="仿宋_GB2312" w:eastAsia="仿宋_GB2312"/>
        </w:rPr>
        <w:t>详见附件：投标人需补充的其他内容（2）.docx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