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41657">
      <w:pPr>
        <w:pStyle w:val="3"/>
        <w:spacing w:line="360" w:lineRule="auto"/>
        <w:ind w:firstLine="486" w:firstLineChars="200"/>
        <w:jc w:val="left"/>
        <w:rPr>
          <w:rFonts w:ascii="仿宋" w:hAnsi="仿宋" w:eastAsia="仿宋" w:cs="仿宋"/>
          <w:color w:val="auto"/>
          <w:spacing w:val="1"/>
          <w:sz w:val="24"/>
          <w:highlight w:val="none"/>
        </w:rPr>
      </w:pPr>
      <w:r>
        <w:rPr>
          <w:rFonts w:hint="eastAsia" w:ascii="仿宋" w:hAnsi="仿宋" w:eastAsia="仿宋" w:cs="仿宋"/>
          <w:color w:val="auto"/>
          <w:spacing w:val="1"/>
          <w:sz w:val="24"/>
          <w:highlight w:val="none"/>
        </w:rPr>
        <w:t>合同编号：</w:t>
      </w:r>
    </w:p>
    <w:p w14:paraId="11C1B903">
      <w:pPr>
        <w:spacing w:line="252" w:lineRule="auto"/>
        <w:rPr>
          <w:color w:val="auto"/>
          <w:highlight w:val="none"/>
        </w:rPr>
      </w:pPr>
    </w:p>
    <w:p w14:paraId="12B05E66">
      <w:pPr>
        <w:spacing w:line="252" w:lineRule="auto"/>
        <w:rPr>
          <w:color w:val="auto"/>
          <w:highlight w:val="none"/>
        </w:rPr>
      </w:pPr>
    </w:p>
    <w:p w14:paraId="18269BA2">
      <w:pPr>
        <w:spacing w:line="252" w:lineRule="auto"/>
        <w:rPr>
          <w:color w:val="auto"/>
          <w:highlight w:val="none"/>
        </w:rPr>
      </w:pPr>
      <w:bookmarkStart w:id="0" w:name="_Toc19515384"/>
    </w:p>
    <w:p w14:paraId="75D8CE82">
      <w:pPr>
        <w:spacing w:line="252" w:lineRule="auto"/>
        <w:rPr>
          <w:color w:val="auto"/>
          <w:highlight w:val="none"/>
        </w:rPr>
      </w:pPr>
    </w:p>
    <w:p w14:paraId="77BF395A">
      <w:pPr>
        <w:spacing w:line="252" w:lineRule="auto"/>
        <w:rPr>
          <w:color w:val="auto"/>
          <w:highlight w:val="none"/>
        </w:rPr>
      </w:pPr>
    </w:p>
    <w:p w14:paraId="6BEACC3E">
      <w:pPr>
        <w:spacing w:line="252" w:lineRule="auto"/>
        <w:rPr>
          <w:color w:val="auto"/>
          <w:highlight w:val="none"/>
        </w:rPr>
      </w:pPr>
    </w:p>
    <w:p w14:paraId="02F97081">
      <w:pPr>
        <w:spacing w:line="252" w:lineRule="auto"/>
        <w:jc w:val="center"/>
        <w:rPr>
          <w:color w:val="auto"/>
          <w:sz w:val="44"/>
          <w:szCs w:val="52"/>
          <w:highlight w:val="none"/>
        </w:rPr>
      </w:pPr>
    </w:p>
    <w:p w14:paraId="0331B7F7">
      <w:pPr>
        <w:pStyle w:val="3"/>
        <w:spacing w:line="360" w:lineRule="auto"/>
        <w:jc w:val="center"/>
        <w:rPr>
          <w:rFonts w:hint="default" w:ascii="仿宋" w:hAnsi="仿宋" w:eastAsia="仿宋" w:cs="仿宋"/>
          <w:b/>
          <w:bCs/>
          <w:color w:val="auto"/>
          <w:spacing w:val="11"/>
          <w:szCs w:val="21"/>
          <w:highlight w:val="none"/>
          <w:lang w:val="en-US" w:eastAsia="zh-CN"/>
        </w:rPr>
      </w:pPr>
      <w:r>
        <w:rPr>
          <w:rFonts w:hint="eastAsia" w:ascii="仿宋" w:hAnsi="仿宋" w:eastAsia="仿宋" w:cs="仿宋"/>
          <w:b/>
          <w:bCs/>
          <w:color w:val="auto"/>
          <w:spacing w:val="12"/>
          <w:sz w:val="44"/>
          <w:szCs w:val="44"/>
          <w:highlight w:val="none"/>
        </w:rPr>
        <w:t>西安职业技术学院辛家庙校区阅览室设备</w:t>
      </w:r>
    </w:p>
    <w:p w14:paraId="278CFA57">
      <w:pPr>
        <w:pStyle w:val="3"/>
        <w:spacing w:line="360" w:lineRule="auto"/>
        <w:ind w:firstLine="931" w:firstLineChars="200"/>
        <w:jc w:val="center"/>
        <w:rPr>
          <w:rFonts w:ascii="仿宋" w:hAnsi="仿宋" w:eastAsia="仿宋" w:cs="仿宋"/>
          <w:b/>
          <w:bCs/>
          <w:color w:val="auto"/>
          <w:spacing w:val="12"/>
          <w:sz w:val="44"/>
          <w:szCs w:val="44"/>
          <w:highlight w:val="none"/>
        </w:rPr>
      </w:pPr>
      <w:r>
        <w:rPr>
          <w:rFonts w:hint="eastAsia" w:ascii="仿宋" w:hAnsi="仿宋" w:eastAsia="仿宋" w:cs="仿宋"/>
          <w:b/>
          <w:bCs/>
          <w:color w:val="auto"/>
          <w:spacing w:val="12"/>
          <w:sz w:val="44"/>
          <w:szCs w:val="44"/>
          <w:highlight w:val="none"/>
        </w:rPr>
        <w:t>合同书</w:t>
      </w:r>
    </w:p>
    <w:p w14:paraId="31577B9A">
      <w:pPr>
        <w:spacing w:line="360" w:lineRule="auto"/>
        <w:ind w:firstLine="420" w:firstLineChars="200"/>
        <w:rPr>
          <w:rFonts w:ascii="仿宋" w:hAnsi="仿宋" w:eastAsia="仿宋" w:cs="仿宋"/>
          <w:color w:val="auto"/>
          <w:szCs w:val="21"/>
          <w:highlight w:val="none"/>
        </w:rPr>
      </w:pPr>
    </w:p>
    <w:p w14:paraId="0692FC83">
      <w:pPr>
        <w:pStyle w:val="3"/>
        <w:spacing w:line="360" w:lineRule="auto"/>
        <w:ind w:firstLine="562" w:firstLineChars="200"/>
        <w:rPr>
          <w:rFonts w:ascii="仿宋" w:hAnsi="仿宋" w:eastAsia="仿宋" w:cs="仿宋"/>
          <w:color w:val="auto"/>
          <w:szCs w:val="21"/>
          <w:highlight w:val="none"/>
        </w:rPr>
      </w:pPr>
    </w:p>
    <w:p w14:paraId="32D380ED">
      <w:pPr>
        <w:spacing w:line="360" w:lineRule="auto"/>
        <w:rPr>
          <w:rFonts w:ascii="仿宋" w:hAnsi="仿宋" w:eastAsia="仿宋" w:cs="仿宋"/>
          <w:color w:val="auto"/>
          <w:szCs w:val="21"/>
          <w:highlight w:val="none"/>
        </w:rPr>
      </w:pPr>
    </w:p>
    <w:p w14:paraId="664F8D4D">
      <w:pPr>
        <w:spacing w:line="360" w:lineRule="auto"/>
        <w:ind w:firstLine="480" w:firstLineChars="200"/>
        <w:rPr>
          <w:rFonts w:ascii="仿宋" w:hAnsi="仿宋" w:eastAsia="仿宋" w:cs="仿宋"/>
          <w:color w:val="auto"/>
          <w:sz w:val="24"/>
          <w:highlight w:val="none"/>
        </w:rPr>
      </w:pPr>
    </w:p>
    <w:p w14:paraId="13F01F2E">
      <w:pPr>
        <w:pStyle w:val="3"/>
        <w:spacing w:line="360" w:lineRule="auto"/>
        <w:ind w:firstLine="486" w:firstLineChars="200"/>
        <w:rPr>
          <w:rFonts w:ascii="仿宋" w:hAnsi="仿宋" w:eastAsia="仿宋" w:cs="仿宋"/>
          <w:color w:val="auto"/>
          <w:spacing w:val="1"/>
          <w:sz w:val="24"/>
          <w:highlight w:val="none"/>
        </w:rPr>
      </w:pPr>
      <w:r>
        <w:rPr>
          <w:rFonts w:hint="eastAsia" w:ascii="仿宋" w:hAnsi="仿宋" w:eastAsia="仿宋" w:cs="仿宋"/>
          <w:color w:val="auto"/>
          <w:spacing w:val="1"/>
          <w:sz w:val="24"/>
          <w:highlight w:val="none"/>
        </w:rPr>
        <mc:AlternateContent>
          <mc:Choice Requires="wps">
            <w:drawing>
              <wp:anchor distT="0" distB="0" distL="114300" distR="114300" simplePos="0" relativeHeight="251660288" behindDoc="0" locked="0" layoutInCell="1" allowOverlap="1">
                <wp:simplePos x="0" y="0"/>
                <wp:positionH relativeFrom="column">
                  <wp:posOffset>2122170</wp:posOffset>
                </wp:positionH>
                <wp:positionV relativeFrom="paragraph">
                  <wp:posOffset>180340</wp:posOffset>
                </wp:positionV>
                <wp:extent cx="2915285" cy="9525"/>
                <wp:effectExtent l="0" t="0" r="0" b="0"/>
                <wp:wrapNone/>
                <wp:docPr id="6" name="矩形 6"/>
                <wp:cNvGraphicFramePr/>
                <a:graphic xmlns:a="http://schemas.openxmlformats.org/drawingml/2006/main">
                  <a:graphicData uri="http://schemas.microsoft.com/office/word/2010/wordprocessingShape">
                    <wps:wsp>
                      <wps:cNvSpPr/>
                      <wps:spPr>
                        <a:xfrm>
                          <a:off x="0" y="0"/>
                          <a:ext cx="2915285" cy="9525"/>
                        </a:xfrm>
                        <a:prstGeom prst="rect">
                          <a:avLst/>
                        </a:prstGeom>
                        <a:solidFill>
                          <a:srgbClr val="FFFFFF"/>
                        </a:solidFill>
                        <a:ln w="9525" cap="flat" cmpd="sng">
                          <a:noFill/>
                          <a:prstDash val="solid"/>
                          <a:miter/>
                        </a:ln>
                        <a:effectLst/>
                      </wps:spPr>
                      <wps:txbx>
                        <w:txbxContent>
                          <w:p w14:paraId="74F24E51"/>
                          <w:p w14:paraId="400AF40A"/>
                        </w:txbxContent>
                      </wps:txbx>
                      <wps:bodyPr vert="horz" wrap="square" lIns="91440" tIns="45720" rIns="91440" bIns="45720" anchor="t" anchorCtr="0" upright="1">
                        <a:noAutofit/>
                      </wps:bodyPr>
                    </wps:wsp>
                  </a:graphicData>
                </a:graphic>
              </wp:anchor>
            </w:drawing>
          </mc:Choice>
          <mc:Fallback>
            <w:pict>
              <v:rect id="_x0000_s1026" o:spid="_x0000_s1026" o:spt="1" style="position:absolute;left:0pt;margin-left:167.1pt;margin-top:14.2pt;height:0.75pt;width:229.55pt;z-index:251660288;mso-width-relative:page;mso-height-relative:page;" fillcolor="#FFFFFF" filled="t" stroked="f" coordsize="21600,21600" o:gfxdata="UEsDBAoAAAAAAIdO4kAAAAAAAAAAAAAAAAAEAAAAZHJzL1BLAwQUAAAACACHTuJAROppyNcAAAAJ&#10;AQAADwAAAGRycy9kb3ducmV2LnhtbE2PwU7DMAyG70i8Q2QkbixZW8pamu6AtBNwYEPi6jVZW9E4&#10;pUm38vaYExxtf/r9/dV2cYM42yn0njSsVwqEpcabnloN74fd3QZEiEgGB09Ww7cNsK2vryosjb/Q&#10;mz3vYys4hEKJGroYx1LK0HTWYVj50RLfTn5yGHmcWmkmvHC4G2SiVC4d9sQfOhztU2ebz/3sNGCe&#10;ma/XU/pyeJ5zLNpF7e4/lNa3N2v1CCLaJf7B8KvP6lCz09HPZIIYNKRpljCqIdlkIBh4KNIUxJEX&#10;RQGyruT/BvUPUEsDBBQAAAAIAIdO4kCvnvoiHQIAADkEAAAOAAAAZHJzL2Uyb0RvYy54bWytU82O&#10;0zAQviPxDpbvNG3Ulm3UdIW2KkJCsNLCA7iOk1jyH2O3SXkZJG48BI+D9jUYO6Ety2UP9JDOeCbf&#10;zPf5y/q214ocBXhpTUlnkyklwnBbSdOU9POn3asbSnxgpmLKGlHSk/D0dvPyxbpzhchta1UlgCCI&#10;8UXnStqG4Ios87wVmvmJdcJgsbagWcAUmqwC1iG6Vlk+nS6zzkLlwHLhPZ5uhyIdEeE5gLauJRdb&#10;yw9amDCgglAsICXfSufpJm1b14KHj3XtRSCqpMg0pCcOwXgfn9lmzYoGmGslH1dgz1nhCSfNpMGh&#10;Z6gtC4wcQP4DpSUH620dJtzqbCCSFEEWs+kTbR5a5kTiglJ7dxbd/z9Y/uF4D0RWJV1SYpjGC3/8&#10;9uPXz+9kGbXpnC+w5cHdw5h5DCPRvgYd/5EC6ZOep7Oeog+E42G+mi3ymwUlHGurRb6IkNnlXQc+&#10;vBVWkxiUFPC2kojs+N6HofVPSxzlrZLVTiqVEmj2dwrIkeHN7tJvRP+rTRnSjbMJZ2jXGm2CC2mH&#10;lL1p0jxjIyoOZEWct2W+HXATVIRlhZZBRA1wfWXigUjuGheNOg3KxCj0+x5bY7i31QkFxu8NCbYW&#10;vlLSodtw9pcDA0GJemfwOlez+TzaMyXzxescE7iu7K8rzHCEKikSGcK7MFj64EA2LU6ajbzeHIKt&#10;ZdLysg2SiAk6KtEZ3R8te52nrssXv/k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ROppyNcAAAAJ&#10;AQAADwAAAAAAAAABACAAAAAiAAAAZHJzL2Rvd25yZXYueG1sUEsBAhQAFAAAAAgAh07iQK+e+iId&#10;AgAAOQQAAA4AAAAAAAAAAQAgAAAAJgEAAGRycy9lMm9Eb2MueG1sUEsFBgAAAAAGAAYAWQEAALUF&#10;AAAAAA==&#10;">
                <v:fill on="t" focussize="0,0"/>
                <v:stroke on="f" joinstyle="miter"/>
                <v:imagedata o:title=""/>
                <o:lock v:ext="edit" aspectratio="f"/>
                <v:textbox>
                  <w:txbxContent>
                    <w:p w14:paraId="74F24E51"/>
                    <w:p w14:paraId="400AF40A"/>
                  </w:txbxContent>
                </v:textbox>
              </v:rect>
            </w:pict>
          </mc:Fallback>
        </mc:AlternateContent>
      </w:r>
      <w:r>
        <w:rPr>
          <w:rFonts w:hint="eastAsia" w:ascii="仿宋" w:hAnsi="仿宋" w:eastAsia="仿宋" w:cs="仿宋"/>
          <w:color w:val="auto"/>
          <w:spacing w:val="1"/>
          <w:sz w:val="24"/>
          <w:highlight w:val="none"/>
        </w:rPr>
        <w:t>项  目  名  称 ：</w:t>
      </w:r>
      <w:r>
        <w:rPr>
          <w:rFonts w:hint="eastAsia" w:ascii="仿宋" w:hAnsi="仿宋" w:eastAsia="仿宋" w:cs="仿宋"/>
          <w:color w:val="auto"/>
          <w:spacing w:val="1"/>
          <w:sz w:val="24"/>
          <w:highlight w:val="none"/>
          <w:u w:val="single"/>
        </w:rPr>
        <w:t xml:space="preserve">                             </w:t>
      </w:r>
      <w:r>
        <w:rPr>
          <w:rFonts w:hint="eastAsia" w:ascii="仿宋" w:hAnsi="仿宋" w:eastAsia="仿宋" w:cs="仿宋"/>
          <w:color w:val="auto"/>
          <w:spacing w:val="1"/>
          <w:sz w:val="24"/>
          <w:highlight w:val="none"/>
        </w:rPr>
        <w:t xml:space="preserve">    </w:t>
      </w:r>
    </w:p>
    <w:p w14:paraId="7701825E">
      <w:pPr>
        <w:pStyle w:val="3"/>
        <w:spacing w:line="360" w:lineRule="auto"/>
        <w:ind w:firstLine="486" w:firstLineChars="200"/>
        <w:rPr>
          <w:rFonts w:ascii="仿宋" w:hAnsi="仿宋" w:eastAsia="仿宋" w:cs="仿宋"/>
          <w:color w:val="auto"/>
          <w:spacing w:val="1"/>
          <w:sz w:val="24"/>
          <w:highlight w:val="none"/>
        </w:rPr>
      </w:pPr>
    </w:p>
    <w:p w14:paraId="5435C375">
      <w:pPr>
        <w:pStyle w:val="3"/>
        <w:spacing w:line="360" w:lineRule="auto"/>
        <w:ind w:firstLine="486" w:firstLineChars="200"/>
        <w:rPr>
          <w:rFonts w:ascii="仿宋" w:hAnsi="仿宋" w:eastAsia="仿宋" w:cs="仿宋"/>
          <w:color w:val="auto"/>
          <w:spacing w:val="1"/>
          <w:sz w:val="24"/>
          <w:highlight w:val="none"/>
        </w:rPr>
      </w:pPr>
      <w:r>
        <w:rPr>
          <w:rFonts w:hint="eastAsia" w:ascii="仿宋" w:hAnsi="仿宋" w:eastAsia="仿宋" w:cs="仿宋"/>
          <w:color w:val="auto"/>
          <w:spacing w:val="1"/>
          <w:sz w:val="24"/>
          <w:highlight w:val="none"/>
        </w:rPr>
        <w:t>委托方（甲方） ：</w:t>
      </w:r>
      <w:r>
        <w:rPr>
          <w:rFonts w:hint="eastAsia" w:ascii="仿宋" w:hAnsi="仿宋" w:eastAsia="仿宋" w:cs="仿宋"/>
          <w:color w:val="auto"/>
          <w:spacing w:val="1"/>
          <w:sz w:val="24"/>
          <w:highlight w:val="none"/>
          <w:u w:val="single"/>
        </w:rPr>
        <w:t xml:space="preserve">                             </w:t>
      </w:r>
      <w:r>
        <w:rPr>
          <w:rFonts w:hint="eastAsia" w:ascii="仿宋" w:hAnsi="仿宋" w:eastAsia="仿宋" w:cs="仿宋"/>
          <w:color w:val="auto"/>
          <w:spacing w:val="1"/>
          <w:sz w:val="24"/>
          <w:highlight w:val="none"/>
        </w:rPr>
        <w:t xml:space="preserve">                     </w:t>
      </w:r>
    </w:p>
    <w:p w14:paraId="4FE1368A">
      <w:pPr>
        <w:pStyle w:val="3"/>
        <w:spacing w:line="360" w:lineRule="auto"/>
        <w:ind w:firstLine="486" w:firstLineChars="200"/>
        <w:rPr>
          <w:rFonts w:ascii="仿宋" w:hAnsi="仿宋" w:eastAsia="仿宋" w:cs="仿宋"/>
          <w:color w:val="auto"/>
          <w:spacing w:val="1"/>
          <w:sz w:val="24"/>
          <w:highlight w:val="none"/>
        </w:rPr>
      </w:pPr>
    </w:p>
    <w:p w14:paraId="33BDF324">
      <w:pPr>
        <w:pStyle w:val="3"/>
        <w:spacing w:line="360" w:lineRule="auto"/>
        <w:ind w:firstLine="486" w:firstLineChars="200"/>
        <w:rPr>
          <w:rFonts w:ascii="仿宋" w:hAnsi="仿宋" w:eastAsia="仿宋" w:cs="仿宋"/>
          <w:color w:val="auto"/>
          <w:spacing w:val="1"/>
          <w:sz w:val="24"/>
          <w:highlight w:val="none"/>
        </w:rPr>
      </w:pPr>
      <w:r>
        <w:rPr>
          <w:rFonts w:hint="eastAsia" w:ascii="仿宋" w:hAnsi="仿宋" w:eastAsia="仿宋" w:cs="仿宋"/>
          <w:color w:val="auto"/>
          <w:spacing w:val="1"/>
          <w:sz w:val="24"/>
          <w:highlight w:val="none"/>
        </w:rPr>
        <w:t>受托方（乙方） ：</w:t>
      </w:r>
      <w:r>
        <w:rPr>
          <w:rFonts w:hint="eastAsia" w:ascii="仿宋" w:hAnsi="仿宋" w:eastAsia="仿宋" w:cs="仿宋"/>
          <w:color w:val="auto"/>
          <w:spacing w:val="1"/>
          <w:sz w:val="24"/>
          <w:highlight w:val="none"/>
          <w:u w:val="single"/>
        </w:rPr>
        <w:t xml:space="preserve">                             </w:t>
      </w:r>
      <w:r>
        <w:rPr>
          <w:rFonts w:hint="eastAsia" w:ascii="仿宋" w:hAnsi="仿宋" w:eastAsia="仿宋" w:cs="仿宋"/>
          <w:color w:val="auto"/>
          <w:spacing w:val="1"/>
          <w:sz w:val="24"/>
          <w:highlight w:val="none"/>
        </w:rPr>
        <w:t xml:space="preserve">    </w:t>
      </w:r>
    </w:p>
    <w:p w14:paraId="07CB3FCF">
      <w:pPr>
        <w:spacing w:line="360" w:lineRule="auto"/>
        <w:ind w:firstLine="484" w:firstLineChars="200"/>
        <w:rPr>
          <w:rFonts w:ascii="仿宋" w:hAnsi="仿宋" w:eastAsia="仿宋" w:cs="仿宋"/>
          <w:color w:val="auto"/>
          <w:spacing w:val="1"/>
          <w:sz w:val="24"/>
          <w:highlight w:val="none"/>
        </w:rPr>
      </w:pPr>
    </w:p>
    <w:p w14:paraId="14D0DBD1">
      <w:pPr>
        <w:pStyle w:val="3"/>
        <w:spacing w:line="360" w:lineRule="auto"/>
        <w:ind w:firstLine="486" w:firstLineChars="200"/>
        <w:rPr>
          <w:rFonts w:ascii="仿宋" w:hAnsi="仿宋" w:eastAsia="仿宋" w:cs="仿宋"/>
          <w:color w:val="auto"/>
          <w:spacing w:val="1"/>
          <w:sz w:val="24"/>
          <w:highlight w:val="none"/>
          <w:u w:val="single"/>
        </w:rPr>
      </w:pPr>
      <w:r>
        <w:rPr>
          <w:rFonts w:hint="eastAsia" w:ascii="仿宋" w:hAnsi="仿宋" w:eastAsia="仿宋" w:cs="仿宋"/>
          <w:color w:val="auto"/>
          <w:spacing w:val="1"/>
          <w:sz w:val="24"/>
          <w:highlight w:val="none"/>
        </w:rPr>
        <w:t>签  订  日  期 ：</w:t>
      </w:r>
      <w:r>
        <w:rPr>
          <w:rFonts w:hint="eastAsia" w:ascii="仿宋" w:hAnsi="仿宋" w:eastAsia="仿宋" w:cs="仿宋"/>
          <w:color w:val="auto"/>
          <w:spacing w:val="1"/>
          <w:sz w:val="24"/>
          <w:highlight w:val="none"/>
          <w:u w:val="single"/>
        </w:rPr>
        <w:t xml:space="preserve">                             </w:t>
      </w:r>
    </w:p>
    <w:p w14:paraId="12C6882F">
      <w:pPr>
        <w:spacing w:line="360" w:lineRule="auto"/>
        <w:ind w:firstLine="484" w:firstLineChars="200"/>
        <w:rPr>
          <w:rFonts w:ascii="仿宋" w:hAnsi="仿宋" w:eastAsia="仿宋" w:cs="仿宋"/>
          <w:color w:val="auto"/>
          <w:spacing w:val="1"/>
          <w:sz w:val="24"/>
          <w:highlight w:val="none"/>
        </w:rPr>
      </w:pPr>
    </w:p>
    <w:p w14:paraId="23647C4D">
      <w:pPr>
        <w:pStyle w:val="3"/>
        <w:spacing w:line="360" w:lineRule="auto"/>
        <w:ind w:firstLine="486" w:firstLineChars="200"/>
        <w:rPr>
          <w:rFonts w:ascii="仿宋" w:hAnsi="仿宋" w:eastAsia="仿宋" w:cs="仿宋"/>
          <w:color w:val="auto"/>
          <w:spacing w:val="1"/>
          <w:sz w:val="24"/>
          <w:highlight w:val="none"/>
          <w:u w:val="single"/>
        </w:rPr>
      </w:pPr>
      <w:r>
        <w:rPr>
          <w:rFonts w:hint="eastAsia" w:ascii="仿宋" w:hAnsi="仿宋" w:eastAsia="仿宋" w:cs="仿宋"/>
          <w:color w:val="auto"/>
          <w:spacing w:val="1"/>
          <w:sz w:val="24"/>
          <w:highlight w:val="none"/>
        </w:rPr>
        <w:t>签  订  地  点 ：</w:t>
      </w:r>
      <w:r>
        <w:rPr>
          <w:rFonts w:hint="eastAsia" w:ascii="仿宋" w:hAnsi="仿宋" w:eastAsia="仿宋" w:cs="仿宋"/>
          <w:color w:val="auto"/>
          <w:spacing w:val="1"/>
          <w:sz w:val="24"/>
          <w:highlight w:val="none"/>
          <w:u w:val="single"/>
        </w:rPr>
        <w:t xml:space="preserve">                             </w:t>
      </w:r>
    </w:p>
    <w:p w14:paraId="3DA67706">
      <w:pPr>
        <w:spacing w:line="360" w:lineRule="auto"/>
        <w:ind w:firstLine="482" w:firstLineChars="200"/>
        <w:rPr>
          <w:rFonts w:ascii="仿宋" w:hAnsi="仿宋" w:eastAsia="仿宋" w:cs="仿宋"/>
          <w:b/>
          <w:bCs/>
          <w:color w:val="auto"/>
          <w:sz w:val="24"/>
          <w:highlight w:val="none"/>
        </w:rPr>
        <w:sectPr>
          <w:footerReference r:id="rId5" w:type="first"/>
          <w:footerReference r:id="rId3" w:type="default"/>
          <w:footerReference r:id="rId4" w:type="even"/>
          <w:pgSz w:w="12070" w:h="16950"/>
          <w:pgMar w:top="1440" w:right="1544" w:bottom="1112" w:left="1810" w:header="0" w:footer="898" w:gutter="0"/>
          <w:pgNumType w:start="1"/>
          <w:cols w:space="720" w:num="1"/>
          <w:formProt w:val="0"/>
          <w:docGrid w:linePitch="312" w:charSpace="0"/>
        </w:sectPr>
      </w:pPr>
    </w:p>
    <w:bookmarkEnd w:id="0"/>
    <w:p w14:paraId="46C721EC">
      <w:pPr>
        <w:tabs>
          <w:tab w:val="left" w:pos="735"/>
        </w:tabs>
        <w:autoSpaceDE w:val="0"/>
        <w:autoSpaceDN w:val="0"/>
        <w:adjustRightInd w:val="0"/>
        <w:snapToGrid w:val="0"/>
        <w:spacing w:before="312" w:beforeLines="100" w:line="360" w:lineRule="auto"/>
        <w:rPr>
          <w:rFonts w:eastAsia="仿宋_GB2312"/>
          <w:b/>
          <w:bCs/>
          <w:sz w:val="24"/>
          <w:highlight w:val="none"/>
          <w:lang w:val="zh-CN"/>
        </w:rPr>
      </w:pPr>
      <w:r>
        <w:rPr>
          <w:rFonts w:eastAsia="仿宋_GB2312"/>
          <w:b/>
          <w:bCs/>
          <w:sz w:val="24"/>
          <w:highlight w:val="none"/>
          <w:lang w:val="zh-CN"/>
        </w:rPr>
        <w:t>甲方：</w:t>
      </w:r>
      <w:r>
        <w:rPr>
          <w:rFonts w:eastAsia="仿宋_GB2312"/>
          <w:bCs/>
          <w:sz w:val="24"/>
          <w:highlight w:val="none"/>
          <w:lang w:val="zh-CN"/>
        </w:rPr>
        <w:t>（前款所称采购人）     住所：</w:t>
      </w:r>
    </w:p>
    <w:p w14:paraId="11191E44">
      <w:pPr>
        <w:tabs>
          <w:tab w:val="left" w:pos="735"/>
        </w:tabs>
        <w:autoSpaceDE w:val="0"/>
        <w:autoSpaceDN w:val="0"/>
        <w:adjustRightInd w:val="0"/>
        <w:snapToGrid w:val="0"/>
        <w:spacing w:line="360" w:lineRule="auto"/>
        <w:rPr>
          <w:rFonts w:eastAsia="仿宋_GB2312"/>
          <w:bCs/>
          <w:sz w:val="24"/>
          <w:highlight w:val="none"/>
          <w:lang w:val="zh-CN"/>
        </w:rPr>
      </w:pPr>
      <w:r>
        <w:rPr>
          <w:rFonts w:eastAsia="仿宋_GB2312"/>
          <w:b/>
          <w:bCs/>
          <w:sz w:val="24"/>
          <w:highlight w:val="none"/>
          <w:lang w:val="zh-CN"/>
        </w:rPr>
        <w:t>乙方：</w:t>
      </w:r>
      <w:r>
        <w:rPr>
          <w:rFonts w:eastAsia="仿宋_GB2312"/>
          <w:bCs/>
          <w:sz w:val="24"/>
          <w:highlight w:val="none"/>
          <w:lang w:val="zh-CN"/>
        </w:rPr>
        <w:t>（前款所称</w:t>
      </w:r>
      <w:r>
        <w:rPr>
          <w:rFonts w:hint="eastAsia" w:eastAsia="仿宋_GB2312"/>
          <w:bCs/>
          <w:sz w:val="24"/>
          <w:highlight w:val="none"/>
          <w:lang w:val="zh-CN"/>
        </w:rPr>
        <w:t>成交</w:t>
      </w:r>
      <w:r>
        <w:rPr>
          <w:rFonts w:eastAsia="仿宋_GB2312"/>
          <w:bCs/>
          <w:sz w:val="24"/>
          <w:highlight w:val="none"/>
          <w:lang w:val="zh-CN"/>
        </w:rPr>
        <w:t>人）     住所：</w:t>
      </w:r>
    </w:p>
    <w:p w14:paraId="5FE617B2">
      <w:pPr>
        <w:pStyle w:val="3"/>
        <w:tabs>
          <w:tab w:val="left" w:pos="567"/>
        </w:tabs>
        <w:rPr>
          <w:highlight w:val="none"/>
          <w:lang w:val="zh-CN"/>
        </w:rPr>
      </w:pPr>
    </w:p>
    <w:p w14:paraId="47E55E58">
      <w:pPr>
        <w:adjustRightInd w:val="0"/>
        <w:snapToGrid w:val="0"/>
        <w:spacing w:line="360" w:lineRule="auto"/>
        <w:ind w:firstLine="482" w:firstLineChars="200"/>
        <w:rPr>
          <w:rFonts w:hint="default" w:eastAsia="仿宋_GB2312"/>
          <w:sz w:val="24"/>
          <w:highlight w:val="none"/>
          <w:lang w:val="en-US" w:eastAsia="zh-CN"/>
        </w:rPr>
      </w:pPr>
      <w:r>
        <w:rPr>
          <w:rFonts w:eastAsia="仿宋_GB2312"/>
          <w:b/>
          <w:bCs/>
          <w:sz w:val="24"/>
          <w:highlight w:val="none"/>
        </w:rPr>
        <w:t>一、合同内容</w:t>
      </w:r>
      <w:r>
        <w:rPr>
          <w:rFonts w:eastAsia="仿宋_GB2312"/>
          <w:sz w:val="24"/>
          <w:highlight w:val="none"/>
        </w:rPr>
        <w:t>（标的、数量、质量等）:</w:t>
      </w:r>
      <w:r>
        <w:rPr>
          <w:rFonts w:hint="eastAsia" w:eastAsia="仿宋_GB2312"/>
          <w:sz w:val="24"/>
          <w:highlight w:val="none"/>
          <w:lang w:val="en-US" w:eastAsia="zh-CN"/>
        </w:rPr>
        <w:t>详见谈判文件第三章技术及商务要求。</w:t>
      </w:r>
    </w:p>
    <w:p w14:paraId="4B55BCCE">
      <w:pPr>
        <w:adjustRightInd w:val="0"/>
        <w:snapToGrid w:val="0"/>
        <w:spacing w:line="360" w:lineRule="auto"/>
        <w:ind w:firstLine="482" w:firstLineChars="200"/>
        <w:rPr>
          <w:rFonts w:eastAsia="仿宋_GB2312"/>
          <w:b/>
          <w:bCs/>
          <w:sz w:val="24"/>
          <w:highlight w:val="none"/>
        </w:rPr>
      </w:pPr>
      <w:bookmarkStart w:id="1" w:name="_Toc19515385"/>
      <w:r>
        <w:rPr>
          <w:rFonts w:eastAsia="仿宋_GB2312"/>
          <w:b/>
          <w:bCs/>
          <w:sz w:val="24"/>
          <w:highlight w:val="none"/>
        </w:rPr>
        <w:t>二、合同价款</w:t>
      </w:r>
      <w:bookmarkEnd w:id="1"/>
    </w:p>
    <w:p w14:paraId="078601FA">
      <w:pPr>
        <w:adjustRightInd w:val="0"/>
        <w:snapToGrid w:val="0"/>
        <w:spacing w:line="360" w:lineRule="auto"/>
        <w:ind w:firstLine="480" w:firstLineChars="200"/>
        <w:rPr>
          <w:rFonts w:eastAsia="仿宋_GB2312"/>
          <w:sz w:val="24"/>
          <w:highlight w:val="none"/>
        </w:rPr>
      </w:pPr>
      <w:r>
        <w:rPr>
          <w:rFonts w:eastAsia="仿宋_GB2312"/>
          <w:sz w:val="24"/>
          <w:highlight w:val="none"/>
        </w:rPr>
        <w:t>1、合同总价：</w:t>
      </w:r>
    </w:p>
    <w:p w14:paraId="0C93173D">
      <w:pPr>
        <w:adjustRightInd w:val="0"/>
        <w:snapToGrid w:val="0"/>
        <w:spacing w:line="360" w:lineRule="auto"/>
        <w:ind w:firstLine="480" w:firstLineChars="200"/>
        <w:rPr>
          <w:rFonts w:eastAsia="仿宋_GB2312"/>
          <w:sz w:val="24"/>
          <w:highlight w:val="none"/>
        </w:rPr>
      </w:pPr>
      <w:r>
        <w:rPr>
          <w:rFonts w:eastAsia="仿宋_GB2312"/>
          <w:sz w:val="24"/>
          <w:highlight w:val="none"/>
        </w:rPr>
        <w:t>2、合同总价包括：</w:t>
      </w:r>
      <w:r>
        <w:rPr>
          <w:rFonts w:hint="eastAsia" w:eastAsia="仿宋_GB2312"/>
          <w:sz w:val="24"/>
          <w:highlight w:val="none"/>
        </w:rPr>
        <w:t>设备出厂价、备品备件、售后、培训等配套服务、配套软件及运维升级、运费、卸车费、保险费、包装费、服务费、税金（含增值税）、安装费、调试费、试车费、检测费、产品运抵用户现场后的保管费、验收费、并包括由于原材料工本或其它条件的价格浮动而导致的全部额外费用等采购过程中发生的一切费用</w:t>
      </w:r>
    </w:p>
    <w:p w14:paraId="314F6452">
      <w:pPr>
        <w:adjustRightInd w:val="0"/>
        <w:snapToGrid w:val="0"/>
        <w:spacing w:line="360" w:lineRule="auto"/>
        <w:ind w:firstLine="480" w:firstLineChars="200"/>
        <w:rPr>
          <w:rFonts w:eastAsia="仿宋_GB2312"/>
          <w:sz w:val="24"/>
          <w:highlight w:val="none"/>
        </w:rPr>
      </w:pPr>
      <w:r>
        <w:rPr>
          <w:rFonts w:eastAsia="仿宋_GB2312"/>
          <w:sz w:val="24"/>
          <w:highlight w:val="none"/>
        </w:rPr>
        <w:t>3、合同为固定总价合同，不受市场价变化的影响。</w:t>
      </w:r>
    </w:p>
    <w:p w14:paraId="4CDF9632">
      <w:pPr>
        <w:adjustRightInd w:val="0"/>
        <w:snapToGrid w:val="0"/>
        <w:spacing w:line="360" w:lineRule="auto"/>
        <w:ind w:firstLine="482" w:firstLineChars="200"/>
        <w:rPr>
          <w:rFonts w:eastAsia="仿宋_GB2312"/>
          <w:b/>
          <w:bCs/>
          <w:sz w:val="24"/>
          <w:highlight w:val="none"/>
        </w:rPr>
      </w:pPr>
      <w:bookmarkStart w:id="2" w:name="_Toc19515386"/>
      <w:r>
        <w:rPr>
          <w:rFonts w:eastAsia="仿宋_GB2312"/>
          <w:b/>
          <w:bCs/>
          <w:sz w:val="24"/>
          <w:highlight w:val="none"/>
        </w:rPr>
        <w:t>三、合同结算</w:t>
      </w:r>
      <w:bookmarkEnd w:id="2"/>
    </w:p>
    <w:p w14:paraId="6D14C7E2">
      <w:pPr>
        <w:adjustRightInd w:val="0"/>
        <w:snapToGrid w:val="0"/>
        <w:spacing w:line="360" w:lineRule="auto"/>
        <w:ind w:firstLine="480" w:firstLineChars="200"/>
        <w:rPr>
          <w:rFonts w:eastAsia="仿宋_GB2312"/>
          <w:sz w:val="24"/>
          <w:highlight w:val="none"/>
        </w:rPr>
      </w:pPr>
      <w:r>
        <w:rPr>
          <w:rFonts w:eastAsia="仿宋_GB2312"/>
          <w:sz w:val="24"/>
          <w:highlight w:val="none"/>
        </w:rPr>
        <w:t>1、付款比例：</w:t>
      </w:r>
    </w:p>
    <w:p w14:paraId="20907C95">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 xml:space="preserve">安装调试完成且验收合格后无任何质量问题，投标人须向采购人出具合法有效的完税发票，采购人进行支付结算。验收合格后，并开具全额发票 ，达到付款条件起 </w:t>
      </w:r>
      <w:r>
        <w:rPr>
          <w:rFonts w:hint="eastAsia" w:eastAsia="仿宋_GB2312"/>
          <w:sz w:val="24"/>
          <w:highlight w:val="none"/>
          <w:lang w:val="en-US" w:eastAsia="zh-CN"/>
        </w:rPr>
        <w:t>60</w:t>
      </w:r>
      <w:r>
        <w:rPr>
          <w:rFonts w:hint="eastAsia" w:eastAsia="仿宋_GB2312"/>
          <w:sz w:val="24"/>
          <w:highlight w:val="none"/>
        </w:rPr>
        <w:t>日内，支付合同总金额的100.00%。</w:t>
      </w:r>
    </w:p>
    <w:p w14:paraId="3641FDA8">
      <w:pPr>
        <w:adjustRightInd w:val="0"/>
        <w:snapToGrid w:val="0"/>
        <w:spacing w:line="360" w:lineRule="auto"/>
        <w:ind w:firstLine="480" w:firstLineChars="200"/>
        <w:rPr>
          <w:rFonts w:eastAsia="仿宋_GB2312"/>
          <w:sz w:val="24"/>
          <w:highlight w:val="none"/>
        </w:rPr>
      </w:pPr>
      <w:r>
        <w:rPr>
          <w:rFonts w:eastAsia="仿宋_GB2312"/>
          <w:sz w:val="24"/>
          <w:highlight w:val="none"/>
        </w:rPr>
        <w:t>2、结算方式：银行转账。</w:t>
      </w:r>
    </w:p>
    <w:p w14:paraId="388D1445">
      <w:pPr>
        <w:adjustRightInd w:val="0"/>
        <w:snapToGrid w:val="0"/>
        <w:spacing w:line="360" w:lineRule="auto"/>
        <w:ind w:firstLine="480" w:firstLineChars="200"/>
        <w:rPr>
          <w:rFonts w:eastAsia="仿宋_GB2312"/>
          <w:sz w:val="24"/>
          <w:highlight w:val="none"/>
        </w:rPr>
      </w:pPr>
      <w:r>
        <w:rPr>
          <w:rFonts w:eastAsia="仿宋_GB2312"/>
          <w:sz w:val="24"/>
          <w:highlight w:val="none"/>
        </w:rPr>
        <w:t>3、结算单位：由</w:t>
      </w:r>
      <w:r>
        <w:rPr>
          <w:rFonts w:eastAsia="仿宋_GB2312"/>
          <w:sz w:val="24"/>
          <w:highlight w:val="none"/>
          <w:u w:val="single"/>
        </w:rPr>
        <w:t xml:space="preserve"> </w:t>
      </w:r>
      <w:r>
        <w:rPr>
          <w:rFonts w:hint="eastAsia" w:eastAsia="仿宋_GB2312"/>
          <w:sz w:val="24"/>
          <w:highlight w:val="none"/>
          <w:u w:val="single"/>
        </w:rPr>
        <w:t>甲方</w:t>
      </w:r>
      <w:r>
        <w:rPr>
          <w:rFonts w:eastAsia="仿宋_GB2312"/>
          <w:sz w:val="24"/>
          <w:highlight w:val="none"/>
          <w:u w:val="single"/>
        </w:rPr>
        <w:t xml:space="preserve"> </w:t>
      </w:r>
      <w:r>
        <w:rPr>
          <w:rFonts w:eastAsia="仿宋_GB2312"/>
          <w:sz w:val="24"/>
          <w:highlight w:val="none"/>
        </w:rPr>
        <w:t>负责结算，乙方开具合同总价数的全额发票交采购人。</w:t>
      </w:r>
    </w:p>
    <w:p w14:paraId="0E8EE45A">
      <w:pPr>
        <w:adjustRightInd w:val="0"/>
        <w:snapToGrid w:val="0"/>
        <w:spacing w:line="360" w:lineRule="auto"/>
        <w:ind w:firstLine="482" w:firstLineChars="200"/>
        <w:rPr>
          <w:rFonts w:eastAsia="仿宋_GB2312"/>
          <w:b/>
          <w:bCs/>
          <w:sz w:val="24"/>
          <w:highlight w:val="none"/>
        </w:rPr>
      </w:pPr>
      <w:bookmarkStart w:id="3" w:name="_Toc19515387"/>
      <w:r>
        <w:rPr>
          <w:rFonts w:eastAsia="仿宋_GB2312"/>
          <w:b/>
          <w:bCs/>
          <w:sz w:val="24"/>
          <w:highlight w:val="none"/>
        </w:rPr>
        <w:t>四、履行期限、地点及方式:</w:t>
      </w:r>
      <w:bookmarkEnd w:id="3"/>
    </w:p>
    <w:p w14:paraId="60519DC6">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1.供 货 期：签订合同后30日历日内</w:t>
      </w:r>
      <w:r>
        <w:rPr>
          <w:rFonts w:hint="eastAsia" w:eastAsia="仿宋_GB2312"/>
          <w:sz w:val="24"/>
          <w:highlight w:val="none"/>
          <w:lang w:val="en-US" w:eastAsia="zh-CN"/>
        </w:rPr>
        <w:t>供货、</w:t>
      </w:r>
      <w:r>
        <w:rPr>
          <w:rFonts w:hint="eastAsia" w:eastAsia="仿宋_GB2312"/>
          <w:sz w:val="24"/>
          <w:highlight w:val="none"/>
        </w:rPr>
        <w:t>安装</w:t>
      </w:r>
      <w:r>
        <w:rPr>
          <w:rFonts w:hint="eastAsia" w:eastAsia="仿宋_GB2312"/>
          <w:sz w:val="24"/>
          <w:highlight w:val="none"/>
          <w:lang w:eastAsia="zh-CN"/>
        </w:rPr>
        <w:t>、</w:t>
      </w:r>
      <w:r>
        <w:rPr>
          <w:rFonts w:hint="eastAsia" w:eastAsia="仿宋_GB2312"/>
          <w:sz w:val="24"/>
          <w:highlight w:val="none"/>
        </w:rPr>
        <w:t>调试完成</w:t>
      </w:r>
    </w:p>
    <w:p w14:paraId="2A3637AF">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2.交货地点：西安职业技术学院指定地点</w:t>
      </w:r>
    </w:p>
    <w:p w14:paraId="06EF6022">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3.质量标准：符合国家相关验收规范“合格”标准。</w:t>
      </w:r>
    </w:p>
    <w:p w14:paraId="5902066E">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4.质 保 期：验收合格后</w:t>
      </w:r>
      <w:r>
        <w:rPr>
          <w:rFonts w:hint="eastAsia" w:eastAsia="仿宋_GB2312"/>
          <w:sz w:val="24"/>
          <w:highlight w:val="none"/>
          <w:lang w:val="en-US" w:eastAsia="zh-CN"/>
        </w:rPr>
        <w:t>5</w:t>
      </w:r>
      <w:r>
        <w:rPr>
          <w:rFonts w:hint="eastAsia" w:eastAsia="仿宋_GB2312"/>
          <w:sz w:val="24"/>
          <w:highlight w:val="none"/>
        </w:rPr>
        <w:t>年</w:t>
      </w:r>
      <w:r>
        <w:rPr>
          <w:rFonts w:hint="eastAsia" w:eastAsia="仿宋_GB2312"/>
          <w:color w:val="auto"/>
          <w:sz w:val="24"/>
          <w:highlight w:val="none"/>
        </w:rPr>
        <w:t>。</w:t>
      </w:r>
    </w:p>
    <w:p w14:paraId="33BD7DFE">
      <w:pPr>
        <w:adjustRightInd w:val="0"/>
        <w:snapToGrid w:val="0"/>
        <w:spacing w:line="360" w:lineRule="auto"/>
        <w:ind w:firstLine="482" w:firstLineChars="200"/>
        <w:rPr>
          <w:rFonts w:hint="eastAsia" w:eastAsia="仿宋_GB2312"/>
          <w:b/>
          <w:bCs/>
          <w:sz w:val="24"/>
          <w:highlight w:val="none"/>
        </w:rPr>
      </w:pPr>
      <w:r>
        <w:rPr>
          <w:rFonts w:hint="eastAsia" w:eastAsia="仿宋_GB2312"/>
          <w:b/>
          <w:bCs/>
          <w:sz w:val="24"/>
          <w:highlight w:val="none"/>
        </w:rPr>
        <w:t>五、运输</w:t>
      </w:r>
    </w:p>
    <w:p w14:paraId="1383BA6C">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1、乙方负责所有货物的运输。确保货物安全、完整到达使用地点，运杂费用包含在总价内，包括货物从供货地点到使用地点的运输费、保险费、搬运费等。</w:t>
      </w:r>
    </w:p>
    <w:p w14:paraId="17FFC71B">
      <w:pPr>
        <w:numPr>
          <w:ilvl w:val="0"/>
          <w:numId w:val="2"/>
        </w:num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所有货物在运输、搬运、安装的过程中，造成甲方损失的，由乙方为甲方修复或更新。</w:t>
      </w:r>
    </w:p>
    <w:p w14:paraId="6BD3B3C7">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lang w:val="en-US" w:eastAsia="zh-CN"/>
        </w:rPr>
        <w:t>3</w:t>
      </w:r>
      <w:r>
        <w:rPr>
          <w:rFonts w:hint="eastAsia" w:eastAsia="仿宋_GB2312"/>
          <w:sz w:val="24"/>
          <w:highlight w:val="none"/>
        </w:rPr>
        <w:t>、包装：应采取防潮、防晒、防腐蚀、防震动及防止其它损坏的必要措施。</w:t>
      </w:r>
      <w:r>
        <w:rPr>
          <w:rFonts w:hint="eastAsia" w:eastAsia="仿宋_GB2312"/>
          <w:sz w:val="24"/>
          <w:highlight w:val="none"/>
          <w:lang w:eastAsia="zh-CN"/>
        </w:rPr>
        <w:t>成交</w:t>
      </w:r>
      <w:r>
        <w:rPr>
          <w:rFonts w:hint="eastAsia" w:eastAsia="仿宋_GB2312"/>
          <w:sz w:val="24"/>
          <w:highlight w:val="none"/>
        </w:rPr>
        <w:t>投标人应承担由于其包装或防护措施不妥而引起的货物锈蚀、损坏和丢失等任何损失造成的责任或费用；</w:t>
      </w:r>
    </w:p>
    <w:p w14:paraId="6FFAA8F3">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lang w:val="en-US" w:eastAsia="zh-CN"/>
        </w:rPr>
        <w:t>4</w:t>
      </w:r>
      <w:r>
        <w:rPr>
          <w:rFonts w:hint="eastAsia" w:eastAsia="仿宋_GB2312"/>
          <w:sz w:val="24"/>
          <w:highlight w:val="none"/>
        </w:rPr>
        <w:t>、运输：选择运输风险小、运费低、距离短的运输路线。运杂费一次包死在投标报价内，包括生产厂到交货地所需的装卸、运输（含保险费）、现场保管费、二次倒运费、吊装费等费用。</w:t>
      </w:r>
    </w:p>
    <w:p w14:paraId="0F7486DF">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lang w:val="en-US" w:eastAsia="zh-CN"/>
        </w:rPr>
        <w:t>5</w:t>
      </w:r>
      <w:r>
        <w:rPr>
          <w:rFonts w:hint="eastAsia" w:eastAsia="仿宋_GB2312"/>
          <w:sz w:val="24"/>
          <w:highlight w:val="none"/>
        </w:rPr>
        <w:t>、安装、调试：供应商负责所有货物的安装、调试工作，所有费用一次包死在投标报价内。</w:t>
      </w:r>
    </w:p>
    <w:p w14:paraId="6A09AEA1">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lang w:val="en-US" w:eastAsia="zh-CN"/>
        </w:rPr>
        <w:t>6</w:t>
      </w:r>
      <w:r>
        <w:rPr>
          <w:rFonts w:hint="eastAsia" w:eastAsia="仿宋_GB2312"/>
          <w:sz w:val="24"/>
          <w:highlight w:val="none"/>
        </w:rPr>
        <w:t>、培训：当产品验收合格后，</w:t>
      </w:r>
      <w:r>
        <w:rPr>
          <w:rFonts w:hint="eastAsia" w:eastAsia="仿宋_GB2312"/>
          <w:sz w:val="24"/>
          <w:highlight w:val="none"/>
          <w:lang w:eastAsia="zh-CN"/>
        </w:rPr>
        <w:t>成交</w:t>
      </w:r>
      <w:r>
        <w:rPr>
          <w:rFonts w:hint="eastAsia" w:eastAsia="仿宋_GB2312"/>
          <w:sz w:val="24"/>
          <w:highlight w:val="none"/>
        </w:rPr>
        <w:t>投标人应对维护人员进行培训（包括设备基本结构、性能、主要部件的构造及处理，日常使用操作、保养与管理、常见故障的排除、紧急情况的处理等），并制作培训教材以便使用，培训所发生的一切费用由</w:t>
      </w:r>
      <w:r>
        <w:rPr>
          <w:rFonts w:hint="eastAsia" w:eastAsia="仿宋_GB2312"/>
          <w:sz w:val="24"/>
          <w:highlight w:val="none"/>
          <w:lang w:eastAsia="zh-CN"/>
        </w:rPr>
        <w:t>成交</w:t>
      </w:r>
      <w:r>
        <w:rPr>
          <w:rFonts w:hint="eastAsia" w:eastAsia="仿宋_GB2312"/>
          <w:sz w:val="24"/>
          <w:highlight w:val="none"/>
        </w:rPr>
        <w:t>单位提供。</w:t>
      </w:r>
    </w:p>
    <w:p w14:paraId="7252A9AD">
      <w:pPr>
        <w:adjustRightInd w:val="0"/>
        <w:snapToGrid w:val="0"/>
        <w:spacing w:line="360" w:lineRule="auto"/>
        <w:ind w:firstLine="480" w:firstLineChars="200"/>
        <w:rPr>
          <w:rFonts w:hint="eastAsia" w:eastAsia="仿宋_GB2312"/>
          <w:sz w:val="24"/>
          <w:highlight w:val="none"/>
          <w:lang w:val="en-US" w:eastAsia="zh-CN"/>
        </w:rPr>
      </w:pPr>
      <w:r>
        <w:rPr>
          <w:rFonts w:hint="eastAsia" w:eastAsia="仿宋_GB2312"/>
          <w:sz w:val="24"/>
          <w:highlight w:val="none"/>
          <w:lang w:val="en-US" w:eastAsia="zh-CN"/>
        </w:rPr>
        <w:t>7</w:t>
      </w:r>
      <w:r>
        <w:rPr>
          <w:rFonts w:hint="eastAsia" w:eastAsia="仿宋_GB2312"/>
          <w:sz w:val="24"/>
          <w:highlight w:val="none"/>
        </w:rPr>
        <w:t>、项目完成后，供应商应将项目有关的全部资料，包括产品资料、技术文档、安装部署手册、运行维护手册等移交采购方。</w:t>
      </w:r>
    </w:p>
    <w:p w14:paraId="71165E40">
      <w:pPr>
        <w:adjustRightInd w:val="0"/>
        <w:snapToGrid w:val="0"/>
        <w:spacing w:line="360" w:lineRule="auto"/>
        <w:ind w:firstLine="482" w:firstLineChars="200"/>
        <w:rPr>
          <w:rFonts w:eastAsia="仿宋_GB2312"/>
          <w:b/>
          <w:bCs/>
          <w:sz w:val="24"/>
          <w:highlight w:val="none"/>
        </w:rPr>
      </w:pPr>
      <w:bookmarkStart w:id="4" w:name="_Toc19515391"/>
      <w:r>
        <w:rPr>
          <w:rFonts w:eastAsia="仿宋_GB2312"/>
          <w:b/>
          <w:bCs/>
          <w:sz w:val="24"/>
          <w:highlight w:val="none"/>
        </w:rPr>
        <w:t xml:space="preserve">六、质量保证 </w:t>
      </w:r>
    </w:p>
    <w:p w14:paraId="78D2ACA0">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1</w:t>
      </w:r>
      <w:r>
        <w:rPr>
          <w:rFonts w:hint="eastAsia" w:eastAsia="仿宋_GB2312"/>
          <w:sz w:val="24"/>
          <w:highlight w:val="none"/>
          <w:lang w:eastAsia="zh-CN"/>
        </w:rPr>
        <w:t>、</w:t>
      </w:r>
      <w:r>
        <w:rPr>
          <w:rFonts w:hint="eastAsia" w:eastAsia="仿宋_GB2312"/>
          <w:sz w:val="24"/>
          <w:highlight w:val="none"/>
        </w:rPr>
        <w:t>产品应是原装正品，符合国家质量检测标准。</w:t>
      </w:r>
    </w:p>
    <w:p w14:paraId="17B00BEE">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2</w:t>
      </w:r>
      <w:r>
        <w:rPr>
          <w:rFonts w:hint="eastAsia" w:eastAsia="仿宋_GB2312"/>
          <w:sz w:val="24"/>
          <w:highlight w:val="none"/>
          <w:lang w:eastAsia="zh-CN"/>
        </w:rPr>
        <w:t>、</w:t>
      </w:r>
      <w:r>
        <w:rPr>
          <w:rFonts w:hint="eastAsia" w:eastAsia="仿宋_GB2312"/>
          <w:sz w:val="24"/>
          <w:highlight w:val="none"/>
        </w:rPr>
        <w:t>供应商须提供全新的、未使用过的合格正品货物（含说明等），完全符合合同规定的质量、规格和性能的要求。</w:t>
      </w:r>
    </w:p>
    <w:p w14:paraId="13980E24">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3</w:t>
      </w:r>
      <w:r>
        <w:rPr>
          <w:rFonts w:hint="eastAsia" w:eastAsia="仿宋_GB2312"/>
          <w:sz w:val="24"/>
          <w:highlight w:val="none"/>
          <w:lang w:eastAsia="zh-CN"/>
        </w:rPr>
        <w:t>、</w:t>
      </w:r>
      <w:r>
        <w:rPr>
          <w:rFonts w:hint="eastAsia" w:eastAsia="仿宋_GB2312"/>
          <w:sz w:val="24"/>
          <w:highlight w:val="none"/>
        </w:rPr>
        <w:t>供应商提供的节能和环保产品必须是列入节能、环保标志产品品目清单中的产品。</w:t>
      </w:r>
    </w:p>
    <w:p w14:paraId="5990592B">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4</w:t>
      </w:r>
      <w:r>
        <w:rPr>
          <w:rFonts w:hint="eastAsia" w:eastAsia="仿宋_GB2312"/>
          <w:sz w:val="24"/>
          <w:highlight w:val="none"/>
          <w:lang w:eastAsia="zh-CN"/>
        </w:rPr>
        <w:t>、</w:t>
      </w:r>
      <w:r>
        <w:rPr>
          <w:rFonts w:hint="eastAsia" w:eastAsia="仿宋_GB2312"/>
          <w:sz w:val="24"/>
          <w:highlight w:val="none"/>
        </w:rPr>
        <w:t>质量标准按照最新颁布的国家标准、行业标准或制造商企业标准确定，上述标准不一致的，以严格标准为准。</w:t>
      </w:r>
    </w:p>
    <w:p w14:paraId="46770CC1">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5</w:t>
      </w:r>
      <w:r>
        <w:rPr>
          <w:rFonts w:hint="eastAsia" w:eastAsia="仿宋_GB2312"/>
          <w:sz w:val="24"/>
          <w:highlight w:val="none"/>
          <w:lang w:eastAsia="zh-CN"/>
        </w:rPr>
        <w:t>、</w:t>
      </w:r>
      <w:r>
        <w:rPr>
          <w:rFonts w:hint="eastAsia" w:eastAsia="仿宋_GB2312"/>
          <w:sz w:val="24"/>
          <w:highlight w:val="none"/>
        </w:rPr>
        <w:t>货物制造质量出现问题，供应商应负责三包（包修、包换、包退），费用由供应商负担，采购方有权到供应商生产场地检查货物质量和生产进度。</w:t>
      </w:r>
    </w:p>
    <w:p w14:paraId="711CE930">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rPr>
        <w:t>6</w:t>
      </w:r>
      <w:r>
        <w:rPr>
          <w:rFonts w:hint="eastAsia" w:eastAsia="仿宋_GB2312"/>
          <w:sz w:val="24"/>
          <w:highlight w:val="none"/>
          <w:lang w:eastAsia="zh-CN"/>
        </w:rPr>
        <w:t>、</w:t>
      </w:r>
      <w:r>
        <w:rPr>
          <w:rFonts w:hint="eastAsia" w:eastAsia="仿宋_GB2312"/>
          <w:sz w:val="24"/>
          <w:highlight w:val="none"/>
        </w:rPr>
        <w:t>环保要求：符合国家安全环保标准、国家有关产品质量认证标准。没有国家标准的，采用该产品有关行业标准（取较高标准）。</w:t>
      </w:r>
    </w:p>
    <w:p w14:paraId="77D5C086">
      <w:pPr>
        <w:adjustRightInd w:val="0"/>
        <w:snapToGrid w:val="0"/>
        <w:spacing w:line="360" w:lineRule="auto"/>
        <w:ind w:firstLine="480" w:firstLineChars="200"/>
        <w:rPr>
          <w:rFonts w:hint="eastAsia"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7. 所有产品质量符合国家有关规范和相关政策。所有设备及辅材必须是未使用过的新产品，质量优良、渠道正当，配置合理。</w:t>
      </w:r>
    </w:p>
    <w:p w14:paraId="67356C1D">
      <w:pPr>
        <w:adjustRightInd w:val="0"/>
        <w:snapToGrid w:val="0"/>
        <w:spacing w:line="360" w:lineRule="auto"/>
        <w:ind w:firstLine="480" w:firstLineChars="200"/>
        <w:rPr>
          <w:rFonts w:hint="eastAsia"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8. 质保期出现的质量问题由乙方负责解决并承担所有费用。质保期5年，5年后如需更换零部件，乙方应以优惠价提供。</w:t>
      </w:r>
    </w:p>
    <w:p w14:paraId="4C6D3F9D">
      <w:pPr>
        <w:adjustRightInd w:val="0"/>
        <w:snapToGrid w:val="0"/>
        <w:spacing w:line="360" w:lineRule="auto"/>
        <w:ind w:firstLine="480" w:firstLineChars="200"/>
        <w:rPr>
          <w:rFonts w:hint="default" w:ascii="Times New Roman" w:hAnsi="Times New Roman" w:eastAsia="仿宋_GB2312" w:cs="Times New Roman"/>
          <w:sz w:val="24"/>
          <w:highlight w:val="none"/>
          <w:lang w:val="en-US" w:eastAsia="zh-CN"/>
        </w:rPr>
      </w:pPr>
      <w:r>
        <w:rPr>
          <w:rFonts w:hint="eastAsia" w:ascii="Times New Roman" w:hAnsi="Times New Roman" w:eastAsia="仿宋_GB2312" w:cs="Times New Roman"/>
          <w:sz w:val="24"/>
          <w:highlight w:val="none"/>
          <w:lang w:val="en-US" w:eastAsia="zh-CN"/>
        </w:rPr>
        <w:t>9.知识产权约定：乙方在合同范围内产生的知识产权归甲乙方共同所有，供货的产品及服务不得侵犯其他第三方的</w:t>
      </w:r>
      <w:bookmarkStart w:id="9" w:name="_GoBack"/>
      <w:bookmarkEnd w:id="9"/>
      <w:r>
        <w:rPr>
          <w:rFonts w:hint="eastAsia" w:ascii="Times New Roman" w:hAnsi="Times New Roman" w:eastAsia="仿宋_GB2312" w:cs="Times New Roman"/>
          <w:sz w:val="24"/>
          <w:highlight w:val="none"/>
          <w:lang w:val="en-US" w:eastAsia="zh-CN"/>
        </w:rPr>
        <w:t>知识产权、专利等。</w:t>
      </w:r>
    </w:p>
    <w:p w14:paraId="7FD2A24C">
      <w:pPr>
        <w:adjustRightInd w:val="0"/>
        <w:snapToGrid w:val="0"/>
        <w:spacing w:line="360" w:lineRule="auto"/>
        <w:ind w:firstLine="482" w:firstLineChars="200"/>
        <w:rPr>
          <w:rFonts w:eastAsia="仿宋_GB2312"/>
          <w:b/>
          <w:bCs/>
          <w:sz w:val="24"/>
          <w:highlight w:val="none"/>
        </w:rPr>
      </w:pPr>
      <w:r>
        <w:rPr>
          <w:rFonts w:eastAsia="仿宋_GB2312"/>
          <w:b/>
          <w:bCs/>
          <w:sz w:val="24"/>
          <w:highlight w:val="none"/>
        </w:rPr>
        <w:t>七、</w:t>
      </w:r>
      <w:r>
        <w:rPr>
          <w:rFonts w:hint="eastAsia" w:eastAsia="仿宋_GB2312"/>
          <w:b/>
          <w:bCs/>
          <w:sz w:val="24"/>
          <w:highlight w:val="none"/>
          <w:lang w:val="en-US" w:eastAsia="zh-CN"/>
        </w:rPr>
        <w:t>售后及</w:t>
      </w:r>
      <w:r>
        <w:rPr>
          <w:rFonts w:eastAsia="仿宋_GB2312"/>
          <w:b/>
          <w:bCs/>
          <w:sz w:val="24"/>
          <w:highlight w:val="none"/>
        </w:rPr>
        <w:t xml:space="preserve">技术服务 </w:t>
      </w:r>
    </w:p>
    <w:p w14:paraId="27BE8B85">
      <w:pPr>
        <w:adjustRightInd w:val="0"/>
        <w:snapToGrid w:val="0"/>
        <w:spacing w:line="360" w:lineRule="auto"/>
        <w:ind w:firstLine="480" w:firstLineChars="200"/>
        <w:rPr>
          <w:rFonts w:eastAsia="仿宋_GB2312"/>
          <w:sz w:val="24"/>
          <w:highlight w:val="none"/>
        </w:rPr>
      </w:pPr>
      <w:r>
        <w:rPr>
          <w:rFonts w:eastAsia="仿宋_GB2312"/>
          <w:sz w:val="24"/>
          <w:highlight w:val="none"/>
        </w:rPr>
        <w:t xml:space="preserve">1、培训费用：受训人员的食宿费、资料费、培训场地费、耗材（包括水电费等） 费等已包含在合同总价中，甲方不再另行支付。 </w:t>
      </w:r>
    </w:p>
    <w:p w14:paraId="403EF224">
      <w:pPr>
        <w:adjustRightInd w:val="0"/>
        <w:snapToGrid w:val="0"/>
        <w:spacing w:line="360" w:lineRule="auto"/>
        <w:ind w:firstLine="480" w:firstLineChars="200"/>
        <w:rPr>
          <w:rFonts w:eastAsia="仿宋_GB2312"/>
          <w:sz w:val="24"/>
          <w:highlight w:val="none"/>
        </w:rPr>
      </w:pPr>
      <w:r>
        <w:rPr>
          <w:rFonts w:eastAsia="仿宋_GB2312"/>
          <w:sz w:val="24"/>
          <w:highlight w:val="none"/>
        </w:rPr>
        <w:t xml:space="preserve">2、售后服务 </w:t>
      </w:r>
    </w:p>
    <w:p w14:paraId="7E9DA909">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lang w:val="en-US" w:eastAsia="zh-CN"/>
        </w:rPr>
        <w:t>2-</w:t>
      </w:r>
      <w:r>
        <w:rPr>
          <w:rFonts w:hint="eastAsia" w:eastAsia="仿宋_GB2312"/>
          <w:sz w:val="24"/>
          <w:highlight w:val="none"/>
        </w:rPr>
        <w:t>1免费保修5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14:paraId="5915CDB9">
      <w:pPr>
        <w:adjustRightInd w:val="0"/>
        <w:snapToGrid w:val="0"/>
        <w:spacing w:line="360" w:lineRule="auto"/>
        <w:ind w:firstLine="480" w:firstLineChars="200"/>
        <w:rPr>
          <w:rFonts w:hint="eastAsia" w:eastAsia="仿宋_GB2312"/>
          <w:sz w:val="24"/>
          <w:highlight w:val="none"/>
        </w:rPr>
      </w:pPr>
      <w:r>
        <w:rPr>
          <w:rFonts w:hint="eastAsia" w:eastAsia="仿宋_GB2312"/>
          <w:sz w:val="24"/>
          <w:highlight w:val="none"/>
          <w:lang w:val="en-US" w:eastAsia="zh-CN"/>
        </w:rPr>
        <w:t>2-</w:t>
      </w:r>
      <w:r>
        <w:rPr>
          <w:rFonts w:hint="eastAsia" w:eastAsia="仿宋_GB2312"/>
          <w:sz w:val="24"/>
          <w:highlight w:val="none"/>
        </w:rPr>
        <w:t>2 180天内，如出现质量问题，可以选择换货或退货。</w:t>
      </w:r>
    </w:p>
    <w:p w14:paraId="36F2639D">
      <w:pPr>
        <w:adjustRightInd w:val="0"/>
        <w:snapToGrid w:val="0"/>
        <w:spacing w:line="360" w:lineRule="auto"/>
        <w:ind w:firstLine="480" w:firstLineChars="200"/>
        <w:rPr>
          <w:rFonts w:eastAsia="仿宋_GB2312"/>
          <w:sz w:val="24"/>
          <w:highlight w:val="none"/>
        </w:rPr>
      </w:pPr>
      <w:r>
        <w:rPr>
          <w:rFonts w:hint="eastAsia" w:eastAsia="仿宋_GB2312"/>
          <w:sz w:val="24"/>
          <w:highlight w:val="none"/>
          <w:lang w:val="en-US" w:eastAsia="zh-CN"/>
        </w:rPr>
        <w:t>2-</w:t>
      </w:r>
      <w:r>
        <w:rPr>
          <w:rFonts w:hint="eastAsia" w:eastAsia="仿宋_GB2312"/>
          <w:sz w:val="24"/>
          <w:highlight w:val="none"/>
        </w:rPr>
        <w:t>3 乙方不履行上述更换或维修义务的，乙方向甲方承担合同标的额1%的违约金。</w:t>
      </w:r>
      <w:r>
        <w:rPr>
          <w:rFonts w:eastAsia="仿宋_GB2312"/>
          <w:sz w:val="24"/>
          <w:highlight w:val="none"/>
        </w:rPr>
        <w:t xml:space="preserve"> </w:t>
      </w:r>
    </w:p>
    <w:p w14:paraId="0AEC7A5E">
      <w:pPr>
        <w:adjustRightInd w:val="0"/>
        <w:snapToGrid w:val="0"/>
        <w:spacing w:line="360" w:lineRule="auto"/>
        <w:ind w:firstLine="480" w:firstLineChars="200"/>
        <w:rPr>
          <w:rFonts w:eastAsia="仿宋_GB2312"/>
          <w:sz w:val="24"/>
          <w:highlight w:val="none"/>
        </w:rPr>
      </w:pPr>
      <w:r>
        <w:rPr>
          <w:rFonts w:eastAsia="仿宋_GB2312"/>
          <w:sz w:val="24"/>
          <w:highlight w:val="none"/>
        </w:rPr>
        <w:t xml:space="preserve">3、伴随服务 </w:t>
      </w:r>
    </w:p>
    <w:p w14:paraId="14477A6A">
      <w:pPr>
        <w:adjustRightInd w:val="0"/>
        <w:snapToGrid w:val="0"/>
        <w:spacing w:line="360" w:lineRule="auto"/>
        <w:ind w:firstLine="480" w:firstLineChars="200"/>
        <w:rPr>
          <w:rFonts w:eastAsia="仿宋_GB2312"/>
          <w:sz w:val="24"/>
          <w:highlight w:val="none"/>
        </w:rPr>
      </w:pPr>
      <w:r>
        <w:rPr>
          <w:rFonts w:eastAsia="仿宋_GB2312"/>
          <w:sz w:val="24"/>
          <w:highlight w:val="none"/>
        </w:rPr>
        <w:t xml:space="preserve">3-1、乙方应随同每套货物提供相应的中文的技术文件。 </w:t>
      </w:r>
    </w:p>
    <w:p w14:paraId="49792F55">
      <w:pPr>
        <w:adjustRightInd w:val="0"/>
        <w:snapToGrid w:val="0"/>
        <w:spacing w:line="360" w:lineRule="auto"/>
        <w:ind w:firstLine="480" w:firstLineChars="200"/>
        <w:rPr>
          <w:rFonts w:eastAsia="仿宋_GB2312"/>
          <w:sz w:val="24"/>
          <w:highlight w:val="none"/>
        </w:rPr>
      </w:pPr>
      <w:r>
        <w:rPr>
          <w:rFonts w:eastAsia="仿宋_GB2312"/>
          <w:sz w:val="24"/>
          <w:highlight w:val="none"/>
        </w:rPr>
        <w:t xml:space="preserve">3-1-1、完整的操作使用手册和维护、修理技术文件，图纸、保修卡等。 </w:t>
      </w:r>
    </w:p>
    <w:p w14:paraId="54E3698F">
      <w:pPr>
        <w:adjustRightInd w:val="0"/>
        <w:snapToGrid w:val="0"/>
        <w:spacing w:line="360" w:lineRule="auto"/>
        <w:ind w:firstLine="480" w:firstLineChars="200"/>
        <w:rPr>
          <w:rFonts w:eastAsia="仿宋_GB2312"/>
          <w:sz w:val="24"/>
          <w:highlight w:val="none"/>
        </w:rPr>
      </w:pPr>
      <w:r>
        <w:rPr>
          <w:rFonts w:eastAsia="仿宋_GB2312"/>
          <w:sz w:val="24"/>
          <w:highlight w:val="none"/>
        </w:rPr>
        <w:t xml:space="preserve">3-1-2、制造厂的检验、测试报告、检验合格证书，计量合格等级证书，质量保证书等文件须随产品装箱提供。 </w:t>
      </w:r>
    </w:p>
    <w:p w14:paraId="2E7BF689">
      <w:pPr>
        <w:adjustRightInd w:val="0"/>
        <w:snapToGrid w:val="0"/>
        <w:spacing w:line="360" w:lineRule="auto"/>
        <w:ind w:firstLine="480" w:firstLineChars="200"/>
        <w:rPr>
          <w:rFonts w:eastAsia="仿宋_GB2312"/>
          <w:sz w:val="24"/>
          <w:highlight w:val="none"/>
        </w:rPr>
      </w:pPr>
      <w:r>
        <w:rPr>
          <w:rFonts w:eastAsia="仿宋_GB2312"/>
          <w:sz w:val="24"/>
          <w:highlight w:val="none"/>
        </w:rPr>
        <w:t xml:space="preserve">3-1-3、必须的其它技术资料。 </w:t>
      </w:r>
    </w:p>
    <w:p w14:paraId="0082BCD4">
      <w:pPr>
        <w:adjustRightInd w:val="0"/>
        <w:snapToGrid w:val="0"/>
        <w:spacing w:line="360" w:lineRule="auto"/>
        <w:ind w:firstLine="480" w:firstLineChars="200"/>
        <w:rPr>
          <w:rFonts w:eastAsia="仿宋_GB2312"/>
          <w:sz w:val="24"/>
          <w:highlight w:val="none"/>
        </w:rPr>
      </w:pPr>
      <w:r>
        <w:rPr>
          <w:rFonts w:eastAsia="仿宋_GB2312"/>
          <w:sz w:val="24"/>
          <w:highlight w:val="none"/>
        </w:rPr>
        <w:t>3-2、伴随服务的费用已含在合同价中，不单独进行支付。</w:t>
      </w:r>
    </w:p>
    <w:p w14:paraId="4A7BBF7C">
      <w:pPr>
        <w:adjustRightInd w:val="0"/>
        <w:snapToGrid w:val="0"/>
        <w:spacing w:line="360" w:lineRule="auto"/>
        <w:ind w:firstLine="482" w:firstLineChars="200"/>
        <w:rPr>
          <w:rFonts w:eastAsia="仿宋_GB2312"/>
          <w:b/>
          <w:bCs/>
          <w:sz w:val="24"/>
          <w:highlight w:val="none"/>
        </w:rPr>
      </w:pPr>
      <w:r>
        <w:rPr>
          <w:rFonts w:hint="eastAsia" w:eastAsia="仿宋_GB2312"/>
          <w:b/>
          <w:bCs/>
          <w:sz w:val="24"/>
          <w:highlight w:val="none"/>
        </w:rPr>
        <w:t>八</w:t>
      </w:r>
      <w:r>
        <w:rPr>
          <w:rFonts w:eastAsia="仿宋_GB2312"/>
          <w:b/>
          <w:bCs/>
          <w:sz w:val="24"/>
          <w:highlight w:val="none"/>
        </w:rPr>
        <w:t>、验收</w:t>
      </w:r>
      <w:bookmarkEnd w:id="4"/>
    </w:p>
    <w:p w14:paraId="049CD0B4">
      <w:pPr>
        <w:adjustRightInd w:val="0"/>
        <w:snapToGrid w:val="0"/>
        <w:spacing w:line="360" w:lineRule="auto"/>
        <w:ind w:firstLine="480" w:firstLineChars="200"/>
        <w:rPr>
          <w:rFonts w:hint="eastAsia" w:eastAsia="仿宋_GB2312"/>
          <w:b w:val="0"/>
          <w:bCs w:val="0"/>
          <w:sz w:val="24"/>
          <w:highlight w:val="none"/>
        </w:rPr>
      </w:pPr>
      <w:bookmarkStart w:id="5" w:name="_Toc19515392"/>
      <w:r>
        <w:rPr>
          <w:rFonts w:hint="eastAsia" w:eastAsia="仿宋_GB2312"/>
          <w:b w:val="0"/>
          <w:bCs w:val="0"/>
          <w:sz w:val="24"/>
          <w:highlight w:val="none"/>
        </w:rPr>
        <w:t>1</w:t>
      </w:r>
      <w:r>
        <w:rPr>
          <w:rFonts w:hint="eastAsia" w:eastAsia="仿宋_GB2312"/>
          <w:b w:val="0"/>
          <w:bCs w:val="0"/>
          <w:sz w:val="24"/>
          <w:highlight w:val="none"/>
          <w:lang w:eastAsia="zh-CN"/>
        </w:rPr>
        <w:t>、</w:t>
      </w:r>
      <w:r>
        <w:rPr>
          <w:rFonts w:hint="eastAsia" w:eastAsia="仿宋_GB2312"/>
          <w:b w:val="0"/>
          <w:bCs w:val="0"/>
          <w:sz w:val="24"/>
          <w:highlight w:val="none"/>
        </w:rPr>
        <w:t>验收依据</w:t>
      </w:r>
    </w:p>
    <w:p w14:paraId="24A9D342">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（1）合同文本及合同补充文件（条款）；</w:t>
      </w:r>
    </w:p>
    <w:p w14:paraId="2137AFE8">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（2）所有货物设备的生产厂家授权证明；</w:t>
      </w:r>
    </w:p>
    <w:p w14:paraId="2A848AAD">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（3）</w:t>
      </w:r>
      <w:r>
        <w:rPr>
          <w:rFonts w:hint="eastAsia" w:eastAsia="仿宋_GB2312"/>
          <w:b w:val="0"/>
          <w:bCs w:val="0"/>
          <w:sz w:val="24"/>
          <w:highlight w:val="none"/>
          <w:lang w:val="en-US" w:eastAsia="zh-CN"/>
        </w:rPr>
        <w:t>谈判</w:t>
      </w:r>
      <w:r>
        <w:rPr>
          <w:rFonts w:hint="eastAsia" w:eastAsia="仿宋_GB2312"/>
          <w:b w:val="0"/>
          <w:bCs w:val="0"/>
          <w:sz w:val="24"/>
          <w:highlight w:val="none"/>
        </w:rPr>
        <w:t>文件；</w:t>
      </w:r>
    </w:p>
    <w:p w14:paraId="7B9869E3">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（4）</w:t>
      </w:r>
      <w:r>
        <w:rPr>
          <w:rFonts w:hint="eastAsia" w:eastAsia="仿宋_GB2312"/>
          <w:b w:val="0"/>
          <w:bCs w:val="0"/>
          <w:sz w:val="24"/>
          <w:highlight w:val="none"/>
          <w:lang w:val="en-US" w:eastAsia="zh-CN"/>
        </w:rPr>
        <w:t>响应</w:t>
      </w:r>
      <w:r>
        <w:rPr>
          <w:rFonts w:hint="eastAsia" w:eastAsia="仿宋_GB2312"/>
          <w:b w:val="0"/>
          <w:bCs w:val="0"/>
          <w:sz w:val="24"/>
          <w:highlight w:val="none"/>
        </w:rPr>
        <w:t>文件；</w:t>
      </w:r>
    </w:p>
    <w:p w14:paraId="3EED995B">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（5）合同产品清单；</w:t>
      </w:r>
    </w:p>
    <w:p w14:paraId="37ACCE26">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（6）生产厂家的检验报告、货物的执行标准。</w:t>
      </w:r>
    </w:p>
    <w:p w14:paraId="52A7EE8E">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2</w:t>
      </w:r>
      <w:r>
        <w:rPr>
          <w:rFonts w:hint="eastAsia" w:eastAsia="仿宋_GB2312"/>
          <w:b w:val="0"/>
          <w:bCs w:val="0"/>
          <w:sz w:val="24"/>
          <w:highlight w:val="none"/>
          <w:lang w:eastAsia="zh-CN"/>
        </w:rPr>
        <w:t>、</w:t>
      </w:r>
      <w:r>
        <w:rPr>
          <w:rFonts w:hint="eastAsia" w:eastAsia="仿宋_GB2312"/>
          <w:b w:val="0"/>
          <w:bCs w:val="0"/>
          <w:sz w:val="24"/>
          <w:highlight w:val="none"/>
        </w:rPr>
        <w:t>采购方、采购代理机构可以</w:t>
      </w:r>
      <w:r>
        <w:rPr>
          <w:rFonts w:hint="eastAsia" w:eastAsia="仿宋_GB2312"/>
          <w:b w:val="0"/>
          <w:bCs w:val="0"/>
          <w:sz w:val="24"/>
          <w:highlight w:val="none"/>
          <w:lang w:val="en-US" w:eastAsia="zh-CN"/>
        </w:rPr>
        <w:t>选择</w:t>
      </w:r>
      <w:r>
        <w:rPr>
          <w:rFonts w:hint="eastAsia" w:eastAsia="仿宋_GB2312"/>
          <w:b w:val="0"/>
          <w:bCs w:val="0"/>
          <w:sz w:val="24"/>
          <w:highlight w:val="none"/>
        </w:rPr>
        <w:t>邀请参加本项目的其他投标人或者第三方专业机构及专家参与验收，相关验收意见作为验收的参考资料。政府向社会公众提供的公共服务项目，验收时应当邀请服务对象参与并出具意见，验收结果向社会公告。</w:t>
      </w:r>
    </w:p>
    <w:p w14:paraId="3144F74F">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3</w:t>
      </w:r>
      <w:r>
        <w:rPr>
          <w:rFonts w:hint="eastAsia" w:eastAsia="仿宋_GB2312"/>
          <w:b w:val="0"/>
          <w:bCs w:val="0"/>
          <w:sz w:val="24"/>
          <w:highlight w:val="none"/>
          <w:lang w:eastAsia="zh-CN"/>
        </w:rPr>
        <w:t>、</w:t>
      </w:r>
      <w:r>
        <w:rPr>
          <w:rFonts w:hint="eastAsia" w:eastAsia="仿宋_GB2312"/>
          <w:b w:val="0"/>
          <w:bCs w:val="0"/>
          <w:sz w:val="24"/>
          <w:highlight w:val="none"/>
        </w:rPr>
        <w:t>本项目采用一般程序进行验收。项目验收另有国家强制性规定的，按国家规定执行，验收费用由供应商承担，验收报告作为申请付款的凭证之一。</w:t>
      </w:r>
    </w:p>
    <w:p w14:paraId="24BA9D71">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4</w:t>
      </w:r>
      <w:r>
        <w:rPr>
          <w:rFonts w:hint="eastAsia" w:eastAsia="仿宋_GB2312"/>
          <w:b w:val="0"/>
          <w:bCs w:val="0"/>
          <w:sz w:val="24"/>
          <w:highlight w:val="none"/>
          <w:lang w:eastAsia="zh-CN"/>
        </w:rPr>
        <w:t>、</w:t>
      </w:r>
      <w:r>
        <w:rPr>
          <w:rFonts w:hint="eastAsia" w:eastAsia="仿宋_GB2312"/>
          <w:b w:val="0"/>
          <w:bCs w:val="0"/>
          <w:sz w:val="24"/>
          <w:highlight w:val="none"/>
        </w:rPr>
        <w:t>验收过程中产生纠纷的，由质量技术监督部门认定的检测机构检测,如为供应商原因造成的，由供应商承担检测费用；否则由采购方承担。</w:t>
      </w:r>
    </w:p>
    <w:p w14:paraId="5BCF1B6F">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5</w:t>
      </w:r>
      <w:r>
        <w:rPr>
          <w:rFonts w:hint="eastAsia" w:eastAsia="仿宋_GB2312"/>
          <w:b w:val="0"/>
          <w:bCs w:val="0"/>
          <w:sz w:val="24"/>
          <w:highlight w:val="none"/>
          <w:lang w:eastAsia="zh-CN"/>
        </w:rPr>
        <w:t>、</w:t>
      </w:r>
      <w:r>
        <w:rPr>
          <w:rFonts w:hint="eastAsia" w:eastAsia="仿宋_GB2312"/>
          <w:b w:val="0"/>
          <w:bCs w:val="0"/>
          <w:sz w:val="24"/>
          <w:highlight w:val="none"/>
        </w:rPr>
        <w:t>项目验收不合格，由供应商返工直至合格，有关返工、再行验收，以及给采购方造成的损失等费用由供应商承担。连续两次项目验收不合格的，采购方可终止合同，另行按规定选择其他供应商采购，由此带来的一切损失由供应商承担。</w:t>
      </w:r>
    </w:p>
    <w:p w14:paraId="2CF6DD44">
      <w:pPr>
        <w:adjustRightInd w:val="0"/>
        <w:snapToGrid w:val="0"/>
        <w:spacing w:line="360" w:lineRule="auto"/>
        <w:ind w:firstLine="480" w:firstLineChars="200"/>
        <w:rPr>
          <w:rFonts w:hint="eastAsia" w:eastAsia="仿宋_GB2312"/>
          <w:b w:val="0"/>
          <w:bCs w:val="0"/>
          <w:sz w:val="24"/>
          <w:highlight w:val="none"/>
          <w:lang w:val="en-US" w:eastAsia="zh-CN"/>
        </w:rPr>
      </w:pPr>
      <w:r>
        <w:rPr>
          <w:rFonts w:hint="eastAsia" w:eastAsia="仿宋_GB2312"/>
          <w:b w:val="0"/>
          <w:bCs w:val="0"/>
          <w:sz w:val="24"/>
          <w:highlight w:val="none"/>
        </w:rPr>
        <w:t>6</w:t>
      </w:r>
      <w:r>
        <w:rPr>
          <w:rFonts w:hint="eastAsia" w:eastAsia="仿宋_GB2312"/>
          <w:b w:val="0"/>
          <w:bCs w:val="0"/>
          <w:sz w:val="24"/>
          <w:highlight w:val="none"/>
          <w:lang w:eastAsia="zh-CN"/>
        </w:rPr>
        <w:t>、</w:t>
      </w:r>
      <w:r>
        <w:rPr>
          <w:rFonts w:hint="eastAsia" w:eastAsia="仿宋_GB2312"/>
          <w:b w:val="0"/>
          <w:bCs w:val="0"/>
          <w:sz w:val="24"/>
          <w:highlight w:val="none"/>
        </w:rPr>
        <w:t>设备到货完成全部产品安装、调试、部署后开展项目初验</w:t>
      </w:r>
      <w:r>
        <w:rPr>
          <w:rFonts w:hint="eastAsia" w:eastAsia="仿宋_GB2312"/>
          <w:b w:val="0"/>
          <w:bCs w:val="0"/>
          <w:sz w:val="24"/>
          <w:highlight w:val="none"/>
          <w:lang w:eastAsia="zh-CN"/>
        </w:rPr>
        <w:t>，</w:t>
      </w:r>
      <w:r>
        <w:rPr>
          <w:rFonts w:hint="eastAsia" w:eastAsia="仿宋_GB2312"/>
          <w:b w:val="0"/>
          <w:bCs w:val="0"/>
          <w:sz w:val="24"/>
          <w:highlight w:val="none"/>
        </w:rPr>
        <w:t>项目初验合格稳定运行</w:t>
      </w:r>
      <w:r>
        <w:rPr>
          <w:rFonts w:hint="eastAsia" w:eastAsia="仿宋_GB2312"/>
          <w:b w:val="0"/>
          <w:bCs w:val="0"/>
          <w:sz w:val="24"/>
          <w:highlight w:val="none"/>
          <w:lang w:val="en-US" w:eastAsia="zh-CN"/>
        </w:rPr>
        <w:t>一周</w:t>
      </w:r>
      <w:r>
        <w:rPr>
          <w:rFonts w:hint="eastAsia" w:eastAsia="仿宋_GB2312"/>
          <w:b w:val="0"/>
          <w:bCs w:val="0"/>
          <w:sz w:val="24"/>
          <w:highlight w:val="none"/>
        </w:rPr>
        <w:t>，各项指标参数均符合本次项目采购需求后开展项目最终验收。</w:t>
      </w:r>
    </w:p>
    <w:p w14:paraId="4538A338">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7</w:t>
      </w:r>
      <w:r>
        <w:rPr>
          <w:rFonts w:hint="eastAsia" w:eastAsia="仿宋_GB2312"/>
          <w:b w:val="0"/>
          <w:bCs w:val="0"/>
          <w:sz w:val="24"/>
          <w:highlight w:val="none"/>
          <w:lang w:eastAsia="zh-CN"/>
        </w:rPr>
        <w:t>、</w:t>
      </w:r>
      <w:r>
        <w:rPr>
          <w:rFonts w:hint="eastAsia" w:eastAsia="仿宋_GB2312"/>
          <w:b w:val="0"/>
          <w:bCs w:val="0"/>
          <w:sz w:val="24"/>
          <w:highlight w:val="none"/>
        </w:rPr>
        <w:t>项目验收前，供应商应将项目有关的全部资料，包括产品合格证、检测证书、产品资料、技术文档、开发手册、安装部署手册、运行维护手册等移交采购方，项目资料作为验收的重要依据。</w:t>
      </w:r>
    </w:p>
    <w:p w14:paraId="2359C7C6">
      <w:pPr>
        <w:adjustRightInd w:val="0"/>
        <w:snapToGrid w:val="0"/>
        <w:spacing w:line="360" w:lineRule="auto"/>
        <w:ind w:firstLine="480" w:firstLineChars="200"/>
        <w:rPr>
          <w:rFonts w:hint="eastAsia" w:eastAsia="仿宋_GB2312"/>
          <w:b w:val="0"/>
          <w:bCs w:val="0"/>
          <w:sz w:val="24"/>
          <w:highlight w:val="none"/>
        </w:rPr>
      </w:pPr>
      <w:r>
        <w:rPr>
          <w:rFonts w:hint="eastAsia" w:eastAsia="仿宋_GB2312"/>
          <w:b w:val="0"/>
          <w:bCs w:val="0"/>
          <w:sz w:val="24"/>
          <w:highlight w:val="none"/>
        </w:rPr>
        <w:t>8</w:t>
      </w:r>
      <w:r>
        <w:rPr>
          <w:rFonts w:hint="eastAsia" w:eastAsia="仿宋_GB2312"/>
          <w:b w:val="0"/>
          <w:bCs w:val="0"/>
          <w:sz w:val="24"/>
          <w:highlight w:val="none"/>
          <w:lang w:eastAsia="zh-CN"/>
        </w:rPr>
        <w:t>、</w:t>
      </w:r>
      <w:r>
        <w:rPr>
          <w:rFonts w:hint="eastAsia" w:eastAsia="仿宋_GB2312"/>
          <w:b w:val="0"/>
          <w:bCs w:val="0"/>
          <w:sz w:val="24"/>
          <w:highlight w:val="none"/>
        </w:rPr>
        <w:t>验收合格后，填写政府采购项目履约验收单（一式伍份）作为对服务的最终认可。政府采购项目履约验收单（原件）送采购代理机构一份。</w:t>
      </w:r>
    </w:p>
    <w:p w14:paraId="41EF055E">
      <w:pPr>
        <w:adjustRightInd w:val="0"/>
        <w:snapToGrid w:val="0"/>
        <w:spacing w:line="360" w:lineRule="auto"/>
        <w:ind w:firstLine="482" w:firstLineChars="200"/>
        <w:rPr>
          <w:rFonts w:eastAsia="仿宋_GB2312"/>
          <w:b/>
          <w:bCs/>
          <w:sz w:val="24"/>
          <w:highlight w:val="none"/>
        </w:rPr>
      </w:pPr>
      <w:r>
        <w:rPr>
          <w:rFonts w:hint="eastAsia" w:eastAsia="仿宋_GB2312"/>
          <w:b/>
          <w:bCs/>
          <w:sz w:val="24"/>
          <w:highlight w:val="none"/>
        </w:rPr>
        <w:t>九</w:t>
      </w:r>
      <w:r>
        <w:rPr>
          <w:rFonts w:eastAsia="仿宋_GB2312"/>
          <w:b/>
          <w:bCs/>
          <w:sz w:val="24"/>
          <w:highlight w:val="none"/>
        </w:rPr>
        <w:t>、违约责任</w:t>
      </w:r>
      <w:bookmarkEnd w:id="5"/>
    </w:p>
    <w:p w14:paraId="4D71EB3E">
      <w:pPr>
        <w:adjustRightInd w:val="0"/>
        <w:snapToGrid w:val="0"/>
        <w:spacing w:line="360" w:lineRule="auto"/>
        <w:ind w:firstLine="480" w:firstLineChars="200"/>
        <w:rPr>
          <w:rFonts w:eastAsia="仿宋_GB2312"/>
          <w:sz w:val="24"/>
          <w:highlight w:val="none"/>
        </w:rPr>
      </w:pPr>
      <w:r>
        <w:rPr>
          <w:rFonts w:eastAsia="仿宋_GB2312"/>
          <w:sz w:val="24"/>
          <w:highlight w:val="none"/>
        </w:rPr>
        <w:t>1、按《中华人民共和国民法典》中的相关条款执行。</w:t>
      </w:r>
    </w:p>
    <w:p w14:paraId="2BCB55D3">
      <w:pPr>
        <w:adjustRightInd w:val="0"/>
        <w:snapToGrid w:val="0"/>
        <w:spacing w:line="360" w:lineRule="auto"/>
        <w:ind w:firstLine="480" w:firstLineChars="200"/>
        <w:rPr>
          <w:rFonts w:eastAsia="仿宋_GB2312"/>
          <w:sz w:val="24"/>
          <w:highlight w:val="none"/>
        </w:rPr>
      </w:pPr>
      <w:r>
        <w:rPr>
          <w:rFonts w:eastAsia="仿宋_GB2312"/>
          <w:sz w:val="24"/>
          <w:highlight w:val="none"/>
        </w:rPr>
        <w:t>2、乙方履约延误</w:t>
      </w:r>
    </w:p>
    <w:p w14:paraId="46FF1F31">
      <w:pPr>
        <w:adjustRightInd w:val="0"/>
        <w:snapToGrid w:val="0"/>
        <w:spacing w:line="360" w:lineRule="auto"/>
        <w:ind w:firstLine="480" w:firstLineChars="200"/>
        <w:rPr>
          <w:rFonts w:eastAsia="仿宋_GB2312"/>
          <w:sz w:val="24"/>
          <w:highlight w:val="none"/>
        </w:rPr>
      </w:pPr>
      <w:r>
        <w:rPr>
          <w:rFonts w:eastAsia="仿宋_GB2312"/>
          <w:sz w:val="24"/>
          <w:highlight w:val="none"/>
        </w:rPr>
        <w:t>2-1、如乙方事先未征得甲方同意并得到甲方的谅解而单方面延迟执行合同，将按违约终止合同。</w:t>
      </w:r>
    </w:p>
    <w:p w14:paraId="499F99C2">
      <w:pPr>
        <w:adjustRightInd w:val="0"/>
        <w:snapToGrid w:val="0"/>
        <w:spacing w:line="360" w:lineRule="auto"/>
        <w:ind w:firstLine="480" w:firstLineChars="200"/>
        <w:rPr>
          <w:rFonts w:eastAsia="仿宋_GB2312"/>
          <w:sz w:val="24"/>
          <w:highlight w:val="none"/>
        </w:rPr>
      </w:pPr>
      <w:r>
        <w:rPr>
          <w:rFonts w:eastAsia="仿宋_GB2312"/>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w:t>
      </w:r>
      <w:r>
        <w:rPr>
          <w:rFonts w:eastAsia="仿宋_GB2312"/>
          <w:b/>
          <w:bCs/>
          <w:sz w:val="24"/>
          <w:highlight w:val="none"/>
        </w:rPr>
        <w:t>每延误一</w:t>
      </w:r>
      <w:r>
        <w:rPr>
          <w:rFonts w:hint="eastAsia" w:eastAsia="仿宋_GB2312"/>
          <w:b/>
          <w:bCs/>
          <w:sz w:val="24"/>
          <w:highlight w:val="none"/>
          <w:lang w:val="en-US" w:eastAsia="zh-CN"/>
        </w:rPr>
        <w:t>天</w:t>
      </w:r>
      <w:r>
        <w:rPr>
          <w:rFonts w:eastAsia="仿宋_GB2312"/>
          <w:sz w:val="24"/>
          <w:highlight w:val="none"/>
        </w:rPr>
        <w:t>的赔偿费按合同金额的</w:t>
      </w:r>
      <w:r>
        <w:rPr>
          <w:rFonts w:eastAsia="仿宋_GB2312"/>
          <w:b/>
          <w:bCs/>
          <w:sz w:val="24"/>
          <w:highlight w:val="none"/>
        </w:rPr>
        <w:t>百分之</w:t>
      </w:r>
      <w:r>
        <w:rPr>
          <w:rFonts w:hint="eastAsia" w:eastAsia="仿宋_GB2312"/>
          <w:b/>
          <w:bCs/>
          <w:sz w:val="24"/>
          <w:highlight w:val="none"/>
          <w:lang w:val="en-US" w:eastAsia="zh-CN"/>
        </w:rPr>
        <w:t>一</w:t>
      </w:r>
      <w:r>
        <w:rPr>
          <w:rFonts w:eastAsia="仿宋_GB2312"/>
          <w:b/>
          <w:bCs/>
          <w:sz w:val="24"/>
          <w:highlight w:val="none"/>
        </w:rPr>
        <w:t>（</w:t>
      </w:r>
      <w:r>
        <w:rPr>
          <w:rFonts w:hint="eastAsia" w:eastAsia="仿宋_GB2312"/>
          <w:b/>
          <w:bCs/>
          <w:sz w:val="24"/>
          <w:highlight w:val="none"/>
          <w:lang w:val="en-US" w:eastAsia="zh-CN"/>
        </w:rPr>
        <w:t>1</w:t>
      </w:r>
      <w:r>
        <w:rPr>
          <w:rFonts w:eastAsia="仿宋_GB2312"/>
          <w:b/>
          <w:bCs/>
          <w:sz w:val="24"/>
          <w:highlight w:val="none"/>
        </w:rPr>
        <w:t>%）</w:t>
      </w:r>
      <w:r>
        <w:rPr>
          <w:rFonts w:eastAsia="仿宋_GB2312"/>
          <w:sz w:val="24"/>
          <w:highlight w:val="none"/>
        </w:rPr>
        <w:t>计收，直至提供服务为止。误期赔偿费的最高限额为合同价格的</w:t>
      </w:r>
      <w:r>
        <w:rPr>
          <w:rFonts w:eastAsia="仿宋_GB2312"/>
          <w:b/>
          <w:bCs/>
          <w:sz w:val="24"/>
          <w:highlight w:val="none"/>
        </w:rPr>
        <w:t>百分之</w:t>
      </w:r>
      <w:r>
        <w:rPr>
          <w:rFonts w:hint="eastAsia" w:eastAsia="仿宋_GB2312"/>
          <w:b/>
          <w:bCs/>
          <w:sz w:val="24"/>
          <w:highlight w:val="none"/>
          <w:lang w:val="en-US" w:eastAsia="zh-CN"/>
        </w:rPr>
        <w:t>十</w:t>
      </w:r>
      <w:r>
        <w:rPr>
          <w:rFonts w:eastAsia="仿宋_GB2312"/>
          <w:b/>
          <w:bCs/>
          <w:sz w:val="24"/>
          <w:highlight w:val="none"/>
        </w:rPr>
        <w:t>（</w:t>
      </w:r>
      <w:r>
        <w:rPr>
          <w:rFonts w:hint="eastAsia" w:eastAsia="仿宋_GB2312"/>
          <w:b/>
          <w:bCs/>
          <w:sz w:val="24"/>
          <w:highlight w:val="none"/>
          <w:lang w:val="en-US" w:eastAsia="zh-CN"/>
        </w:rPr>
        <w:t>10</w:t>
      </w:r>
      <w:r>
        <w:rPr>
          <w:rFonts w:eastAsia="仿宋_GB2312"/>
          <w:b/>
          <w:bCs/>
          <w:sz w:val="24"/>
          <w:highlight w:val="none"/>
        </w:rPr>
        <w:t>%）。</w:t>
      </w:r>
      <w:r>
        <w:rPr>
          <w:rFonts w:eastAsia="仿宋_GB2312"/>
          <w:sz w:val="24"/>
          <w:highlight w:val="none"/>
        </w:rPr>
        <w:t>一旦达到误期赔偿费的最高限额，甲方可终止合同。</w:t>
      </w:r>
    </w:p>
    <w:p w14:paraId="6018DD13">
      <w:pPr>
        <w:adjustRightInd w:val="0"/>
        <w:snapToGrid w:val="0"/>
        <w:spacing w:line="360" w:lineRule="auto"/>
        <w:ind w:firstLine="480" w:firstLineChars="200"/>
        <w:rPr>
          <w:rFonts w:eastAsia="仿宋_GB2312"/>
          <w:sz w:val="24"/>
          <w:highlight w:val="none"/>
        </w:rPr>
      </w:pPr>
      <w:r>
        <w:rPr>
          <w:rFonts w:eastAsia="仿宋_GB2312"/>
          <w:sz w:val="24"/>
          <w:highlight w:val="none"/>
        </w:rPr>
        <w:t>3、违约终止合同：未按合同要求提供服务或不能满足技术要求，甲方会同监督机构有权终止合同，对乙方违约行为进行追究，同时按政府采购法的有关规定进行相应的处罚。</w:t>
      </w:r>
    </w:p>
    <w:p w14:paraId="3F1534D3">
      <w:pPr>
        <w:adjustRightInd w:val="0"/>
        <w:snapToGrid w:val="0"/>
        <w:spacing w:line="360" w:lineRule="auto"/>
        <w:ind w:firstLine="482" w:firstLineChars="200"/>
        <w:rPr>
          <w:rFonts w:eastAsia="仿宋_GB2312"/>
          <w:b/>
          <w:bCs/>
          <w:sz w:val="24"/>
          <w:highlight w:val="none"/>
        </w:rPr>
      </w:pPr>
      <w:bookmarkStart w:id="6" w:name="_Toc19515393"/>
      <w:r>
        <w:rPr>
          <w:rFonts w:hint="eastAsia" w:eastAsia="仿宋_GB2312"/>
          <w:b/>
          <w:bCs/>
          <w:sz w:val="24"/>
          <w:highlight w:val="none"/>
        </w:rPr>
        <w:t>十</w:t>
      </w:r>
      <w:r>
        <w:rPr>
          <w:rFonts w:eastAsia="仿宋_GB2312"/>
          <w:b/>
          <w:bCs/>
          <w:sz w:val="24"/>
          <w:highlight w:val="none"/>
        </w:rPr>
        <w:t>、合同组成</w:t>
      </w:r>
      <w:bookmarkEnd w:id="6"/>
    </w:p>
    <w:p w14:paraId="27C745CB">
      <w:pPr>
        <w:adjustRightInd w:val="0"/>
        <w:snapToGrid w:val="0"/>
        <w:spacing w:line="360" w:lineRule="auto"/>
        <w:ind w:firstLine="480" w:firstLineChars="200"/>
        <w:rPr>
          <w:rFonts w:eastAsia="仿宋_GB2312"/>
          <w:sz w:val="24"/>
          <w:highlight w:val="none"/>
        </w:rPr>
      </w:pPr>
      <w:r>
        <w:rPr>
          <w:rFonts w:eastAsia="仿宋_GB2312"/>
          <w:sz w:val="24"/>
          <w:highlight w:val="none"/>
        </w:rPr>
        <w:t>1、</w:t>
      </w:r>
      <w:r>
        <w:rPr>
          <w:rFonts w:hint="eastAsia" w:eastAsia="仿宋_GB2312"/>
          <w:sz w:val="24"/>
          <w:highlight w:val="none"/>
          <w:lang w:eastAsia="zh-CN"/>
        </w:rPr>
        <w:t>成交</w:t>
      </w:r>
      <w:r>
        <w:rPr>
          <w:rFonts w:eastAsia="仿宋_GB2312"/>
          <w:sz w:val="24"/>
          <w:highlight w:val="none"/>
        </w:rPr>
        <w:t>通知书</w:t>
      </w:r>
    </w:p>
    <w:p w14:paraId="56B53F66">
      <w:pPr>
        <w:adjustRightInd w:val="0"/>
        <w:snapToGrid w:val="0"/>
        <w:spacing w:line="360" w:lineRule="auto"/>
        <w:ind w:firstLine="480" w:firstLineChars="200"/>
        <w:rPr>
          <w:rFonts w:eastAsia="仿宋_GB2312"/>
          <w:sz w:val="24"/>
          <w:highlight w:val="none"/>
        </w:rPr>
      </w:pPr>
      <w:r>
        <w:rPr>
          <w:rFonts w:eastAsia="仿宋_GB2312"/>
          <w:sz w:val="24"/>
          <w:highlight w:val="none"/>
        </w:rPr>
        <w:t>2、合同文件</w:t>
      </w:r>
    </w:p>
    <w:p w14:paraId="42037DF1">
      <w:pPr>
        <w:adjustRightInd w:val="0"/>
        <w:snapToGrid w:val="0"/>
        <w:spacing w:line="360" w:lineRule="auto"/>
        <w:ind w:firstLine="480" w:firstLineChars="200"/>
        <w:rPr>
          <w:rFonts w:eastAsia="仿宋_GB2312"/>
          <w:sz w:val="24"/>
          <w:highlight w:val="none"/>
        </w:rPr>
      </w:pPr>
      <w:r>
        <w:rPr>
          <w:rFonts w:eastAsia="仿宋_GB2312"/>
          <w:sz w:val="24"/>
          <w:highlight w:val="none"/>
        </w:rPr>
        <w:t>3、国家相关规范及标准</w:t>
      </w:r>
    </w:p>
    <w:p w14:paraId="36590C82">
      <w:pPr>
        <w:adjustRightInd w:val="0"/>
        <w:snapToGrid w:val="0"/>
        <w:spacing w:line="360" w:lineRule="auto"/>
        <w:ind w:firstLine="480" w:firstLineChars="200"/>
        <w:rPr>
          <w:rFonts w:eastAsia="仿宋_GB2312"/>
          <w:sz w:val="24"/>
          <w:highlight w:val="none"/>
        </w:rPr>
      </w:pPr>
      <w:r>
        <w:rPr>
          <w:rFonts w:eastAsia="仿宋_GB2312"/>
          <w:sz w:val="24"/>
          <w:highlight w:val="none"/>
        </w:rPr>
        <w:t>4、招标文件</w:t>
      </w:r>
    </w:p>
    <w:p w14:paraId="0A43648E">
      <w:pPr>
        <w:adjustRightInd w:val="0"/>
        <w:snapToGrid w:val="0"/>
        <w:spacing w:line="360" w:lineRule="auto"/>
        <w:ind w:firstLine="480" w:firstLineChars="200"/>
        <w:rPr>
          <w:rFonts w:eastAsia="仿宋_GB2312"/>
          <w:sz w:val="24"/>
          <w:highlight w:val="none"/>
        </w:rPr>
      </w:pPr>
      <w:r>
        <w:rPr>
          <w:rFonts w:eastAsia="仿宋_GB2312"/>
          <w:sz w:val="24"/>
          <w:highlight w:val="none"/>
        </w:rPr>
        <w:t>5、投标文件</w:t>
      </w:r>
    </w:p>
    <w:p w14:paraId="73770822">
      <w:pPr>
        <w:adjustRightInd w:val="0"/>
        <w:snapToGrid w:val="0"/>
        <w:spacing w:line="360" w:lineRule="auto"/>
        <w:ind w:firstLine="482" w:firstLineChars="200"/>
        <w:rPr>
          <w:rFonts w:eastAsia="仿宋_GB2312"/>
          <w:b/>
          <w:bCs/>
          <w:sz w:val="24"/>
          <w:highlight w:val="none"/>
        </w:rPr>
      </w:pPr>
      <w:bookmarkStart w:id="7" w:name="_Toc19515394"/>
      <w:r>
        <w:rPr>
          <w:rFonts w:hint="eastAsia" w:eastAsia="仿宋_GB2312"/>
          <w:b/>
          <w:bCs/>
          <w:sz w:val="24"/>
          <w:highlight w:val="none"/>
        </w:rPr>
        <w:t>十一</w:t>
      </w:r>
      <w:r>
        <w:rPr>
          <w:rFonts w:eastAsia="仿宋_GB2312"/>
          <w:b/>
          <w:bCs/>
          <w:sz w:val="24"/>
          <w:highlight w:val="none"/>
        </w:rPr>
        <w:t>、解决争议的方法</w:t>
      </w:r>
      <w:bookmarkEnd w:id="7"/>
    </w:p>
    <w:p w14:paraId="512A70DF">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凡因本合同引起的或与本合同有关的争议，双方应友好协商解决。协商不成时，双方均同意采用以下第（</w:t>
      </w:r>
      <w:r>
        <w:rPr>
          <w:rFonts w:hint="eastAsia" w:eastAsia="仿宋_GB2312"/>
          <w:kern w:val="0"/>
          <w:sz w:val="24"/>
          <w:highlight w:val="none"/>
        </w:rPr>
        <w:t>1</w:t>
      </w:r>
      <w:r>
        <w:rPr>
          <w:rFonts w:eastAsia="仿宋_GB2312"/>
          <w:kern w:val="0"/>
          <w:sz w:val="24"/>
          <w:highlight w:val="none"/>
        </w:rPr>
        <w:t>）种争议解决方式：</w:t>
      </w:r>
    </w:p>
    <w:p w14:paraId="7A1404A8">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1</w:t>
      </w:r>
      <w:r>
        <w:rPr>
          <w:rFonts w:eastAsia="仿宋_GB2312"/>
          <w:kern w:val="0"/>
          <w:sz w:val="24"/>
          <w:highlight w:val="none"/>
        </w:rPr>
        <w:t>、甲、乙双方均同意向（甲方所在地人民法院）提起诉讼。</w:t>
      </w:r>
    </w:p>
    <w:p w14:paraId="7E98B6F9">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2</w:t>
      </w:r>
      <w:r>
        <w:rPr>
          <w:rFonts w:eastAsia="仿宋_GB2312"/>
          <w:kern w:val="0"/>
          <w:sz w:val="24"/>
          <w:highlight w:val="none"/>
        </w:rPr>
        <w:t>、甲、乙双方均同意向（</w:t>
      </w:r>
      <w:r>
        <w:rPr>
          <w:rFonts w:eastAsia="仿宋_GB2312"/>
          <w:kern w:val="0"/>
          <w:sz w:val="24"/>
          <w:highlight w:val="none"/>
        </w:rPr>
        <w:fldChar w:fldCharType="begin"/>
      </w:r>
      <w:r>
        <w:rPr>
          <w:rFonts w:eastAsia="仿宋_GB2312"/>
          <w:kern w:val="0"/>
          <w:sz w:val="24"/>
          <w:highlight w:val="none"/>
        </w:rPr>
        <w:instrText xml:space="preserve"> HYPERLINK "http://www.baidu.com/s?wd=%E4%BB%B2%E8%A3%81%E5%A7%94%E5%91%98%E4%BC%9A&amp;tn=SE_PcZhidaonwhc_ngpagmjz&amp;rsv_dl=gh_pc_zhidao" \t "_blank" </w:instrText>
      </w:r>
      <w:r>
        <w:rPr>
          <w:rFonts w:eastAsia="仿宋_GB2312"/>
          <w:kern w:val="0"/>
          <w:sz w:val="24"/>
          <w:highlight w:val="none"/>
        </w:rPr>
        <w:fldChar w:fldCharType="separate"/>
      </w:r>
      <w:r>
        <w:rPr>
          <w:rFonts w:eastAsia="仿宋_GB2312"/>
          <w:kern w:val="0"/>
          <w:sz w:val="24"/>
          <w:highlight w:val="none"/>
        </w:rPr>
        <w:t>仲裁委员会</w:t>
      </w:r>
      <w:r>
        <w:rPr>
          <w:rFonts w:eastAsia="仿宋_GB2312"/>
          <w:kern w:val="0"/>
          <w:sz w:val="24"/>
          <w:highlight w:val="none"/>
        </w:rPr>
        <w:fldChar w:fldCharType="end"/>
      </w:r>
      <w:r>
        <w:rPr>
          <w:rFonts w:eastAsia="仿宋_GB2312"/>
          <w:kern w:val="0"/>
          <w:sz w:val="24"/>
          <w:highlight w:val="none"/>
        </w:rPr>
        <w:t>）提起仲裁。</w:t>
      </w:r>
    </w:p>
    <w:p w14:paraId="770214C3">
      <w:pPr>
        <w:adjustRightInd w:val="0"/>
        <w:snapToGrid w:val="0"/>
        <w:spacing w:line="360" w:lineRule="auto"/>
        <w:ind w:firstLine="480" w:firstLineChars="200"/>
        <w:rPr>
          <w:rFonts w:eastAsia="仿宋_GB2312"/>
          <w:sz w:val="24"/>
          <w:highlight w:val="none"/>
        </w:rPr>
      </w:pPr>
      <w:bookmarkStart w:id="8" w:name="_Toc19515395"/>
      <w:r>
        <w:rPr>
          <w:rFonts w:eastAsia="仿宋_GB2312"/>
          <w:sz w:val="24"/>
          <w:highlight w:val="none"/>
        </w:rPr>
        <w:t>十、合同生效及其它</w:t>
      </w:r>
      <w:bookmarkEnd w:id="8"/>
    </w:p>
    <w:p w14:paraId="2B7413B6">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1、合同未尽事宜、由甲、乙双方协商，作为合同补充，与原合同具有同等法律效力。</w:t>
      </w:r>
    </w:p>
    <w:p w14:paraId="24DE5FBC">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2、 本合同正本一式</w:t>
      </w:r>
      <w:r>
        <w:rPr>
          <w:rFonts w:eastAsia="仿宋_GB2312"/>
          <w:kern w:val="0"/>
          <w:sz w:val="24"/>
          <w:highlight w:val="none"/>
          <w:u w:val="single"/>
        </w:rPr>
        <w:t xml:space="preserve">  </w:t>
      </w:r>
      <w:r>
        <w:rPr>
          <w:rFonts w:eastAsia="仿宋_GB2312"/>
          <w:kern w:val="0"/>
          <w:sz w:val="24"/>
          <w:highlight w:val="none"/>
        </w:rPr>
        <w:t>份，甲方、乙方双方分别执</w:t>
      </w:r>
      <w:r>
        <w:rPr>
          <w:rFonts w:eastAsia="仿宋_GB2312"/>
          <w:kern w:val="0"/>
          <w:sz w:val="24"/>
          <w:highlight w:val="none"/>
          <w:u w:val="single"/>
        </w:rPr>
        <w:t xml:space="preserve">  </w:t>
      </w:r>
      <w:r>
        <w:rPr>
          <w:rFonts w:eastAsia="仿宋_GB2312"/>
          <w:kern w:val="0"/>
          <w:sz w:val="24"/>
          <w:highlight w:val="none"/>
        </w:rPr>
        <w:t>份，</w:t>
      </w:r>
      <w:r>
        <w:rPr>
          <w:rFonts w:eastAsia="仿宋_GB2312"/>
          <w:kern w:val="0"/>
          <w:sz w:val="24"/>
          <w:highlight w:val="none"/>
          <w:u w:val="single"/>
        </w:rPr>
        <w:t xml:space="preserve">       </w:t>
      </w:r>
      <w:r>
        <w:rPr>
          <w:rFonts w:eastAsia="仿宋_GB2312"/>
          <w:kern w:val="0"/>
          <w:sz w:val="24"/>
          <w:highlight w:val="none"/>
        </w:rPr>
        <w:t>备案</w:t>
      </w:r>
      <w:r>
        <w:rPr>
          <w:rFonts w:eastAsia="仿宋_GB2312"/>
          <w:kern w:val="0"/>
          <w:sz w:val="24"/>
          <w:highlight w:val="none"/>
          <w:u w:val="single"/>
        </w:rPr>
        <w:t xml:space="preserve">  </w:t>
      </w:r>
      <w:r>
        <w:rPr>
          <w:rFonts w:eastAsia="仿宋_GB2312"/>
          <w:kern w:val="0"/>
          <w:sz w:val="24"/>
          <w:highlight w:val="none"/>
        </w:rPr>
        <w:t>份。</w:t>
      </w:r>
    </w:p>
    <w:p w14:paraId="37D7A687">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3、合同经甲乙双方盖章、签字后生效，合同签订地点为</w:t>
      </w:r>
      <w:r>
        <w:rPr>
          <w:rFonts w:eastAsia="仿宋_GB2312"/>
          <w:kern w:val="0"/>
          <w:sz w:val="24"/>
          <w:highlight w:val="none"/>
          <w:u w:val="single"/>
        </w:rPr>
        <w:t xml:space="preserve">   </w:t>
      </w:r>
      <w:r>
        <w:rPr>
          <w:rFonts w:eastAsia="仿宋_GB2312"/>
          <w:kern w:val="0"/>
          <w:sz w:val="24"/>
          <w:highlight w:val="none"/>
        </w:rPr>
        <w:t>。</w:t>
      </w:r>
    </w:p>
    <w:p w14:paraId="40C8876C">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4、生效时间：</w:t>
      </w:r>
      <w:r>
        <w:rPr>
          <w:rFonts w:eastAsia="仿宋_GB2312"/>
          <w:kern w:val="0"/>
          <w:sz w:val="24"/>
          <w:highlight w:val="none"/>
          <w:u w:val="single"/>
        </w:rPr>
        <w:t xml:space="preserve">   </w:t>
      </w:r>
      <w:r>
        <w:rPr>
          <w:rFonts w:eastAsia="仿宋_GB2312"/>
          <w:kern w:val="0"/>
          <w:sz w:val="24"/>
          <w:highlight w:val="none"/>
        </w:rPr>
        <w:t>年</w:t>
      </w:r>
      <w:r>
        <w:rPr>
          <w:rFonts w:eastAsia="仿宋_GB2312"/>
          <w:kern w:val="0"/>
          <w:sz w:val="24"/>
          <w:highlight w:val="none"/>
          <w:u w:val="single"/>
        </w:rPr>
        <w:t xml:space="preserve">  </w:t>
      </w:r>
      <w:r>
        <w:rPr>
          <w:rFonts w:eastAsia="仿宋_GB2312"/>
          <w:kern w:val="0"/>
          <w:sz w:val="24"/>
          <w:highlight w:val="none"/>
        </w:rPr>
        <w:t>月</w:t>
      </w:r>
      <w:r>
        <w:rPr>
          <w:rFonts w:eastAsia="仿宋_GB2312"/>
          <w:kern w:val="0"/>
          <w:sz w:val="24"/>
          <w:highlight w:val="none"/>
          <w:u w:val="single"/>
        </w:rPr>
        <w:t xml:space="preserve">  </w:t>
      </w:r>
      <w:r>
        <w:rPr>
          <w:rFonts w:eastAsia="仿宋_GB2312"/>
          <w:kern w:val="0"/>
          <w:sz w:val="24"/>
          <w:highlight w:val="none"/>
        </w:rPr>
        <w:t>日</w:t>
      </w:r>
    </w:p>
    <w:p w14:paraId="66F695AC">
      <w:pPr>
        <w:widowControl/>
        <w:tabs>
          <w:tab w:val="left" w:pos="8391"/>
        </w:tabs>
        <w:autoSpaceDE w:val="0"/>
        <w:autoSpaceDN w:val="0"/>
        <w:snapToGrid w:val="0"/>
        <w:spacing w:line="360" w:lineRule="auto"/>
        <w:ind w:right="-69" w:firstLine="840" w:firstLineChars="350"/>
        <w:textAlignment w:val="bottom"/>
        <w:rPr>
          <w:rFonts w:eastAsia="仿宋_GB2312"/>
          <w:kern w:val="0"/>
          <w:sz w:val="24"/>
          <w:highlight w:val="none"/>
        </w:rPr>
      </w:pPr>
    </w:p>
    <w:tbl>
      <w:tblPr>
        <w:tblStyle w:val="6"/>
        <w:tblW w:w="0" w:type="auto"/>
        <w:jc w:val="center"/>
        <w:tblLayout w:type="fixed"/>
        <w:tblCellMar>
          <w:top w:w="0" w:type="dxa"/>
          <w:left w:w="108" w:type="dxa"/>
          <w:bottom w:w="0" w:type="dxa"/>
          <w:right w:w="108" w:type="dxa"/>
        </w:tblCellMar>
      </w:tblPr>
      <w:tblGrid>
        <w:gridCol w:w="4643"/>
        <w:gridCol w:w="4643"/>
      </w:tblGrid>
      <w:tr w14:paraId="3EB5594B">
        <w:tblPrEx>
          <w:tblCellMar>
            <w:top w:w="0" w:type="dxa"/>
            <w:left w:w="108" w:type="dxa"/>
            <w:bottom w:w="0" w:type="dxa"/>
            <w:right w:w="108" w:type="dxa"/>
          </w:tblCellMar>
        </w:tblPrEx>
        <w:trPr>
          <w:jc w:val="center"/>
        </w:trPr>
        <w:tc>
          <w:tcPr>
            <w:tcW w:w="4643" w:type="dxa"/>
            <w:noWrap w:val="0"/>
            <w:vAlign w:val="top"/>
          </w:tcPr>
          <w:p w14:paraId="4C0CFEEE">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甲方名称</w:t>
            </w:r>
            <w:r>
              <w:rPr>
                <w:rFonts w:eastAsia="仿宋_GB2312"/>
                <w:spacing w:val="-20"/>
                <w:kern w:val="0"/>
                <w:sz w:val="24"/>
                <w:highlight w:val="none"/>
              </w:rPr>
              <w:t>（盖章）</w:t>
            </w:r>
            <w:r>
              <w:rPr>
                <w:rFonts w:eastAsia="仿宋_GB2312"/>
                <w:kern w:val="0"/>
                <w:sz w:val="24"/>
                <w:highlight w:val="none"/>
              </w:rPr>
              <w:t>:</w:t>
            </w:r>
          </w:p>
          <w:p w14:paraId="1964F026">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5F5C1B0E">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6764CC8F">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531BBE24">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2EAC727B">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c>
          <w:tcPr>
            <w:tcW w:w="4643" w:type="dxa"/>
            <w:noWrap w:val="0"/>
            <w:vAlign w:val="top"/>
          </w:tcPr>
          <w:p w14:paraId="718D8626">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乙方名称</w:t>
            </w:r>
            <w:r>
              <w:rPr>
                <w:rFonts w:eastAsia="仿宋_GB2312"/>
                <w:spacing w:val="-20"/>
                <w:kern w:val="0"/>
                <w:sz w:val="24"/>
                <w:highlight w:val="none"/>
              </w:rPr>
              <w:t>（盖章）</w:t>
            </w:r>
            <w:r>
              <w:rPr>
                <w:rFonts w:eastAsia="仿宋_GB2312"/>
                <w:kern w:val="0"/>
                <w:sz w:val="24"/>
                <w:highlight w:val="none"/>
              </w:rPr>
              <w:t>:</w:t>
            </w:r>
          </w:p>
          <w:p w14:paraId="71763520">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4FCE0FE1">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058B4BE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1B43BCE5">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70716E8F">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r>
    </w:tbl>
    <w:p w14:paraId="7F2D825E">
      <w:pPr>
        <w:spacing w:line="360" w:lineRule="auto"/>
        <w:rPr>
          <w:rFonts w:eastAsia="仿宋_GB2312"/>
          <w:sz w:val="24"/>
          <w:highlight w:val="none"/>
        </w:rPr>
      </w:pPr>
      <w:r>
        <w:rPr>
          <w:highlight w:val="none"/>
        </w:rPr>
        <w:br w:type="page"/>
      </w:r>
      <w:r>
        <w:rPr>
          <w:rFonts w:eastAsia="仿宋_GB2312"/>
          <w:sz w:val="24"/>
          <w:highlight w:val="none"/>
        </w:rPr>
        <w:t>合同附件：</w:t>
      </w:r>
    </w:p>
    <w:tbl>
      <w:tblPr>
        <w:tblStyle w:val="6"/>
        <w:tblW w:w="5000" w:type="pct"/>
        <w:tblInd w:w="0" w:type="dxa"/>
        <w:tblLayout w:type="autofit"/>
        <w:tblCellMar>
          <w:top w:w="0" w:type="dxa"/>
          <w:left w:w="108" w:type="dxa"/>
          <w:bottom w:w="0" w:type="dxa"/>
          <w:right w:w="108" w:type="dxa"/>
        </w:tblCellMar>
      </w:tblPr>
      <w:tblGrid>
        <w:gridCol w:w="1571"/>
        <w:gridCol w:w="2299"/>
        <w:gridCol w:w="2524"/>
        <w:gridCol w:w="2128"/>
      </w:tblGrid>
      <w:tr w14:paraId="6651CD3E">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1F8CE19C">
            <w:pPr>
              <w:widowControl/>
              <w:jc w:val="center"/>
              <w:rPr>
                <w:b/>
                <w:bCs/>
                <w:kern w:val="0"/>
                <w:sz w:val="32"/>
                <w:szCs w:val="32"/>
                <w:highlight w:val="none"/>
              </w:rPr>
            </w:pPr>
            <w:r>
              <w:rPr>
                <w:rFonts w:eastAsia="方正小标宋简体"/>
                <w:kern w:val="0"/>
                <w:sz w:val="28"/>
                <w:szCs w:val="28"/>
                <w:highlight w:val="none"/>
              </w:rPr>
              <w:t>政府采购项目货物（服务）验收入库报告单</w:t>
            </w:r>
          </w:p>
        </w:tc>
      </w:tr>
      <w:tr w14:paraId="1712C0B3">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4C8C9D0C">
            <w:pPr>
              <w:widowControl/>
              <w:jc w:val="center"/>
              <w:rPr>
                <w:rFonts w:eastAsia="仿宋_GB2312"/>
                <w:kern w:val="0"/>
                <w:sz w:val="24"/>
                <w:highlight w:val="none"/>
              </w:rPr>
            </w:pPr>
            <w:r>
              <w:rPr>
                <w:rFonts w:eastAsia="仿宋_GB2312"/>
                <w:kern w:val="0"/>
                <w:sz w:val="24"/>
                <w:highlight w:val="none"/>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5DA9E81C">
            <w:pPr>
              <w:widowControl/>
              <w:jc w:val="center"/>
              <w:rPr>
                <w:rFonts w:eastAsia="仿宋_GB2312"/>
                <w:kern w:val="0"/>
                <w:sz w:val="24"/>
                <w:highlight w:val="none"/>
              </w:rPr>
            </w:pPr>
            <w:r>
              <w:rPr>
                <w:rFonts w:eastAsia="仿宋_GB2312"/>
                <w:kern w:val="0"/>
                <w:sz w:val="24"/>
                <w:highlight w:val="none"/>
              </w:rPr>
              <w:t>　</w:t>
            </w:r>
          </w:p>
        </w:tc>
      </w:tr>
      <w:tr w14:paraId="26E88C37">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287ACD20">
            <w:pPr>
              <w:widowControl/>
              <w:jc w:val="center"/>
              <w:rPr>
                <w:rFonts w:eastAsia="仿宋_GB2312"/>
                <w:kern w:val="0"/>
                <w:sz w:val="24"/>
                <w:highlight w:val="none"/>
              </w:rPr>
            </w:pPr>
            <w:r>
              <w:rPr>
                <w:rFonts w:eastAsia="仿宋_GB2312"/>
                <w:kern w:val="0"/>
                <w:sz w:val="24"/>
                <w:highlight w:val="none"/>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48FCE308">
            <w:pPr>
              <w:widowControl/>
              <w:jc w:val="center"/>
              <w:rPr>
                <w:rFonts w:eastAsia="仿宋_GB2312"/>
                <w:kern w:val="0"/>
                <w:sz w:val="24"/>
                <w:highlight w:val="none"/>
              </w:rPr>
            </w:pPr>
            <w:r>
              <w:rPr>
                <w:rFonts w:eastAsia="仿宋_GB2312"/>
                <w:kern w:val="0"/>
                <w:sz w:val="24"/>
                <w:highlight w:val="none"/>
              </w:rPr>
              <w:t>　</w:t>
            </w:r>
          </w:p>
        </w:tc>
      </w:tr>
      <w:tr w14:paraId="4CA9199C">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649DC073">
            <w:pPr>
              <w:widowControl/>
              <w:jc w:val="center"/>
              <w:rPr>
                <w:rFonts w:eastAsia="仿宋_GB2312"/>
                <w:kern w:val="0"/>
                <w:sz w:val="24"/>
                <w:highlight w:val="none"/>
              </w:rPr>
            </w:pPr>
            <w:r>
              <w:rPr>
                <w:rFonts w:eastAsia="仿宋_GB2312"/>
                <w:kern w:val="0"/>
                <w:sz w:val="24"/>
                <w:highlight w:val="none"/>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60CBF97D">
            <w:pPr>
              <w:widowControl/>
              <w:jc w:val="center"/>
              <w:rPr>
                <w:rFonts w:eastAsia="仿宋_GB2312"/>
                <w:kern w:val="0"/>
                <w:sz w:val="24"/>
                <w:highlight w:val="none"/>
              </w:rPr>
            </w:pPr>
            <w:r>
              <w:rPr>
                <w:rFonts w:eastAsia="仿宋_GB2312"/>
                <w:kern w:val="0"/>
                <w:sz w:val="24"/>
                <w:highlight w:val="none"/>
              </w:rPr>
              <w:t>　</w:t>
            </w:r>
          </w:p>
        </w:tc>
        <w:tc>
          <w:tcPr>
            <w:tcW w:w="1481" w:type="pct"/>
            <w:tcBorders>
              <w:top w:val="nil"/>
              <w:left w:val="nil"/>
              <w:bottom w:val="single" w:color="auto" w:sz="4" w:space="0"/>
              <w:right w:val="single" w:color="auto" w:sz="4" w:space="0"/>
            </w:tcBorders>
            <w:noWrap/>
            <w:vAlign w:val="center"/>
          </w:tcPr>
          <w:p w14:paraId="5A96395C">
            <w:pPr>
              <w:widowControl/>
              <w:jc w:val="center"/>
              <w:rPr>
                <w:rFonts w:eastAsia="仿宋_GB2312"/>
                <w:kern w:val="0"/>
                <w:sz w:val="24"/>
                <w:highlight w:val="none"/>
              </w:rPr>
            </w:pPr>
            <w:r>
              <w:rPr>
                <w:rFonts w:eastAsia="仿宋_GB2312"/>
                <w:kern w:val="0"/>
                <w:sz w:val="24"/>
                <w:highlight w:val="none"/>
              </w:rPr>
              <w:t>合同金额</w:t>
            </w:r>
          </w:p>
        </w:tc>
        <w:tc>
          <w:tcPr>
            <w:tcW w:w="1248" w:type="pct"/>
            <w:tcBorders>
              <w:top w:val="nil"/>
              <w:left w:val="nil"/>
              <w:bottom w:val="single" w:color="auto" w:sz="4" w:space="0"/>
              <w:right w:val="single" w:color="auto" w:sz="8" w:space="0"/>
            </w:tcBorders>
            <w:noWrap/>
            <w:vAlign w:val="center"/>
          </w:tcPr>
          <w:p w14:paraId="2C053F32">
            <w:pPr>
              <w:widowControl/>
              <w:jc w:val="left"/>
              <w:rPr>
                <w:rFonts w:eastAsia="仿宋_GB2312"/>
                <w:kern w:val="0"/>
                <w:sz w:val="24"/>
                <w:highlight w:val="none"/>
              </w:rPr>
            </w:pPr>
            <w:r>
              <w:rPr>
                <w:rFonts w:eastAsia="仿宋_GB2312"/>
                <w:kern w:val="0"/>
                <w:sz w:val="24"/>
                <w:highlight w:val="none"/>
              </w:rPr>
              <w:t>¥:</w:t>
            </w:r>
          </w:p>
        </w:tc>
      </w:tr>
      <w:tr w14:paraId="2D81E56C">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0F665AE9">
            <w:pPr>
              <w:widowControl/>
              <w:jc w:val="left"/>
              <w:rPr>
                <w:rFonts w:eastAsia="仿宋_GB2312"/>
                <w:kern w:val="0"/>
                <w:sz w:val="24"/>
                <w:highlight w:val="none"/>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0758456C">
            <w:pPr>
              <w:widowControl/>
              <w:jc w:val="left"/>
              <w:rPr>
                <w:rFonts w:eastAsia="仿宋_GB2312"/>
                <w:kern w:val="0"/>
                <w:sz w:val="24"/>
                <w:highlight w:val="none"/>
              </w:rPr>
            </w:pPr>
          </w:p>
        </w:tc>
        <w:tc>
          <w:tcPr>
            <w:tcW w:w="1481" w:type="pct"/>
            <w:tcBorders>
              <w:top w:val="nil"/>
              <w:left w:val="nil"/>
              <w:bottom w:val="single" w:color="auto" w:sz="4" w:space="0"/>
              <w:right w:val="single" w:color="auto" w:sz="4" w:space="0"/>
            </w:tcBorders>
            <w:noWrap/>
            <w:vAlign w:val="center"/>
          </w:tcPr>
          <w:p w14:paraId="5D7B1F11">
            <w:pPr>
              <w:widowControl/>
              <w:jc w:val="center"/>
              <w:rPr>
                <w:rFonts w:eastAsia="仿宋_GB2312"/>
                <w:kern w:val="0"/>
                <w:sz w:val="24"/>
                <w:highlight w:val="none"/>
              </w:rPr>
            </w:pPr>
            <w:r>
              <w:rPr>
                <w:rFonts w:eastAsia="仿宋_GB2312"/>
                <w:kern w:val="0"/>
                <w:sz w:val="24"/>
                <w:highlight w:val="none"/>
              </w:rPr>
              <w:t>验收时间/地点</w:t>
            </w:r>
          </w:p>
        </w:tc>
        <w:tc>
          <w:tcPr>
            <w:tcW w:w="1248" w:type="pct"/>
            <w:tcBorders>
              <w:top w:val="nil"/>
              <w:left w:val="nil"/>
              <w:bottom w:val="single" w:color="auto" w:sz="4" w:space="0"/>
              <w:right w:val="single" w:color="auto" w:sz="8" w:space="0"/>
            </w:tcBorders>
            <w:noWrap/>
            <w:vAlign w:val="center"/>
          </w:tcPr>
          <w:p w14:paraId="77B7D461">
            <w:pPr>
              <w:widowControl/>
              <w:jc w:val="center"/>
              <w:rPr>
                <w:rFonts w:eastAsia="仿宋_GB2312"/>
                <w:kern w:val="0"/>
                <w:sz w:val="24"/>
                <w:highlight w:val="none"/>
              </w:rPr>
            </w:pPr>
            <w:r>
              <w:rPr>
                <w:rFonts w:eastAsia="仿宋_GB2312"/>
                <w:kern w:val="0"/>
                <w:sz w:val="24"/>
                <w:highlight w:val="none"/>
              </w:rPr>
              <w:t>　</w:t>
            </w:r>
          </w:p>
        </w:tc>
      </w:tr>
      <w:tr w14:paraId="00781DC0">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5B69605B">
            <w:pPr>
              <w:widowControl/>
              <w:jc w:val="center"/>
              <w:rPr>
                <w:rFonts w:eastAsia="仿宋_GB2312"/>
                <w:kern w:val="0"/>
                <w:sz w:val="24"/>
                <w:highlight w:val="none"/>
              </w:rPr>
            </w:pPr>
            <w:r>
              <w:rPr>
                <w:rFonts w:eastAsia="仿宋_GB2312"/>
                <w:kern w:val="0"/>
                <w:sz w:val="24"/>
                <w:highlight w:val="none"/>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6599D8CD">
            <w:pPr>
              <w:widowControl/>
              <w:jc w:val="center"/>
              <w:rPr>
                <w:rFonts w:eastAsia="仿宋_GB2312"/>
                <w:kern w:val="0"/>
                <w:sz w:val="24"/>
                <w:highlight w:val="none"/>
              </w:rPr>
            </w:pPr>
            <w:r>
              <w:rPr>
                <w:rFonts w:eastAsia="仿宋_GB2312"/>
                <w:kern w:val="0"/>
                <w:sz w:val="24"/>
                <w:highlight w:val="none"/>
              </w:rPr>
              <w:t>　</w:t>
            </w:r>
          </w:p>
        </w:tc>
      </w:tr>
      <w:tr w14:paraId="03EF4407">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7E992D2">
            <w:pPr>
              <w:widowControl/>
              <w:jc w:val="center"/>
              <w:rPr>
                <w:rFonts w:eastAsia="仿宋_GB2312"/>
                <w:kern w:val="0"/>
                <w:sz w:val="24"/>
                <w:highlight w:val="none"/>
              </w:rPr>
            </w:pPr>
            <w:r>
              <w:rPr>
                <w:rFonts w:eastAsia="仿宋_GB2312"/>
                <w:kern w:val="0"/>
                <w:sz w:val="24"/>
                <w:highlight w:val="none"/>
              </w:rPr>
              <w:t>开户行</w:t>
            </w:r>
          </w:p>
        </w:tc>
        <w:tc>
          <w:tcPr>
            <w:tcW w:w="1349" w:type="pct"/>
            <w:tcBorders>
              <w:top w:val="nil"/>
              <w:left w:val="nil"/>
              <w:bottom w:val="single" w:color="auto" w:sz="4" w:space="0"/>
              <w:right w:val="single" w:color="auto" w:sz="4" w:space="0"/>
            </w:tcBorders>
            <w:noWrap/>
            <w:vAlign w:val="center"/>
          </w:tcPr>
          <w:p w14:paraId="5FD22254">
            <w:pPr>
              <w:widowControl/>
              <w:jc w:val="center"/>
              <w:rPr>
                <w:rFonts w:eastAsia="仿宋_GB2312"/>
                <w:kern w:val="0"/>
                <w:sz w:val="24"/>
                <w:highlight w:val="none"/>
              </w:rPr>
            </w:pPr>
            <w:r>
              <w:rPr>
                <w:rFonts w:eastAsia="仿宋_GB2312"/>
                <w:kern w:val="0"/>
                <w:sz w:val="24"/>
                <w:highlight w:val="none"/>
              </w:rPr>
              <w:t>　</w:t>
            </w:r>
          </w:p>
        </w:tc>
        <w:tc>
          <w:tcPr>
            <w:tcW w:w="1481" w:type="pct"/>
            <w:tcBorders>
              <w:top w:val="nil"/>
              <w:left w:val="nil"/>
              <w:bottom w:val="single" w:color="auto" w:sz="4" w:space="0"/>
              <w:right w:val="single" w:color="auto" w:sz="4" w:space="0"/>
            </w:tcBorders>
            <w:noWrap/>
            <w:vAlign w:val="center"/>
          </w:tcPr>
          <w:p w14:paraId="3604C9E6">
            <w:pPr>
              <w:widowControl/>
              <w:jc w:val="center"/>
              <w:rPr>
                <w:rFonts w:eastAsia="仿宋_GB2312"/>
                <w:kern w:val="0"/>
                <w:sz w:val="24"/>
                <w:highlight w:val="none"/>
              </w:rPr>
            </w:pPr>
            <w:r>
              <w:rPr>
                <w:rFonts w:eastAsia="仿宋_GB2312"/>
                <w:kern w:val="0"/>
                <w:sz w:val="24"/>
                <w:highlight w:val="none"/>
              </w:rPr>
              <w:t>账号</w:t>
            </w:r>
          </w:p>
        </w:tc>
        <w:tc>
          <w:tcPr>
            <w:tcW w:w="1248" w:type="pct"/>
            <w:tcBorders>
              <w:top w:val="nil"/>
              <w:left w:val="nil"/>
              <w:bottom w:val="single" w:color="auto" w:sz="4" w:space="0"/>
              <w:right w:val="single" w:color="auto" w:sz="8" w:space="0"/>
            </w:tcBorders>
            <w:noWrap/>
            <w:vAlign w:val="center"/>
          </w:tcPr>
          <w:p w14:paraId="3EC5D1A0">
            <w:pPr>
              <w:widowControl/>
              <w:jc w:val="center"/>
              <w:rPr>
                <w:rFonts w:eastAsia="仿宋_GB2312"/>
                <w:kern w:val="0"/>
                <w:sz w:val="24"/>
                <w:highlight w:val="none"/>
              </w:rPr>
            </w:pPr>
            <w:r>
              <w:rPr>
                <w:rFonts w:eastAsia="仿宋_GB2312"/>
                <w:kern w:val="0"/>
                <w:sz w:val="24"/>
                <w:highlight w:val="none"/>
              </w:rPr>
              <w:t>　</w:t>
            </w:r>
          </w:p>
        </w:tc>
      </w:tr>
      <w:tr w14:paraId="71FC87D0">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181D1CE3">
            <w:pPr>
              <w:widowControl/>
              <w:jc w:val="center"/>
              <w:rPr>
                <w:rFonts w:eastAsia="仿宋_GB2312"/>
                <w:kern w:val="0"/>
                <w:sz w:val="24"/>
                <w:highlight w:val="none"/>
              </w:rPr>
            </w:pPr>
            <w:r>
              <w:rPr>
                <w:rFonts w:eastAsia="仿宋_GB2312"/>
                <w:kern w:val="0"/>
                <w:sz w:val="24"/>
                <w:highlight w:val="none"/>
              </w:rPr>
              <w:t>联系人</w:t>
            </w:r>
          </w:p>
        </w:tc>
        <w:tc>
          <w:tcPr>
            <w:tcW w:w="1349" w:type="pct"/>
            <w:tcBorders>
              <w:top w:val="nil"/>
              <w:left w:val="nil"/>
              <w:bottom w:val="nil"/>
              <w:right w:val="single" w:color="auto" w:sz="4" w:space="0"/>
            </w:tcBorders>
            <w:noWrap/>
            <w:vAlign w:val="center"/>
          </w:tcPr>
          <w:p w14:paraId="7E7FCE4C">
            <w:pPr>
              <w:widowControl/>
              <w:jc w:val="center"/>
              <w:rPr>
                <w:rFonts w:eastAsia="仿宋_GB2312"/>
                <w:kern w:val="0"/>
                <w:sz w:val="24"/>
                <w:highlight w:val="none"/>
              </w:rPr>
            </w:pPr>
            <w:r>
              <w:rPr>
                <w:rFonts w:eastAsia="仿宋_GB2312"/>
                <w:kern w:val="0"/>
                <w:sz w:val="24"/>
                <w:highlight w:val="none"/>
              </w:rPr>
              <w:t>　</w:t>
            </w:r>
          </w:p>
        </w:tc>
        <w:tc>
          <w:tcPr>
            <w:tcW w:w="1481" w:type="pct"/>
            <w:tcBorders>
              <w:top w:val="nil"/>
              <w:left w:val="nil"/>
              <w:bottom w:val="nil"/>
              <w:right w:val="single" w:color="auto" w:sz="4" w:space="0"/>
            </w:tcBorders>
            <w:noWrap/>
            <w:vAlign w:val="center"/>
          </w:tcPr>
          <w:p w14:paraId="16E37340">
            <w:pPr>
              <w:widowControl/>
              <w:jc w:val="center"/>
              <w:rPr>
                <w:rFonts w:eastAsia="仿宋_GB2312"/>
                <w:kern w:val="0"/>
                <w:sz w:val="24"/>
                <w:highlight w:val="none"/>
              </w:rPr>
            </w:pPr>
            <w:r>
              <w:rPr>
                <w:rFonts w:eastAsia="仿宋_GB2312"/>
                <w:kern w:val="0"/>
                <w:sz w:val="24"/>
                <w:highlight w:val="none"/>
              </w:rPr>
              <w:t>电话</w:t>
            </w:r>
          </w:p>
        </w:tc>
        <w:tc>
          <w:tcPr>
            <w:tcW w:w="1248" w:type="pct"/>
            <w:tcBorders>
              <w:top w:val="nil"/>
              <w:left w:val="nil"/>
              <w:bottom w:val="nil"/>
              <w:right w:val="single" w:color="auto" w:sz="8" w:space="0"/>
            </w:tcBorders>
            <w:noWrap/>
            <w:vAlign w:val="center"/>
          </w:tcPr>
          <w:p w14:paraId="797B2D7E">
            <w:pPr>
              <w:widowControl/>
              <w:jc w:val="center"/>
              <w:rPr>
                <w:rFonts w:eastAsia="仿宋_GB2312"/>
                <w:kern w:val="0"/>
                <w:sz w:val="24"/>
                <w:highlight w:val="none"/>
              </w:rPr>
            </w:pPr>
            <w:r>
              <w:rPr>
                <w:rFonts w:eastAsia="仿宋_GB2312"/>
                <w:kern w:val="0"/>
                <w:sz w:val="24"/>
                <w:highlight w:val="none"/>
              </w:rPr>
              <w:t>　</w:t>
            </w:r>
          </w:p>
        </w:tc>
      </w:tr>
      <w:tr w14:paraId="1605B6AD">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019DE169">
            <w:pPr>
              <w:widowControl/>
              <w:jc w:val="left"/>
              <w:rPr>
                <w:rFonts w:eastAsia="仿宋_GB2312"/>
                <w:kern w:val="0"/>
                <w:sz w:val="24"/>
                <w:highlight w:val="none"/>
              </w:rPr>
            </w:pPr>
            <w:r>
              <w:rPr>
                <w:rFonts w:eastAsia="仿宋_GB2312"/>
                <w:kern w:val="0"/>
                <w:sz w:val="24"/>
                <w:highlight w:val="none"/>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5BF37CA2">
            <w:pPr>
              <w:widowControl/>
              <w:jc w:val="left"/>
              <w:rPr>
                <w:rFonts w:eastAsia="仿宋_GB2312"/>
                <w:kern w:val="0"/>
                <w:sz w:val="24"/>
                <w:highlight w:val="none"/>
              </w:rPr>
            </w:pPr>
            <w:r>
              <w:rPr>
                <w:rFonts w:eastAsia="仿宋_GB2312"/>
                <w:kern w:val="0"/>
                <w:sz w:val="24"/>
                <w:highlight w:val="none"/>
              </w:rPr>
              <w:t xml:space="preserve">   使用单位验收意见：（盖章）</w:t>
            </w:r>
          </w:p>
          <w:p w14:paraId="297B7EC1">
            <w:pPr>
              <w:rPr>
                <w:rFonts w:eastAsia="仿宋_GB2312"/>
                <w:sz w:val="24"/>
                <w:highlight w:val="none"/>
              </w:rPr>
            </w:pPr>
          </w:p>
        </w:tc>
      </w:tr>
      <w:tr w14:paraId="2A4E2869">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5BED9D43">
            <w:pPr>
              <w:widowControl/>
              <w:jc w:val="center"/>
              <w:rPr>
                <w:rFonts w:eastAsia="仿宋_GB2312"/>
                <w:kern w:val="0"/>
                <w:sz w:val="24"/>
                <w:highlight w:val="none"/>
              </w:rPr>
            </w:pPr>
            <w:r>
              <w:rPr>
                <w:rFonts w:eastAsia="仿宋_GB2312"/>
                <w:kern w:val="0"/>
                <w:sz w:val="24"/>
                <w:highlight w:val="none"/>
              </w:rPr>
              <w:t xml:space="preserve"> 签字：</w:t>
            </w:r>
          </w:p>
        </w:tc>
        <w:tc>
          <w:tcPr>
            <w:tcW w:w="1349" w:type="pct"/>
            <w:tcBorders>
              <w:top w:val="nil"/>
              <w:left w:val="nil"/>
              <w:bottom w:val="nil"/>
              <w:right w:val="nil"/>
            </w:tcBorders>
            <w:noWrap/>
            <w:vAlign w:val="center"/>
          </w:tcPr>
          <w:p w14:paraId="6A2BE28F">
            <w:pPr>
              <w:widowControl/>
              <w:jc w:val="center"/>
              <w:rPr>
                <w:rFonts w:eastAsia="仿宋_GB2312"/>
                <w:kern w:val="0"/>
                <w:sz w:val="24"/>
                <w:highlight w:val="none"/>
              </w:rPr>
            </w:pPr>
          </w:p>
        </w:tc>
        <w:tc>
          <w:tcPr>
            <w:tcW w:w="1481" w:type="pct"/>
            <w:tcBorders>
              <w:top w:val="nil"/>
              <w:left w:val="single" w:color="auto" w:sz="4" w:space="0"/>
              <w:bottom w:val="nil"/>
              <w:right w:val="nil"/>
            </w:tcBorders>
            <w:noWrap/>
            <w:vAlign w:val="center"/>
          </w:tcPr>
          <w:p w14:paraId="65E8902C">
            <w:pPr>
              <w:widowControl/>
              <w:jc w:val="center"/>
              <w:rPr>
                <w:rFonts w:eastAsia="仿宋_GB2312"/>
                <w:kern w:val="0"/>
                <w:sz w:val="24"/>
                <w:highlight w:val="none"/>
              </w:rPr>
            </w:pPr>
            <w:r>
              <w:rPr>
                <w:rFonts w:eastAsia="仿宋_GB2312"/>
                <w:kern w:val="0"/>
                <w:sz w:val="24"/>
                <w:highlight w:val="none"/>
              </w:rPr>
              <w:t>签字：</w:t>
            </w:r>
          </w:p>
        </w:tc>
        <w:tc>
          <w:tcPr>
            <w:tcW w:w="1248" w:type="pct"/>
            <w:tcBorders>
              <w:top w:val="nil"/>
              <w:left w:val="nil"/>
              <w:bottom w:val="nil"/>
              <w:right w:val="single" w:color="auto" w:sz="8" w:space="0"/>
            </w:tcBorders>
            <w:noWrap w:val="0"/>
            <w:vAlign w:val="top"/>
          </w:tcPr>
          <w:p w14:paraId="1585DEAC">
            <w:pPr>
              <w:widowControl/>
              <w:jc w:val="left"/>
              <w:rPr>
                <w:rFonts w:eastAsia="仿宋_GB2312"/>
                <w:kern w:val="0"/>
                <w:sz w:val="24"/>
                <w:highlight w:val="none"/>
              </w:rPr>
            </w:pPr>
            <w:r>
              <w:rPr>
                <w:rFonts w:eastAsia="仿宋_GB2312"/>
                <w:kern w:val="0"/>
                <w:sz w:val="24"/>
                <w:highlight w:val="none"/>
              </w:rPr>
              <w:t>　</w:t>
            </w:r>
          </w:p>
        </w:tc>
      </w:tr>
      <w:tr w14:paraId="7ECA5F88">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18BDFAE2">
            <w:pPr>
              <w:widowControl/>
              <w:jc w:val="left"/>
              <w:rPr>
                <w:rFonts w:eastAsia="仿宋_GB2312"/>
                <w:kern w:val="0"/>
                <w:sz w:val="22"/>
                <w:szCs w:val="22"/>
                <w:highlight w:val="none"/>
              </w:rPr>
            </w:pPr>
            <w:r>
              <w:rPr>
                <w:rFonts w:eastAsia="仿宋_GB2312"/>
                <w:kern w:val="0"/>
                <w:sz w:val="22"/>
                <w:szCs w:val="22"/>
                <w:highlight w:val="none"/>
              </w:rPr>
              <w:t>　</w:t>
            </w:r>
          </w:p>
        </w:tc>
        <w:tc>
          <w:tcPr>
            <w:tcW w:w="1349" w:type="pct"/>
            <w:tcBorders>
              <w:top w:val="nil"/>
              <w:left w:val="nil"/>
              <w:bottom w:val="single" w:color="auto" w:sz="4" w:space="0"/>
              <w:right w:val="nil"/>
            </w:tcBorders>
            <w:noWrap w:val="0"/>
            <w:vAlign w:val="bottom"/>
          </w:tcPr>
          <w:p w14:paraId="447C6EBA">
            <w:pPr>
              <w:widowControl/>
              <w:jc w:val="right"/>
              <w:rPr>
                <w:rFonts w:eastAsia="仿宋_GB2312"/>
                <w:kern w:val="0"/>
                <w:sz w:val="22"/>
                <w:szCs w:val="22"/>
                <w:highlight w:val="none"/>
              </w:rPr>
            </w:pPr>
            <w:r>
              <w:rPr>
                <w:rFonts w:eastAsia="仿宋_GB2312"/>
                <w:kern w:val="0"/>
                <w:sz w:val="22"/>
                <w:szCs w:val="22"/>
                <w:highlight w:val="none"/>
              </w:rPr>
              <w:t>年     月   日</w:t>
            </w:r>
          </w:p>
        </w:tc>
        <w:tc>
          <w:tcPr>
            <w:tcW w:w="1481" w:type="pct"/>
            <w:tcBorders>
              <w:top w:val="nil"/>
              <w:left w:val="single" w:color="auto" w:sz="4" w:space="0"/>
              <w:bottom w:val="single" w:color="auto" w:sz="4" w:space="0"/>
              <w:right w:val="nil"/>
            </w:tcBorders>
            <w:noWrap/>
            <w:vAlign w:val="center"/>
          </w:tcPr>
          <w:p w14:paraId="52ED35FC">
            <w:pPr>
              <w:widowControl/>
              <w:jc w:val="left"/>
              <w:rPr>
                <w:rFonts w:eastAsia="仿宋_GB2312"/>
                <w:kern w:val="0"/>
                <w:sz w:val="22"/>
                <w:szCs w:val="22"/>
                <w:highlight w:val="none"/>
              </w:rPr>
            </w:pPr>
            <w:r>
              <w:rPr>
                <w:rFonts w:eastAsia="仿宋_GB2312"/>
                <w:kern w:val="0"/>
                <w:sz w:val="22"/>
                <w:szCs w:val="22"/>
                <w:highlight w:val="none"/>
              </w:rPr>
              <w:t>　</w:t>
            </w:r>
          </w:p>
        </w:tc>
        <w:tc>
          <w:tcPr>
            <w:tcW w:w="1248" w:type="pct"/>
            <w:tcBorders>
              <w:top w:val="nil"/>
              <w:left w:val="nil"/>
              <w:bottom w:val="single" w:color="auto" w:sz="4" w:space="0"/>
              <w:right w:val="single" w:color="auto" w:sz="8" w:space="0"/>
            </w:tcBorders>
            <w:noWrap w:val="0"/>
            <w:vAlign w:val="bottom"/>
          </w:tcPr>
          <w:p w14:paraId="19D7953A">
            <w:pPr>
              <w:widowControl/>
              <w:jc w:val="right"/>
              <w:rPr>
                <w:rFonts w:eastAsia="仿宋_GB2312"/>
                <w:kern w:val="0"/>
                <w:sz w:val="22"/>
                <w:szCs w:val="22"/>
                <w:highlight w:val="none"/>
              </w:rPr>
            </w:pPr>
            <w:r>
              <w:rPr>
                <w:rFonts w:eastAsia="仿宋_GB2312"/>
                <w:kern w:val="0"/>
                <w:sz w:val="22"/>
                <w:szCs w:val="22"/>
                <w:highlight w:val="none"/>
              </w:rPr>
              <w:t>年   月   日</w:t>
            </w:r>
          </w:p>
        </w:tc>
      </w:tr>
      <w:tr w14:paraId="01228AB0">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65F07288">
            <w:pPr>
              <w:widowControl/>
              <w:jc w:val="center"/>
              <w:rPr>
                <w:rFonts w:eastAsia="仿宋_GB2312"/>
                <w:kern w:val="0"/>
                <w:sz w:val="22"/>
                <w:szCs w:val="22"/>
                <w:highlight w:val="none"/>
              </w:rPr>
            </w:pPr>
            <w:r>
              <w:rPr>
                <w:rFonts w:eastAsia="仿宋_GB2312"/>
                <w:kern w:val="0"/>
                <w:sz w:val="22"/>
                <w:szCs w:val="22"/>
                <w:highlight w:val="none"/>
              </w:rPr>
              <w:t>采购内容</w:t>
            </w:r>
          </w:p>
        </w:tc>
      </w:tr>
      <w:tr w14:paraId="08A9EA83">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32C274D0">
            <w:pPr>
              <w:widowControl/>
              <w:jc w:val="center"/>
              <w:rPr>
                <w:rFonts w:eastAsia="仿宋_GB2312"/>
                <w:kern w:val="0"/>
                <w:sz w:val="28"/>
                <w:szCs w:val="28"/>
                <w:highlight w:val="none"/>
              </w:rPr>
            </w:pPr>
            <w:r>
              <w:rPr>
                <w:rFonts w:eastAsia="仿宋_GB2312"/>
                <w:kern w:val="0"/>
                <w:sz w:val="28"/>
                <w:szCs w:val="28"/>
                <w:highlight w:val="none"/>
              </w:rPr>
              <w:t>采购内容请列明品目、规格、型号、数量、单价、总价</w:t>
            </w:r>
          </w:p>
        </w:tc>
      </w:tr>
    </w:tbl>
    <w:p w14:paraId="71C9AEED">
      <w:pPr>
        <w:rPr>
          <w:color w:val="auto"/>
          <w:highlight w:val="none"/>
        </w:rPr>
      </w:pPr>
    </w:p>
    <w:p w14:paraId="216291E7">
      <w:pPr>
        <w:rPr>
          <w:highlight w:val="none"/>
        </w:rPr>
      </w:pPr>
    </w:p>
    <w:p w14:paraId="1F53087D">
      <w:pPr>
        <w:rPr>
          <w:highlight w:val="none"/>
        </w:rPr>
      </w:pPr>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E8C166FD-7895-4CC0-B545-FC94753CA646}"/>
  </w:font>
  <w:font w:name="仿宋_GB2312">
    <w:panose1 w:val="02010609030101010101"/>
    <w:charset w:val="86"/>
    <w:family w:val="auto"/>
    <w:pitch w:val="default"/>
    <w:sig w:usb0="00000001" w:usb1="080E0000" w:usb2="00000000" w:usb3="00000000" w:csb0="00040000" w:csb1="00000000"/>
    <w:embedRegular r:id="rId2" w:fontKey="{99658D9A-6C4B-4162-A80C-78F94BDF0521}"/>
  </w:font>
  <w:font w:name="方正小标宋简体">
    <w:panose1 w:val="02000000000000000000"/>
    <w:charset w:val="86"/>
    <w:family w:val="script"/>
    <w:pitch w:val="default"/>
    <w:sig w:usb0="00000001" w:usb1="08000000" w:usb2="00000000" w:usb3="00000000" w:csb0="00040000" w:csb1="00000000"/>
    <w:embedRegular r:id="rId3" w:fontKey="{6C4B5BE9-E481-4B55-80BE-309BC8A1AA6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22D5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B2690E">
                          <w:pPr>
                            <w:pStyle w:val="4"/>
                          </w:pPr>
                          <w:r>
                            <w:t xml:space="preserve">第 </w:t>
                          </w:r>
                          <w:r>
                            <w:fldChar w:fldCharType="begin"/>
                          </w:r>
                          <w:r>
                            <w:instrText xml:space="preserve"> PAGE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2B2690E">
                    <w:pPr>
                      <w:pStyle w:val="4"/>
                    </w:pPr>
                    <w:r>
                      <w:t xml:space="preserve">第 </w:t>
                    </w:r>
                    <w:r>
                      <w:fldChar w:fldCharType="begin"/>
                    </w:r>
                    <w:r>
                      <w:instrText xml:space="preserve"> PAGE  \* MERGEFORMAT </w:instrText>
                    </w:r>
                    <w:r>
                      <w:fldChar w:fldCharType="separate"/>
                    </w:r>
                    <w:r>
                      <w:t>31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0C99A">
    <w:pPr>
      <w:pStyle w:val="4"/>
      <w:framePr w:wrap="around" w:vAnchor="text" w:hAnchor="margin" w:xAlign="center" w:y="1"/>
    </w:pPr>
    <w:r>
      <w:rPr>
        <w:rStyle w:val="9"/>
      </w:rPr>
      <w:fldChar w:fldCharType="begin"/>
    </w:r>
    <w:r>
      <w:rPr>
        <w:rStyle w:val="9"/>
      </w:rPr>
      <w:instrText xml:space="preserve">Page</w:instrText>
    </w:r>
    <w:r>
      <w:rPr>
        <w:rStyle w:val="9"/>
      </w:rPr>
      <w:fldChar w:fldCharType="separate"/>
    </w:r>
    <w:r>
      <w:rPr>
        <w:rStyle w:val="9"/>
      </w:rPr>
      <w:t>1</w:t>
    </w:r>
    <w:r>
      <w:rPr>
        <w:rStyle w:val="9"/>
      </w:rPr>
      <w:fldChar w:fldCharType="end"/>
    </w:r>
  </w:p>
  <w:p w14:paraId="17808880">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A6A21">
    <w:pPr>
      <w:pStyle w:val="4"/>
      <w:framePr w:wrap="around" w:vAnchor="text" w:hAnchor="margin" w:xAlign="center" w:y="1"/>
    </w:pPr>
    <w:r>
      <w:rPr>
        <w:rStyle w:val="9"/>
      </w:rPr>
      <w:fldChar w:fldCharType="begin"/>
    </w:r>
    <w:r>
      <w:rPr>
        <w:rStyle w:val="9"/>
      </w:rPr>
      <w:instrText xml:space="preserve">Page</w:instrText>
    </w:r>
    <w:r>
      <w:rPr>
        <w:rStyle w:val="9"/>
      </w:rPr>
      <w:fldChar w:fldCharType="separate"/>
    </w:r>
    <w:r>
      <w:rPr>
        <w:rStyle w:val="9"/>
      </w:rPr>
      <w:t>1</w:t>
    </w:r>
    <w:r>
      <w:rPr>
        <w:rStyle w:val="9"/>
      </w:rPr>
      <w:fldChar w:fldCharType="end"/>
    </w:r>
  </w:p>
  <w:p w14:paraId="202979C3">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ED359">
    <w:pPr>
      <w:pStyle w:val="4"/>
      <w:rPr>
        <w:rFonts w:hint="eastAsia" w:eastAsia="宋体"/>
        <w:lang w:val="en-US" w:eastAsia="zh-CN"/>
      </w:rPr>
    </w:pPr>
    <w:r>
      <w:rPr>
        <w:rFonts w:hint="eastAsia" w:eastAsia="宋体"/>
        <w:lang w:val="en-US" w:eastAsia="zh-CN"/>
      </w:rPr>
      <w:t xml:space="preserve">                                              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F2A4E">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70239"/>
    <w:multiLevelType w:val="multilevel"/>
    <w:tmpl w:val="AA570239"/>
    <w:lvl w:ilvl="0" w:tentative="0">
      <w:start w:val="1"/>
      <w:numFmt w:val="chineseCounting"/>
      <w:suff w:val="nothing"/>
      <w:lvlText w:val="第%1章 "/>
      <w:lvlJc w:val="left"/>
      <w:pPr>
        <w:tabs>
          <w:tab w:val="left" w:pos="420"/>
        </w:tabs>
        <w:ind w:left="425" w:hanging="425"/>
      </w:pPr>
      <w:rPr>
        <w:rFonts w:hint="eastAsia" w:ascii="宋体" w:hAnsi="宋体" w:eastAsia="宋体" w:cs="宋体"/>
      </w:rPr>
    </w:lvl>
    <w:lvl w:ilvl="1" w:tentative="0">
      <w:start w:val="1"/>
      <w:numFmt w:val="decimal"/>
      <w:isLgl/>
      <w:lvlText w:val="%1.%2."/>
      <w:lvlJc w:val="left"/>
      <w:pPr>
        <w:tabs>
          <w:tab w:val="left" w:pos="420"/>
        </w:tabs>
        <w:ind w:left="567" w:hanging="567"/>
      </w:pPr>
      <w:rPr>
        <w:rFonts w:hint="eastAsia" w:ascii="宋体" w:hAnsi="宋体" w:eastAsia="宋体" w:cs="宋体"/>
      </w:rPr>
    </w:lvl>
    <w:lvl w:ilvl="2" w:tentative="0">
      <w:start w:val="1"/>
      <w:numFmt w:val="decimal"/>
      <w:isLgl/>
      <w:lvlText w:val="%1.%2.%3."/>
      <w:lvlJc w:val="left"/>
      <w:pPr>
        <w:ind w:left="709" w:hanging="709"/>
      </w:pPr>
      <w:rPr>
        <w:rFonts w:hint="eastAsia" w:ascii="宋体" w:hAnsi="宋体" w:eastAsia="宋体" w:cs="宋体"/>
      </w:rPr>
    </w:lvl>
    <w:lvl w:ilvl="3" w:tentative="0">
      <w:start w:val="1"/>
      <w:numFmt w:val="decimal"/>
      <w:pStyle w:val="2"/>
      <w:isLgl/>
      <w:lvlText w:val="%1.%2.%3.%4."/>
      <w:lvlJc w:val="left"/>
      <w:pPr>
        <w:ind w:left="850" w:hanging="850"/>
      </w:pPr>
      <w:rPr>
        <w:rFonts w:hint="eastAsia" w:ascii="宋体" w:hAnsi="宋体" w:eastAsia="宋体" w:cs="宋体"/>
      </w:rPr>
    </w:lvl>
    <w:lvl w:ilvl="4" w:tentative="0">
      <w:start w:val="1"/>
      <w:numFmt w:val="decimal"/>
      <w:isLgl/>
      <w:lvlText w:val="%1.%2.%3.%4.%5."/>
      <w:lvlJc w:val="left"/>
      <w:pPr>
        <w:ind w:left="991" w:hanging="991"/>
      </w:pPr>
      <w:rPr>
        <w:rFonts w:hint="eastAsia" w:ascii="宋体" w:hAnsi="宋体" w:eastAsia="宋体" w:cs="宋体"/>
      </w:rPr>
    </w:lvl>
    <w:lvl w:ilvl="5" w:tentative="0">
      <w:start w:val="1"/>
      <w:numFmt w:val="decimal"/>
      <w:isLgl/>
      <w:lvlText w:val="%1.%2.%3.%4.%5.%6."/>
      <w:lvlJc w:val="left"/>
      <w:pPr>
        <w:ind w:left="1134" w:hanging="1134"/>
      </w:pPr>
      <w:rPr>
        <w:rFonts w:hint="eastAsia" w:ascii="宋体" w:hAnsi="宋体" w:eastAsia="宋体" w:cs="宋体"/>
      </w:rPr>
    </w:lvl>
    <w:lvl w:ilvl="6" w:tentative="0">
      <w:start w:val="1"/>
      <w:numFmt w:val="decimal"/>
      <w:isLgl/>
      <w:lvlText w:val="%1.%2.%3.%4.%5.%6.%7."/>
      <w:lvlJc w:val="left"/>
      <w:pPr>
        <w:ind w:left="1275" w:hanging="1275"/>
      </w:pPr>
      <w:rPr>
        <w:rFonts w:hint="eastAsia" w:ascii="宋体" w:hAnsi="宋体" w:eastAsia="宋体" w:cs="宋体"/>
      </w:rPr>
    </w:lvl>
    <w:lvl w:ilvl="7" w:tentative="0">
      <w:start w:val="1"/>
      <w:numFmt w:val="decimal"/>
      <w:isLgl/>
      <w:lvlText w:val="%1.%2.%3.%4.%5.%6.%7.%8."/>
      <w:lvlJc w:val="left"/>
      <w:pPr>
        <w:ind w:left="1418" w:hanging="1418"/>
      </w:pPr>
      <w:rPr>
        <w:rFonts w:hint="eastAsia" w:ascii="宋体" w:hAnsi="宋体" w:eastAsia="宋体" w:cs="宋体"/>
      </w:rPr>
    </w:lvl>
    <w:lvl w:ilvl="8" w:tentative="0">
      <w:start w:val="1"/>
      <w:numFmt w:val="decimal"/>
      <w:isLgl/>
      <w:lvlText w:val="%1.%2.%3.%4.%5.%6.%7.%8.%9."/>
      <w:lvlJc w:val="left"/>
      <w:pPr>
        <w:ind w:left="1558" w:hanging="1558"/>
      </w:pPr>
      <w:rPr>
        <w:rFonts w:hint="eastAsia" w:ascii="宋体" w:hAnsi="宋体" w:eastAsia="宋体" w:cs="宋体"/>
      </w:rPr>
    </w:lvl>
  </w:abstractNum>
  <w:abstractNum w:abstractNumId="1">
    <w:nsid w:val="AF1557E5"/>
    <w:multiLevelType w:val="singleLevel"/>
    <w:tmpl w:val="AF1557E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590CB0"/>
    <w:rsid w:val="001708BD"/>
    <w:rsid w:val="001D29EF"/>
    <w:rsid w:val="0027208F"/>
    <w:rsid w:val="00517E3D"/>
    <w:rsid w:val="005B24FB"/>
    <w:rsid w:val="00675DCB"/>
    <w:rsid w:val="006F0DCC"/>
    <w:rsid w:val="00754865"/>
    <w:rsid w:val="007F1817"/>
    <w:rsid w:val="00917E41"/>
    <w:rsid w:val="0098714E"/>
    <w:rsid w:val="009E2330"/>
    <w:rsid w:val="00A24990"/>
    <w:rsid w:val="00AD3653"/>
    <w:rsid w:val="00BB22CD"/>
    <w:rsid w:val="00D30752"/>
    <w:rsid w:val="00F2340F"/>
    <w:rsid w:val="00FB1C5F"/>
    <w:rsid w:val="0183488E"/>
    <w:rsid w:val="021B2AE5"/>
    <w:rsid w:val="033425B1"/>
    <w:rsid w:val="08030185"/>
    <w:rsid w:val="0B754EF6"/>
    <w:rsid w:val="120058C0"/>
    <w:rsid w:val="123C0B04"/>
    <w:rsid w:val="16F92E7F"/>
    <w:rsid w:val="170D7083"/>
    <w:rsid w:val="174116A4"/>
    <w:rsid w:val="174165D4"/>
    <w:rsid w:val="18893D8F"/>
    <w:rsid w:val="18EB1481"/>
    <w:rsid w:val="190B21D4"/>
    <w:rsid w:val="1ADB3E7D"/>
    <w:rsid w:val="1B3A75C2"/>
    <w:rsid w:val="1C314E69"/>
    <w:rsid w:val="1C9F3004"/>
    <w:rsid w:val="1DFB572F"/>
    <w:rsid w:val="1F877806"/>
    <w:rsid w:val="204D7D98"/>
    <w:rsid w:val="221E7C3E"/>
    <w:rsid w:val="23773EE9"/>
    <w:rsid w:val="2A6B4A25"/>
    <w:rsid w:val="2B946A9D"/>
    <w:rsid w:val="2D2A27C3"/>
    <w:rsid w:val="2DD35D80"/>
    <w:rsid w:val="2EC42759"/>
    <w:rsid w:val="2ED94472"/>
    <w:rsid w:val="31813D45"/>
    <w:rsid w:val="32D560F7"/>
    <w:rsid w:val="33FE1111"/>
    <w:rsid w:val="3C3D6ABB"/>
    <w:rsid w:val="3D0F2205"/>
    <w:rsid w:val="3ED951C1"/>
    <w:rsid w:val="3FB5178A"/>
    <w:rsid w:val="445474CD"/>
    <w:rsid w:val="45102FBE"/>
    <w:rsid w:val="4C7F2FDC"/>
    <w:rsid w:val="4CF11927"/>
    <w:rsid w:val="4EDD2163"/>
    <w:rsid w:val="4F590CB0"/>
    <w:rsid w:val="4F8C5937"/>
    <w:rsid w:val="4FD73DD8"/>
    <w:rsid w:val="546F7411"/>
    <w:rsid w:val="54751090"/>
    <w:rsid w:val="54ED50CA"/>
    <w:rsid w:val="592F3F03"/>
    <w:rsid w:val="59CE54CA"/>
    <w:rsid w:val="5C4D1ADF"/>
    <w:rsid w:val="5CB10FE2"/>
    <w:rsid w:val="5FF43819"/>
    <w:rsid w:val="62A019CE"/>
    <w:rsid w:val="62C76F5B"/>
    <w:rsid w:val="63D23E09"/>
    <w:rsid w:val="66967370"/>
    <w:rsid w:val="66993F11"/>
    <w:rsid w:val="6BA0104C"/>
    <w:rsid w:val="6CED4A95"/>
    <w:rsid w:val="6D981C1F"/>
    <w:rsid w:val="6ECB392F"/>
    <w:rsid w:val="72F53E4C"/>
    <w:rsid w:val="74EB6D02"/>
    <w:rsid w:val="751F49D4"/>
    <w:rsid w:val="765F49E9"/>
    <w:rsid w:val="7C29438A"/>
    <w:rsid w:val="7DAA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keepNext/>
      <w:keepLines/>
      <w:numPr>
        <w:ilvl w:val="3"/>
        <w:numId w:val="1"/>
      </w:numPr>
      <w:spacing w:before="280" w:after="290" w:line="360" w:lineRule="auto"/>
      <w:jc w:val="left"/>
      <w:outlineLvl w:val="3"/>
    </w:pPr>
    <w:rPr>
      <w:rFonts w:ascii="Arial" w:hAnsi="Arial" w:eastAsia="宋体"/>
      <w:b/>
      <w:sz w:val="28"/>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next w:val="2"/>
    <w:qFormat/>
    <w:uiPriority w:val="0"/>
    <w:rPr>
      <w:b/>
      <w:sz w:val="2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99"/>
  </w:style>
  <w:style w:type="character" w:styleId="10">
    <w:name w:val="Emphasis"/>
    <w:basedOn w:val="8"/>
    <w:qFormat/>
    <w:uiPriority w:val="0"/>
    <w:rPr>
      <w:i/>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3437</Words>
  <Characters>3486</Characters>
  <Lines>77</Lines>
  <Paragraphs>20</Paragraphs>
  <TotalTime>3</TotalTime>
  <ScaleCrop>false</ScaleCrop>
  <LinksUpToDate>false</LinksUpToDate>
  <CharactersWithSpaces>3772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2025-05-08T05:11:00Z</dcterms:created>
  <dc:creator>Zhe</dc:creator>
  <cp:lastModifiedBy>赵锦天</cp:lastModifiedBy>
  <dcterms:modified xsi:type="dcterms:W3CDTF">2026-05-08T08:12:25Z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A1D8E0C4FBBF4A79958E0731744FAD3C_13</vt:lpwstr>
  </property>
  <property fmtid="{D5CDD505-2E9C-101B-9397-08002B2CF9AE}" pid="4" name="KSOTemplateDocerSaveRecord">
    <vt:lpwstr>eyJoZGlkIjoiMDNmMDQ2YTU0OGNhNDE5YzU1ODBlZWYxZmI0N2JlNjYiLCJ1c2VySWQiOiIxMTcyNDcyOSJ9</vt:lpwstr>
  </property>
</Properties>
</file>