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F703F">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西安航天城第二幼儿园</w:t>
      </w:r>
    </w:p>
    <w:p w14:paraId="63D4936B">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color w:val="auto"/>
          <w:sz w:val="30"/>
          <w:szCs w:val="30"/>
          <w:highlight w:val="green"/>
        </w:rPr>
      </w:pPr>
      <w:r>
        <w:rPr>
          <w:rFonts w:hint="eastAsia" w:ascii="仿宋" w:hAnsi="仿宋" w:eastAsia="仿宋" w:cs="仿宋"/>
          <w:b/>
          <w:color w:val="auto"/>
          <w:sz w:val="30"/>
          <w:szCs w:val="30"/>
          <w:highlight w:val="none"/>
          <w:lang w:eastAsia="zh-CN"/>
        </w:rPr>
        <w:t>餐厅运转保障项目服务</w:t>
      </w:r>
      <w:bookmarkStart w:id="0" w:name="_GoBack"/>
      <w:r>
        <w:rPr>
          <w:rFonts w:hint="eastAsia" w:ascii="仿宋" w:hAnsi="仿宋" w:eastAsia="仿宋" w:cs="仿宋"/>
          <w:b/>
          <w:color w:val="auto"/>
          <w:sz w:val="30"/>
          <w:szCs w:val="30"/>
          <w:highlight w:val="none"/>
        </w:rPr>
        <w:t>合同</w:t>
      </w:r>
      <w:bookmarkEnd w:id="0"/>
    </w:p>
    <w:p w14:paraId="59F938E9">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甲方（采购人名称全称）：</w:t>
      </w:r>
      <w:r>
        <w:rPr>
          <w:rFonts w:hint="eastAsia" w:ascii="仿宋" w:hAnsi="仿宋" w:eastAsia="仿宋" w:cs="仿宋"/>
          <w:color w:val="auto"/>
          <w:sz w:val="24"/>
          <w:highlight w:val="none"/>
          <w:lang w:eastAsia="zh-CN"/>
        </w:rPr>
        <w:t>西安航天城第二幼儿园</w:t>
      </w:r>
    </w:p>
    <w:p w14:paraId="5B53A098">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乙方（供应商名称全称）：</w:t>
      </w:r>
    </w:p>
    <w:p w14:paraId="17D88C83">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陕西笃信招标有限公司</w:t>
      </w:r>
      <w:r>
        <w:rPr>
          <w:rFonts w:hint="eastAsia" w:ascii="仿宋" w:hAnsi="仿宋" w:eastAsia="仿宋" w:cs="仿宋"/>
          <w:color w:val="auto"/>
          <w:sz w:val="24"/>
          <w:highlight w:val="none"/>
        </w:rPr>
        <w:t>就甲方所需服务，在西安国家民用航天产业基地管委会财政局的监督管理下，按照政府采购程序组织竞争性磋商，确定乙方为西安航天城第二幼儿园餐厅运转保障项目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成交</w:t>
      </w:r>
      <w:r>
        <w:rPr>
          <w:rFonts w:hint="eastAsia" w:ascii="仿宋" w:hAnsi="仿宋" w:eastAsia="仿宋" w:cs="仿宋"/>
          <w:color w:val="auto"/>
          <w:sz w:val="24"/>
          <w:highlight w:val="none"/>
        </w:rPr>
        <w:t>供应商。依据《中华人民共和国政府采购法》、《中华人民共和国民法典》、磋商文件、成交通知书，经甲、乙双方协商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达成如下合同条款。</w:t>
      </w:r>
    </w:p>
    <w:p w14:paraId="10A3EB4B">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3DA16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973935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316" w:type="dxa"/>
            <w:noWrap w:val="0"/>
            <w:vAlign w:val="center"/>
          </w:tcPr>
          <w:p w14:paraId="47B715C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服务名称</w:t>
            </w:r>
          </w:p>
        </w:tc>
        <w:tc>
          <w:tcPr>
            <w:tcW w:w="1316" w:type="dxa"/>
            <w:noWrap w:val="0"/>
            <w:vAlign w:val="center"/>
          </w:tcPr>
          <w:p w14:paraId="68B2D45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服务内容</w:t>
            </w:r>
          </w:p>
        </w:tc>
        <w:tc>
          <w:tcPr>
            <w:tcW w:w="1328" w:type="dxa"/>
            <w:noWrap w:val="0"/>
            <w:vAlign w:val="center"/>
          </w:tcPr>
          <w:p w14:paraId="04AE4143">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计量单位</w:t>
            </w:r>
          </w:p>
        </w:tc>
        <w:tc>
          <w:tcPr>
            <w:tcW w:w="1316" w:type="dxa"/>
            <w:noWrap w:val="0"/>
            <w:vAlign w:val="center"/>
          </w:tcPr>
          <w:p w14:paraId="004C3FF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服务时间</w:t>
            </w:r>
          </w:p>
        </w:tc>
        <w:tc>
          <w:tcPr>
            <w:tcW w:w="1019" w:type="dxa"/>
            <w:noWrap w:val="0"/>
            <w:vAlign w:val="center"/>
          </w:tcPr>
          <w:p w14:paraId="55DA75E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1060" w:type="dxa"/>
            <w:noWrap w:val="0"/>
            <w:vAlign w:val="top"/>
          </w:tcPr>
          <w:p w14:paraId="6987765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单价</w:t>
            </w:r>
          </w:p>
          <w:p w14:paraId="3E0FEC0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c>
          <w:tcPr>
            <w:tcW w:w="952" w:type="dxa"/>
            <w:noWrap w:val="0"/>
            <w:vAlign w:val="top"/>
          </w:tcPr>
          <w:p w14:paraId="7FA6836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总价</w:t>
            </w:r>
          </w:p>
          <w:p w14:paraId="1E26420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（元）</w:t>
            </w:r>
          </w:p>
        </w:tc>
      </w:tr>
      <w:tr w14:paraId="6C25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D919B8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316" w:type="dxa"/>
            <w:noWrap w:val="0"/>
            <w:vAlign w:val="center"/>
          </w:tcPr>
          <w:p w14:paraId="0C9780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40F1A7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4F26D6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D9005D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F06E91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BB70B3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EAE0A1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C650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C94F21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316" w:type="dxa"/>
            <w:noWrap w:val="0"/>
            <w:vAlign w:val="center"/>
          </w:tcPr>
          <w:p w14:paraId="2DBE689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8E482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CF229A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D317633">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02062E2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392DCA0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4A1C1F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61A76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C74261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316" w:type="dxa"/>
            <w:noWrap w:val="0"/>
            <w:vAlign w:val="center"/>
          </w:tcPr>
          <w:p w14:paraId="48CCA1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F0F1D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4671617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D5AE7F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BD12BC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6878103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46924A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3B3A4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375D8E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316" w:type="dxa"/>
            <w:noWrap w:val="0"/>
            <w:vAlign w:val="center"/>
          </w:tcPr>
          <w:p w14:paraId="270C51D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7BA7428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438565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0EF95AE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55724EC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3019121D">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717401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60AE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4927AE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1316" w:type="dxa"/>
            <w:noWrap w:val="0"/>
            <w:vAlign w:val="center"/>
          </w:tcPr>
          <w:p w14:paraId="1475A12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FD3151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5EEDDB3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F55A89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137D061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24BF895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17864D5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910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0FF7AF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1316" w:type="dxa"/>
            <w:noWrap w:val="0"/>
            <w:vAlign w:val="center"/>
          </w:tcPr>
          <w:p w14:paraId="6CB7CFC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18B6F2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7BAE3FB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55F4B6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4F013D5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121BDD96">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643F744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4810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25F300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1316" w:type="dxa"/>
            <w:noWrap w:val="0"/>
            <w:vAlign w:val="center"/>
          </w:tcPr>
          <w:p w14:paraId="2762FD4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4EE47E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092F2C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641BA76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091957DA">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D88BDD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3B302B3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5C58C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C318A5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1316" w:type="dxa"/>
            <w:noWrap w:val="0"/>
            <w:vAlign w:val="center"/>
          </w:tcPr>
          <w:p w14:paraId="33B585F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7DFF8B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661AC2C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2069C13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24AF9DE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0A7119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03C6A94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62414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E1FE2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1316" w:type="dxa"/>
            <w:noWrap w:val="0"/>
            <w:vAlign w:val="center"/>
          </w:tcPr>
          <w:p w14:paraId="0E4A3B1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58C3481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28" w:type="dxa"/>
            <w:noWrap w:val="0"/>
            <w:vAlign w:val="center"/>
          </w:tcPr>
          <w:p w14:paraId="17043C5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316" w:type="dxa"/>
            <w:noWrap w:val="0"/>
            <w:vAlign w:val="center"/>
          </w:tcPr>
          <w:p w14:paraId="33FE93B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19" w:type="dxa"/>
            <w:noWrap w:val="0"/>
            <w:vAlign w:val="center"/>
          </w:tcPr>
          <w:p w14:paraId="3A11C29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1060" w:type="dxa"/>
            <w:noWrap w:val="0"/>
            <w:vAlign w:val="center"/>
          </w:tcPr>
          <w:p w14:paraId="4172BAC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c>
          <w:tcPr>
            <w:tcW w:w="952" w:type="dxa"/>
            <w:noWrap w:val="0"/>
            <w:vAlign w:val="center"/>
          </w:tcPr>
          <w:p w14:paraId="2B123BD4">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1EAC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2D1D55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合计</w:t>
            </w:r>
          </w:p>
        </w:tc>
        <w:tc>
          <w:tcPr>
            <w:tcW w:w="8307" w:type="dxa"/>
            <w:gridSpan w:val="7"/>
            <w:noWrap w:val="0"/>
            <w:vAlign w:val="center"/>
          </w:tcPr>
          <w:p w14:paraId="10A9CBB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r w14:paraId="78F2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6271C43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8307" w:type="dxa"/>
            <w:gridSpan w:val="7"/>
            <w:noWrap w:val="0"/>
            <w:vAlign w:val="center"/>
          </w:tcPr>
          <w:p w14:paraId="681560B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color w:val="auto"/>
                <w:sz w:val="24"/>
                <w:highlight w:val="none"/>
              </w:rPr>
            </w:pPr>
          </w:p>
        </w:tc>
      </w:tr>
    </w:tbl>
    <w:p w14:paraId="3D89DBD4">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（上表仅供参考，应根据项目具体内容修改填写，详细服务内容及明细标准可附附件或详见响应文件，需说明清楚）</w:t>
      </w:r>
    </w:p>
    <w:p w14:paraId="7C0C633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二、合作模式</w:t>
      </w:r>
    </w:p>
    <w:p w14:paraId="3B45B33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1.甲方提供厨房、场地、厨具、餐具等，在合同期限内供乙方无偿使用。</w:t>
      </w:r>
    </w:p>
    <w:p w14:paraId="3369C88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2.食堂员工的工作服由乙方配备</w:t>
      </w:r>
      <w:r>
        <w:rPr>
          <w:rFonts w:hint="eastAsia" w:ascii="仿宋" w:hAnsi="仿宋" w:eastAsia="仿宋" w:cs="仿宋"/>
          <w:color w:val="auto"/>
          <w:sz w:val="24"/>
          <w:highlight w:val="none"/>
          <w:lang w:eastAsia="zh-CN"/>
        </w:rPr>
        <w:t>。</w:t>
      </w:r>
    </w:p>
    <w:p w14:paraId="1A75A0F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3.甲方放假期间(包括周末)，食堂不开饭，乙方员工不得在食堂加工任何食品及就餐。</w:t>
      </w:r>
    </w:p>
    <w:p w14:paraId="6C6A461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4.食堂工作人员由乙方聘用、指派，厨师等必须按照本协议其他条款规定的人员数量配置，乙方工作人员必须具有健康证。</w:t>
      </w:r>
    </w:p>
    <w:p w14:paraId="76B73D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3B4A671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7F72618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三、采购内容、期限及费用</w:t>
      </w:r>
    </w:p>
    <w:p w14:paraId="3AFE3091">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1.采购项目内容:</w:t>
      </w:r>
      <w:r>
        <w:rPr>
          <w:rFonts w:hint="eastAsia" w:ascii="仿宋" w:hAnsi="仿宋" w:eastAsia="仿宋" w:cs="仿宋"/>
          <w:color w:val="auto"/>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224177BA">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2.服务期限</w:t>
      </w:r>
      <w:r>
        <w:rPr>
          <w:rFonts w:hint="eastAsia" w:ascii="仿宋" w:hAnsi="仿宋" w:eastAsia="仿宋" w:cs="仿宋"/>
          <w:snapToGrid w:val="0"/>
          <w:color w:val="auto"/>
          <w:spacing w:val="-3"/>
          <w:kern w:val="0"/>
          <w:sz w:val="24"/>
          <w:highlight w:val="none"/>
        </w:rPr>
        <w:t>：2026年7月</w:t>
      </w:r>
      <w:r>
        <w:rPr>
          <w:rFonts w:hint="eastAsia" w:ascii="仿宋" w:hAnsi="仿宋" w:eastAsia="仿宋" w:cs="仿宋"/>
          <w:snapToGrid w:val="0"/>
          <w:color w:val="auto"/>
          <w:spacing w:val="-3"/>
          <w:kern w:val="0"/>
          <w:sz w:val="24"/>
          <w:highlight w:val="none"/>
          <w:lang w:val="en-US" w:eastAsia="zh-CN"/>
        </w:rPr>
        <w:t>1日</w:t>
      </w:r>
      <w:r>
        <w:rPr>
          <w:rFonts w:hint="eastAsia" w:ascii="仿宋" w:hAnsi="仿宋" w:eastAsia="仿宋" w:cs="仿宋"/>
          <w:snapToGrid w:val="0"/>
          <w:color w:val="auto"/>
          <w:spacing w:val="-3"/>
          <w:kern w:val="0"/>
          <w:sz w:val="24"/>
          <w:highlight w:val="none"/>
        </w:rPr>
        <w:t>-2027年6月</w:t>
      </w:r>
      <w:r>
        <w:rPr>
          <w:rFonts w:hint="eastAsia" w:ascii="仿宋" w:hAnsi="仿宋" w:eastAsia="仿宋" w:cs="仿宋"/>
          <w:snapToGrid w:val="0"/>
          <w:color w:val="auto"/>
          <w:spacing w:val="-3"/>
          <w:kern w:val="0"/>
          <w:sz w:val="24"/>
          <w:highlight w:val="none"/>
          <w:lang w:val="en-US" w:eastAsia="zh-CN"/>
        </w:rPr>
        <w:t>30日</w:t>
      </w:r>
      <w:r>
        <w:rPr>
          <w:rFonts w:hint="eastAsia" w:ascii="仿宋" w:hAnsi="仿宋" w:eastAsia="仿宋" w:cs="仿宋"/>
          <w:snapToGrid w:val="0"/>
          <w:color w:val="auto"/>
          <w:spacing w:val="-3"/>
          <w:kern w:val="0"/>
          <w:sz w:val="24"/>
          <w:highlight w:val="none"/>
        </w:rPr>
        <w:t>。（服务期限合计不少于10个月，寒暑假期间如采购人需要供应商提供餐饮服务，供应商应无条件配合，费用包含在报价中。具体以采购人实际情况为准。）</w:t>
      </w:r>
    </w:p>
    <w:p w14:paraId="6DCB61AB">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color w:val="auto"/>
          <w:sz w:val="24"/>
          <w:highlight w:val="none"/>
        </w:rPr>
      </w:pPr>
      <w:r>
        <w:rPr>
          <w:rFonts w:hint="eastAsia" w:ascii="仿宋" w:hAnsi="仿宋" w:eastAsia="仿宋" w:cs="仿宋"/>
          <w:b/>
          <w:bCs/>
          <w:snapToGrid w:val="0"/>
          <w:color w:val="auto"/>
          <w:spacing w:val="-3"/>
          <w:kern w:val="0"/>
          <w:sz w:val="24"/>
          <w:highlight w:val="none"/>
        </w:rPr>
        <w:t>3.就餐标准：</w:t>
      </w:r>
      <w:r>
        <w:rPr>
          <w:rFonts w:hint="eastAsia" w:ascii="仿宋" w:hAnsi="仿宋" w:eastAsia="仿宋" w:cs="仿宋"/>
          <w:b/>
          <w:bCs/>
          <w:snapToGrid w:val="0"/>
          <w:color w:val="auto"/>
          <w:spacing w:val="-3"/>
          <w:kern w:val="0"/>
          <w:sz w:val="24"/>
          <w:highlight w:val="none"/>
          <w:lang w:val="en-US" w:eastAsia="zh-CN"/>
        </w:rPr>
        <w:t>（幼儿餐食制作）</w:t>
      </w:r>
      <w:r>
        <w:rPr>
          <w:rFonts w:hint="eastAsia" w:ascii="仿宋" w:hAnsi="仿宋" w:eastAsia="仿宋" w:cs="仿宋"/>
          <w:b/>
          <w:bCs/>
          <w:sz w:val="24"/>
          <w:szCs w:val="24"/>
          <w:highlight w:val="none"/>
          <w:vertAlign w:val="baseline"/>
          <w:lang w:eastAsia="zh-CN"/>
        </w:rPr>
        <w:t>餐厅运转保障项目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w:t>
      </w:r>
      <w:r>
        <w:rPr>
          <w:rFonts w:hint="eastAsia" w:ascii="仿宋" w:hAnsi="仿宋" w:eastAsia="仿宋" w:cs="仿宋"/>
          <w:snapToGrid w:val="0"/>
          <w:color w:val="auto"/>
          <w:spacing w:val="-3"/>
          <w:kern w:val="0"/>
          <w:sz w:val="24"/>
          <w:highlight w:val="none"/>
        </w:rPr>
        <w:t>餐</w:t>
      </w:r>
      <w:r>
        <w:rPr>
          <w:rFonts w:hint="eastAsia" w:ascii="仿宋" w:hAnsi="仿宋" w:eastAsia="仿宋" w:cs="仿宋"/>
          <w:snapToGrid w:val="0"/>
          <w:color w:val="auto"/>
          <w:spacing w:val="-3"/>
          <w:kern w:val="0"/>
          <w:sz w:val="24"/>
          <w:highlight w:val="none"/>
          <w:lang w:val="en-US" w:eastAsia="zh-CN"/>
        </w:rPr>
        <w:t>两点制，</w:t>
      </w:r>
      <w:r>
        <w:rPr>
          <w:rFonts w:hint="eastAsia" w:ascii="仿宋" w:hAnsi="仿宋" w:eastAsia="仿宋" w:cs="仿宋"/>
          <w:b/>
          <w:bCs/>
          <w:snapToGrid w:val="0"/>
          <w:color w:val="auto"/>
          <w:spacing w:val="-3"/>
          <w:kern w:val="0"/>
          <w:sz w:val="24"/>
          <w:highlight w:val="none"/>
          <w:lang w:val="en-US" w:eastAsia="zh-CN"/>
        </w:rPr>
        <w:t>（教职工餐食材采购及制作）</w:t>
      </w:r>
      <w:r>
        <w:rPr>
          <w:rFonts w:hint="eastAsia" w:ascii="仿宋" w:hAnsi="仿宋" w:eastAsia="仿宋" w:cs="仿宋"/>
          <w:b/>
          <w:bCs/>
          <w:sz w:val="24"/>
          <w:szCs w:val="24"/>
          <w:highlight w:val="none"/>
          <w:vertAlign w:val="baseline"/>
          <w:lang w:eastAsia="zh-CN"/>
        </w:rPr>
        <w:t>餐厅运转保障项目</w:t>
      </w:r>
      <w:r>
        <w:rPr>
          <w:rFonts w:hint="eastAsia" w:ascii="仿宋" w:hAnsi="仿宋" w:eastAsia="仿宋" w:cs="仿宋"/>
          <w:snapToGrid w:val="0"/>
          <w:color w:val="auto"/>
          <w:spacing w:val="-3"/>
          <w:kern w:val="0"/>
          <w:sz w:val="24"/>
          <w:highlight w:val="none"/>
          <w:lang w:eastAsia="zh-CN"/>
        </w:rPr>
        <w:t>：</w:t>
      </w:r>
      <w:r>
        <w:rPr>
          <w:rFonts w:hint="eastAsia" w:ascii="仿宋" w:hAnsi="仿宋" w:eastAsia="仿宋" w:cs="仿宋"/>
          <w:snapToGrid w:val="0"/>
          <w:color w:val="auto"/>
          <w:spacing w:val="-3"/>
          <w:kern w:val="0"/>
          <w:sz w:val="24"/>
          <w:highlight w:val="none"/>
          <w:lang w:val="en-US" w:eastAsia="zh-CN"/>
        </w:rPr>
        <w:t>三餐制，</w:t>
      </w:r>
      <w:r>
        <w:rPr>
          <w:rFonts w:hint="eastAsia" w:ascii="仿宋" w:hAnsi="仿宋" w:eastAsia="仿宋" w:cs="仿宋"/>
          <w:snapToGrid w:val="0"/>
          <w:color w:val="auto"/>
          <w:spacing w:val="-3"/>
          <w:kern w:val="0"/>
          <w:sz w:val="24"/>
          <w:highlight w:val="none"/>
        </w:rPr>
        <w:t>具体以采购人实际情况为准。</w:t>
      </w:r>
    </w:p>
    <w:p w14:paraId="4B33672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4.本协议签订后，乙方不得把业务转由其他单位或个人承接。</w:t>
      </w:r>
    </w:p>
    <w:p w14:paraId="1F876E10">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auto"/>
          <w:spacing w:val="-3"/>
          <w:kern w:val="0"/>
          <w:sz w:val="24"/>
          <w:highlight w:val="none"/>
        </w:rPr>
      </w:pPr>
      <w:r>
        <w:rPr>
          <w:rFonts w:hint="eastAsia" w:ascii="仿宋" w:hAnsi="仿宋" w:eastAsia="仿宋" w:cs="仿宋"/>
          <w:b/>
          <w:bCs/>
          <w:snapToGrid w:val="0"/>
          <w:color w:val="auto"/>
          <w:spacing w:val="-3"/>
          <w:kern w:val="0"/>
          <w:sz w:val="24"/>
          <w:highlight w:val="none"/>
        </w:rPr>
        <w:t>四、款项结算</w:t>
      </w:r>
    </w:p>
    <w:p w14:paraId="63F2E671">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pacing w:val="3"/>
          <w:sz w:val="24"/>
          <w:highlight w:val="none"/>
        </w:rPr>
        <w:t>（一）</w:t>
      </w:r>
      <w:r>
        <w:rPr>
          <w:rFonts w:hint="eastAsia" w:ascii="仿宋" w:hAnsi="仿宋" w:eastAsia="仿宋" w:cs="仿宋"/>
          <w:color w:val="auto"/>
          <w:sz w:val="24"/>
          <w:highlight w:val="none"/>
        </w:rPr>
        <w:t>合同总价款为人民币（大写）</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元。该价款</w:t>
      </w:r>
      <w:r>
        <w:rPr>
          <w:rFonts w:hint="eastAsia" w:ascii="仿宋" w:hAnsi="仿宋" w:eastAsia="仿宋" w:cs="仿宋"/>
          <w:snapToGrid w:val="0"/>
          <w:color w:val="auto"/>
          <w:kern w:val="0"/>
          <w:sz w:val="24"/>
          <w:highlight w:val="none"/>
          <w:lang w:bidi="ar"/>
        </w:rPr>
        <w:t>为完成本项目全部工作内容及工作要求的总价，包括但不限于人工工资、社保（五险一金）、劳保、福利、工服、办公物资、保洁耗材</w:t>
      </w:r>
      <w:r>
        <w:rPr>
          <w:rFonts w:hint="eastAsia" w:ascii="仿宋" w:hAnsi="仿宋" w:eastAsia="仿宋" w:cs="仿宋"/>
          <w:snapToGrid w:val="0"/>
          <w:color w:val="auto"/>
          <w:kern w:val="0"/>
          <w:sz w:val="24"/>
          <w:highlight w:val="none"/>
          <w:lang w:eastAsia="zh-CN" w:bidi="ar"/>
        </w:rPr>
        <w:t>、</w:t>
      </w:r>
      <w:r>
        <w:rPr>
          <w:rFonts w:hint="eastAsia" w:ascii="仿宋" w:hAnsi="仿宋" w:eastAsia="仿宋" w:cs="仿宋"/>
          <w:snapToGrid w:val="0"/>
          <w:color w:val="auto"/>
          <w:kern w:val="0"/>
          <w:sz w:val="24"/>
          <w:highlight w:val="none"/>
          <w:lang w:val="en-US" w:eastAsia="zh-CN" w:bidi="ar"/>
        </w:rPr>
        <w:t>人员宿舍</w:t>
      </w:r>
      <w:r>
        <w:rPr>
          <w:rFonts w:hint="eastAsia" w:ascii="仿宋" w:hAnsi="仿宋" w:eastAsia="仿宋" w:cs="仿宋"/>
          <w:snapToGrid w:val="0"/>
          <w:color w:val="auto"/>
          <w:kern w:val="0"/>
          <w:sz w:val="24"/>
          <w:highlight w:val="none"/>
          <w:lang w:bidi="ar"/>
        </w:rPr>
        <w:t>及其他所需物资，管理运营、利润、税金及政策性文件规定的各项费用等承包计价的一切费用。</w:t>
      </w:r>
    </w:p>
    <w:p w14:paraId="41E986E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具体为：</w:t>
      </w:r>
      <w:r>
        <w:rPr>
          <w:rFonts w:hint="eastAsia" w:ascii="仿宋" w:hAnsi="仿宋" w:eastAsia="仿宋" w:cs="仿宋"/>
          <w:b/>
          <w:bCs/>
          <w:snapToGrid w:val="0"/>
          <w:color w:val="auto"/>
          <w:spacing w:val="-3"/>
          <w:kern w:val="0"/>
          <w:sz w:val="24"/>
          <w:highlight w:val="none"/>
          <w:lang w:val="en-US" w:eastAsia="zh-CN"/>
        </w:rPr>
        <w:t>幼儿餐食制作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根据每月考核结果实际据实结算</w:t>
      </w:r>
      <w:r>
        <w:rPr>
          <w:rFonts w:hint="eastAsia" w:ascii="仿宋" w:hAnsi="仿宋" w:eastAsia="仿宋" w:cs="仿宋"/>
          <w:color w:val="auto"/>
          <w:sz w:val="24"/>
          <w:highlight w:val="none"/>
          <w:lang w:eastAsia="zh-CN"/>
        </w:rPr>
        <w:t>）</w:t>
      </w:r>
    </w:p>
    <w:p w14:paraId="5539F1CA">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b/>
          <w:bCs/>
          <w:snapToGrid w:val="0"/>
          <w:color w:val="auto"/>
          <w:spacing w:val="-3"/>
          <w:kern w:val="0"/>
          <w:sz w:val="24"/>
          <w:highlight w:val="none"/>
          <w:lang w:val="en-US" w:eastAsia="zh-CN"/>
        </w:rPr>
        <w:t>教职工餐食材采购及制作</w:t>
      </w:r>
      <w:r>
        <w:rPr>
          <w:rFonts w:hint="eastAsia" w:ascii="仿宋" w:hAnsi="仿宋" w:eastAsia="仿宋" w:cs="仿宋"/>
          <w:snapToGrid w:val="0"/>
          <w:color w:val="auto"/>
          <w:spacing w:val="-3"/>
          <w:kern w:val="0"/>
          <w:sz w:val="24"/>
          <w:highlight w:val="none"/>
          <w:lang w:val="en-US" w:eastAsia="zh-CN"/>
        </w:rPr>
        <w:t>费用</w:t>
      </w:r>
      <w:r>
        <w:rPr>
          <w:rFonts w:hint="eastAsia" w:ascii="仿宋" w:hAnsi="仿宋" w:eastAsia="仿宋" w:cs="仿宋"/>
          <w:color w:val="auto"/>
          <w:sz w:val="24"/>
          <w:highlight w:val="none"/>
        </w:rPr>
        <w:t>：月费用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rPr>
        <w:t>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元，总费用</w:t>
      </w:r>
      <w:r>
        <w:rPr>
          <w:rFonts w:hint="eastAsia" w:ascii="仿宋" w:hAnsi="仿宋" w:eastAsia="仿宋" w:cs="仿宋"/>
          <w:color w:val="auto"/>
          <w:sz w:val="24"/>
          <w:highlight w:val="none"/>
          <w:lang w:val="en-US" w:eastAsia="zh-CN"/>
        </w:rPr>
        <w:t>约</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根据每月教师餐厅运转保障服务实际据实结算</w:t>
      </w:r>
      <w:r>
        <w:rPr>
          <w:rFonts w:hint="eastAsia" w:ascii="仿宋" w:hAnsi="仿宋" w:eastAsia="仿宋" w:cs="仿宋"/>
          <w:color w:val="auto"/>
          <w:sz w:val="24"/>
          <w:highlight w:val="none"/>
          <w:lang w:eastAsia="zh-CN"/>
        </w:rPr>
        <w:t>）</w:t>
      </w:r>
    </w:p>
    <w:p w14:paraId="28949E8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乙方全体服务人员数量在磋商文件规定基本数量基础上，由甲方根据需要提出是否继续增派数量，乙方及时予以增派人员，所需费用包含在合同总价中，甲方不再另外予以增加。</w:t>
      </w:r>
    </w:p>
    <w:p w14:paraId="1257DDA4">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（二）结算方式：甲方每</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验收考核一次，经综合验收合格办理结算该</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付款手续，每次付款前乙方应向甲方提供合法有效的发票。乙方持成交通知书、服务合同、发票，与甲方结算。</w:t>
      </w:r>
    </w:p>
    <w:p w14:paraId="08FDF24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（三）采购人在</w:t>
      </w:r>
      <w:r>
        <w:rPr>
          <w:rFonts w:hint="eastAsia" w:ascii="仿宋" w:hAnsi="仿宋" w:eastAsia="仿宋" w:cs="仿宋"/>
          <w:color w:val="auto"/>
          <w:sz w:val="24"/>
          <w:highlight w:val="none"/>
          <w:lang w:val="en-US" w:eastAsia="zh-CN"/>
        </w:rPr>
        <w:t>下月</w:t>
      </w:r>
      <w:r>
        <w:rPr>
          <w:rFonts w:hint="eastAsia" w:ascii="仿宋" w:hAnsi="仿宋" w:eastAsia="仿宋" w:cs="仿宋"/>
          <w:color w:val="auto"/>
          <w:sz w:val="24"/>
          <w:highlight w:val="none"/>
        </w:rPr>
        <w:t>的15号之前支付上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的费用，</w:t>
      </w:r>
      <w:r>
        <w:rPr>
          <w:rFonts w:hint="eastAsia" w:ascii="仿宋" w:hAnsi="仿宋" w:eastAsia="仿宋" w:cs="仿宋"/>
          <w:color w:val="auto"/>
          <w:sz w:val="24"/>
          <w:highlight w:val="none"/>
          <w:lang w:val="en-US" w:eastAsia="zh-CN"/>
        </w:rPr>
        <w:t>每月</w:t>
      </w:r>
      <w:r>
        <w:rPr>
          <w:rFonts w:hint="eastAsia" w:ascii="仿宋" w:hAnsi="仿宋" w:eastAsia="仿宋" w:cs="仿宋"/>
          <w:color w:val="auto"/>
          <w:sz w:val="24"/>
          <w:highlight w:val="none"/>
        </w:rPr>
        <w:t>考核满意率95%及以上全额支付上</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费用。</w:t>
      </w:r>
    </w:p>
    <w:p w14:paraId="6A270B91">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（四）考核满意率：</w:t>
      </w:r>
    </w:p>
    <w:p w14:paraId="58AD56F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度的费用5%作为考核费用，如</w:t>
      </w:r>
      <w:r>
        <w:rPr>
          <w:rFonts w:hint="eastAsia" w:ascii="仿宋" w:hAnsi="仿宋" w:eastAsia="仿宋" w:cs="仿宋"/>
          <w:color w:val="auto"/>
          <w:sz w:val="24"/>
          <w:highlight w:val="none"/>
          <w:lang w:val="en-US" w:eastAsia="zh-CN"/>
        </w:rPr>
        <w:t>月</w:t>
      </w:r>
      <w:r>
        <w:rPr>
          <w:rFonts w:hint="eastAsia" w:ascii="仿宋" w:hAnsi="仿宋" w:eastAsia="仿宋" w:cs="仿宋"/>
          <w:color w:val="auto"/>
          <w:sz w:val="24"/>
          <w:highlight w:val="none"/>
        </w:rPr>
        <w:t>度考核满意率低于95%甲方有权按照下列标准扣款</w:t>
      </w:r>
      <w:r>
        <w:rPr>
          <w:rFonts w:hint="eastAsia" w:ascii="仿宋" w:hAnsi="仿宋" w:eastAsia="仿宋" w:cs="仿宋"/>
          <w:color w:val="auto"/>
          <w:sz w:val="24"/>
          <w:highlight w:val="none"/>
          <w:lang w:eastAsia="zh-CN"/>
        </w:rPr>
        <w:t>：</w:t>
      </w:r>
    </w:p>
    <w:tbl>
      <w:tblPr>
        <w:tblStyle w:val="10"/>
        <w:tblW w:w="49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4"/>
        <w:gridCol w:w="4707"/>
      </w:tblGrid>
      <w:tr w14:paraId="2114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F781C50">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w:t>
            </w:r>
          </w:p>
        </w:tc>
        <w:tc>
          <w:tcPr>
            <w:tcW w:w="2771" w:type="pct"/>
            <w:noWrap/>
            <w:vAlign w:val="top"/>
          </w:tcPr>
          <w:p w14:paraId="2B6277A8">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支付比例</w:t>
            </w:r>
          </w:p>
        </w:tc>
      </w:tr>
      <w:tr w14:paraId="44EDB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019BCFAE">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满意率≥95%</w:t>
            </w:r>
          </w:p>
        </w:tc>
        <w:tc>
          <w:tcPr>
            <w:tcW w:w="2771" w:type="pct"/>
            <w:noWrap/>
            <w:vAlign w:val="top"/>
          </w:tcPr>
          <w:p w14:paraId="3B1134B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支付100%考核费</w:t>
            </w:r>
          </w:p>
        </w:tc>
      </w:tr>
      <w:tr w14:paraId="2C46A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A36F97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95%＞满意率≥90%</w:t>
            </w:r>
          </w:p>
        </w:tc>
        <w:tc>
          <w:tcPr>
            <w:tcW w:w="2771" w:type="pct"/>
            <w:noWrap/>
            <w:vAlign w:val="top"/>
          </w:tcPr>
          <w:p w14:paraId="086903EA">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支付70%考核费</w:t>
            </w:r>
          </w:p>
        </w:tc>
      </w:tr>
      <w:tr w14:paraId="1918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6BBF2C77">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90%＞满意率≥85%</w:t>
            </w:r>
          </w:p>
        </w:tc>
        <w:tc>
          <w:tcPr>
            <w:tcW w:w="2771" w:type="pct"/>
            <w:noWrap/>
            <w:vAlign w:val="top"/>
          </w:tcPr>
          <w:p w14:paraId="28EE22D3">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支付30%考核费</w:t>
            </w:r>
          </w:p>
        </w:tc>
      </w:tr>
      <w:tr w14:paraId="2722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28" w:type="pct"/>
            <w:noWrap/>
            <w:vAlign w:val="top"/>
          </w:tcPr>
          <w:p w14:paraId="7BB58BEB">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80%＞满意率</w:t>
            </w:r>
          </w:p>
        </w:tc>
        <w:tc>
          <w:tcPr>
            <w:tcW w:w="2771" w:type="pct"/>
            <w:noWrap/>
            <w:vAlign w:val="top"/>
          </w:tcPr>
          <w:p w14:paraId="78BCF8E5">
            <w:pPr>
              <w:spacing w:line="50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扣除全部年度考核费用。</w:t>
            </w:r>
          </w:p>
        </w:tc>
      </w:tr>
    </w:tbl>
    <w:p w14:paraId="634E637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（五）考核标准：</w:t>
      </w:r>
    </w:p>
    <w:p w14:paraId="4A70D84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甲方对餐饮服务进行考核，月度定期检查，每月按照服务质量检查表，进行不少于1次的定期检查。</w:t>
      </w:r>
    </w:p>
    <w:p w14:paraId="675640AC">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考核表详见附表</w:t>
      </w:r>
      <w:r>
        <w:rPr>
          <w:rFonts w:hint="eastAsia" w:ascii="仿宋" w:hAnsi="仿宋" w:eastAsia="仿宋" w:cs="仿宋"/>
          <w:color w:val="auto"/>
          <w:sz w:val="24"/>
          <w:szCs w:val="22"/>
          <w:highlight w:val="none"/>
          <w:lang w:val="en-US" w:eastAsia="zh-CN"/>
        </w:rPr>
        <w:t>1、2</w:t>
      </w:r>
      <w:r>
        <w:rPr>
          <w:rFonts w:hint="eastAsia" w:ascii="仿宋" w:hAnsi="仿宋" w:eastAsia="仿宋" w:cs="仿宋"/>
          <w:color w:val="auto"/>
          <w:sz w:val="24"/>
          <w:szCs w:val="22"/>
          <w:highlight w:val="none"/>
        </w:rPr>
        <w:t>：</w:t>
      </w:r>
    </w:p>
    <w:p w14:paraId="490C584C">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附件1：</w:t>
      </w:r>
    </w:p>
    <w:tbl>
      <w:tblPr>
        <w:tblStyle w:val="10"/>
        <w:tblW w:w="915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6519"/>
        <w:gridCol w:w="587"/>
        <w:gridCol w:w="611"/>
        <w:gridCol w:w="602"/>
      </w:tblGrid>
      <w:tr w14:paraId="426E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9153" w:type="dxa"/>
            <w:gridSpan w:val="5"/>
            <w:tcBorders>
              <w:top w:val="nil"/>
              <w:left w:val="nil"/>
              <w:bottom w:val="single" w:color="auto" w:sz="4" w:space="0"/>
              <w:right w:val="nil"/>
            </w:tcBorders>
            <w:shd w:val="clear" w:color="auto" w:fill="auto"/>
            <w:noWrap/>
            <w:vAlign w:val="center"/>
          </w:tcPr>
          <w:p w14:paraId="4700E5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highlight w:val="none"/>
                <w:lang w:eastAsia="zh-CN"/>
              </w:rPr>
              <w:t>西安航天城第二幼儿园餐厅运转保障项目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幼儿餐食制作</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18960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5FA3F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内容</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2484C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分项指标</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D3F5F0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分值</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FFCA8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得分</w:t>
            </w: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B24AE1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3"/>
                <w:rFonts w:hint="eastAsia" w:ascii="仿宋" w:hAnsi="仿宋" w:eastAsia="仿宋" w:cs="仿宋"/>
                <w:color w:val="auto"/>
                <w:sz w:val="21"/>
                <w:szCs w:val="21"/>
                <w:highlight w:val="none"/>
                <w:lang w:val="en-US" w:eastAsia="zh-CN" w:bidi="ar"/>
              </w:rPr>
              <w:t>备注</w:t>
            </w:r>
          </w:p>
        </w:tc>
      </w:tr>
      <w:tr w14:paraId="1ED36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5FCF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E2AE5D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DD4C63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0E6A2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451B11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1FA2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CF079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173CDE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3CB6F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98049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265AE3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7F97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289C9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FC399C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3、严格执行幼儿园后勤管理制度，食堂管理制度，合理分配班级餐点，禁止浪费；</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8F533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59EB6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186FFBE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9999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23957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351939F8">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4、厨房每日设施设备及区域卫生消毒是否到位；</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0C5EE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948677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5D1E76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D433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F0D12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7613530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5、厨房表格规范是否按照要求填写、上交；</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5E87F2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4837D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31870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4EE8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CC0AE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632AD7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6、厨房操作流程是否合规、是否按照厨房设施设备操作规程操作；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F92AD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3757A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43DEF6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689CD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671D9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11B831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7、定期参加膳食部开展厨房人员培训、是否有效、并有填写培训存档</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1D4F53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7A6C3B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B46C22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1F83C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2F193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1773D2F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Style w:val="14"/>
                <w:rFonts w:hint="eastAsia" w:ascii="仿宋" w:hAnsi="仿宋" w:eastAsia="仿宋" w:cs="仿宋"/>
                <w:color w:val="auto"/>
                <w:sz w:val="21"/>
                <w:szCs w:val="21"/>
                <w:highlight w:val="none"/>
                <w:lang w:val="en-US" w:eastAsia="zh-CN" w:bidi="ar"/>
              </w:rPr>
              <w:t>8、现场执行6S管理情况，办公环境干净、整洁，物品摆放规范、有序；</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72784F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7AC19A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5A105C4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C18A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531601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5059774">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9、在幼儿园活动安排上是否正常供应餐点、食材；</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830241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E0F0C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B4A214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1BD01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041EC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43E9BB00">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10、是否在幼儿园食品食材上有浪费或者私自带走情况；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44A91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D6554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1E08E7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4F04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D9374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3022748">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11、按照幼儿园各项规定执行、服从食品加工临时安排；</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D74C5B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E36B5C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CF76BE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569D9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14517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7E28D98">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12、按照幼儿园要求电梯轿厢、井道、机房保持清洁；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7C864B7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AFE25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C580FC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61F64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04C16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11B1B8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13、如有厨房从业人员请假，是否能提前告知，并及时补充岗位人员</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449F3A2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085AB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62E737C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2ED28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75321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AFBBD2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14、每学期能积极、有效完成膳食家长监督委员会及各项餐食准备活动</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6F51E7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DEA03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06DD9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auto"/>
                <w:sz w:val="21"/>
                <w:szCs w:val="21"/>
                <w:highlight w:val="none"/>
                <w:u w:val="none"/>
              </w:rPr>
            </w:pPr>
          </w:p>
        </w:tc>
      </w:tr>
      <w:tr w14:paraId="06C1C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5ACB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项目经理管理(25分)</w:t>
            </w: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57E5325">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6300A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1947A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223E1B7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2DCB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F34B0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5D0D97D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2.穿工作服、戴工号牌，整体形象干净、整洁，使用文明用语，态度和蔼，礼貌待人，不与服务对象发生冲突；</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55BFB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5D403C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F361E6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4B144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39170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0C23A53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3.建立、健全各项规章制度（《员工管理制度》、《安全管理制度》、《检查考核制度》、《奖惩制度》、《报告制度》等）；</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40CBDA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F932B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4005425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52F40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1A6BD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35861FD">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4.上班期间严格遵守工作纪律，不抽烟、喝酒、睡觉、闲聊、玩手机电脑等与工作无关的事情，认真做好各项工作记录；</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04B3CB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80BAFA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023821B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2EC83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1BAB1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67590B3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5.工作态度端正，能积极主动配合、执行幼儿园领导安排的其他工作；</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3CAA39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9F145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342C023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F893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D20AB1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6519" w:type="dxa"/>
            <w:tcBorders>
              <w:top w:val="single" w:color="auto" w:sz="4" w:space="0"/>
              <w:left w:val="single" w:color="auto" w:sz="4" w:space="0"/>
              <w:bottom w:val="single" w:color="auto" w:sz="4" w:space="0"/>
              <w:right w:val="single" w:color="auto" w:sz="4" w:space="0"/>
            </w:tcBorders>
            <w:shd w:val="clear" w:color="auto" w:fill="auto"/>
            <w:vAlign w:val="center"/>
          </w:tcPr>
          <w:p w14:paraId="2299F84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auto"/>
                <w:sz w:val="21"/>
                <w:szCs w:val="21"/>
                <w:highlight w:val="none"/>
                <w:u w:val="none"/>
              </w:rPr>
            </w:pPr>
            <w:r>
              <w:rPr>
                <w:rStyle w:val="15"/>
                <w:rFonts w:hint="eastAsia" w:ascii="仿宋" w:hAnsi="仿宋" w:eastAsia="仿宋" w:cs="仿宋"/>
                <w:color w:val="auto"/>
                <w:sz w:val="21"/>
                <w:szCs w:val="21"/>
                <w:highlight w:val="none"/>
                <w:lang w:val="en-US" w:eastAsia="zh-CN" w:bidi="ar"/>
              </w:rPr>
              <w:t>合计</w:t>
            </w:r>
          </w:p>
        </w:tc>
        <w:tc>
          <w:tcPr>
            <w:tcW w:w="587" w:type="dxa"/>
            <w:tcBorders>
              <w:top w:val="single" w:color="auto" w:sz="4" w:space="0"/>
              <w:left w:val="single" w:color="auto" w:sz="4" w:space="0"/>
              <w:bottom w:val="single" w:color="auto" w:sz="4" w:space="0"/>
              <w:right w:val="single" w:color="auto" w:sz="4" w:space="0"/>
            </w:tcBorders>
            <w:shd w:val="clear" w:color="auto" w:fill="auto"/>
            <w:vAlign w:val="center"/>
          </w:tcPr>
          <w:p w14:paraId="2253004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100</w:t>
            </w:r>
          </w:p>
        </w:tc>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DF06A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602" w:type="dxa"/>
            <w:tcBorders>
              <w:top w:val="single" w:color="auto" w:sz="4" w:space="0"/>
              <w:left w:val="single" w:color="auto" w:sz="4" w:space="0"/>
              <w:bottom w:val="single" w:color="auto" w:sz="4" w:space="0"/>
              <w:right w:val="single" w:color="auto" w:sz="4" w:space="0"/>
            </w:tcBorders>
            <w:shd w:val="clear" w:color="auto" w:fill="auto"/>
            <w:vAlign w:val="center"/>
          </w:tcPr>
          <w:p w14:paraId="71FFCF1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3B597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9153" w:type="dxa"/>
            <w:gridSpan w:val="5"/>
            <w:tcBorders>
              <w:top w:val="single" w:color="auto" w:sz="4" w:space="0"/>
              <w:left w:val="nil"/>
              <w:bottom w:val="nil"/>
              <w:right w:val="nil"/>
            </w:tcBorders>
            <w:shd w:val="clear" w:color="auto" w:fill="auto"/>
            <w:noWrap/>
            <w:vAlign w:val="center"/>
          </w:tcPr>
          <w:p w14:paraId="3A8FFBBA">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项目经理(签字）：          考核日期：           (园部)后勤部:</w:t>
            </w:r>
          </w:p>
          <w:p w14:paraId="7A27E20A">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color w:val="auto"/>
                <w:sz w:val="24"/>
                <w:szCs w:val="24"/>
                <w:highlight w:val="none"/>
              </w:rPr>
              <w:t>（具体考核内容采购人有权根据实际情况调整）</w:t>
            </w:r>
          </w:p>
        </w:tc>
      </w:tr>
    </w:tbl>
    <w:p w14:paraId="7F144683">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附件2：</w:t>
      </w:r>
    </w:p>
    <w:tbl>
      <w:tblPr>
        <w:tblStyle w:val="10"/>
        <w:tblW w:w="92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
        <w:gridCol w:w="1142"/>
        <w:gridCol w:w="1921"/>
        <w:gridCol w:w="1791"/>
        <w:gridCol w:w="891"/>
        <w:gridCol w:w="1167"/>
        <w:gridCol w:w="649"/>
        <w:gridCol w:w="700"/>
        <w:gridCol w:w="969"/>
      </w:tblGrid>
      <w:tr w14:paraId="0231B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top"/>
          </w:tcPr>
          <w:p w14:paraId="72F2CF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auto"/>
                <w:sz w:val="22"/>
                <w:szCs w:val="22"/>
                <w:highlight w:val="none"/>
                <w:u w:val="none"/>
              </w:rPr>
            </w:pPr>
            <w:r>
              <w:rPr>
                <w:rFonts w:hint="eastAsia" w:ascii="仿宋" w:hAnsi="仿宋" w:eastAsia="仿宋" w:cs="仿宋"/>
                <w:b/>
                <w:bCs/>
                <w:i w:val="0"/>
                <w:iCs w:val="0"/>
                <w:color w:val="auto"/>
                <w:kern w:val="0"/>
                <w:sz w:val="22"/>
                <w:szCs w:val="22"/>
                <w:highlight w:val="none"/>
                <w:u w:val="none"/>
                <w:lang w:val="en-US" w:eastAsia="zh-CN" w:bidi="ar"/>
              </w:rPr>
              <w:t xml:space="preserve"> </w:t>
            </w:r>
            <w:r>
              <w:rPr>
                <w:rFonts w:hint="eastAsia" w:ascii="仿宋" w:hAnsi="仿宋" w:eastAsia="仿宋" w:cs="仿宋"/>
                <w:b/>
                <w:bCs/>
                <w:color w:val="auto"/>
                <w:highlight w:val="none"/>
                <w:lang w:eastAsia="zh-CN"/>
              </w:rPr>
              <w:t>西安航天城第二幼儿园餐厅运转保障项目</w:t>
            </w:r>
            <w:r>
              <w:rPr>
                <w:rFonts w:hint="eastAsia" w:ascii="仿宋" w:hAnsi="仿宋" w:eastAsia="仿宋" w:cs="仿宋"/>
                <w:b/>
                <w:bCs/>
                <w:i w:val="0"/>
                <w:iCs w:val="0"/>
                <w:color w:val="auto"/>
                <w:kern w:val="0"/>
                <w:sz w:val="22"/>
                <w:szCs w:val="22"/>
                <w:highlight w:val="none"/>
                <w:u w:val="none"/>
                <w:lang w:val="en-US" w:eastAsia="zh-CN" w:bidi="ar"/>
              </w:rPr>
              <w:t>（教职工食材采购及制作）评价表</w:t>
            </w:r>
          </w:p>
        </w:tc>
      </w:tr>
      <w:tr w14:paraId="6D218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336" w:hRule="atLeast"/>
          <w:jc w:val="center"/>
        </w:trPr>
        <w:tc>
          <w:tcPr>
            <w:tcW w:w="9232" w:type="dxa"/>
            <w:gridSpan w:val="8"/>
            <w:tcBorders>
              <w:top w:val="nil"/>
              <w:left w:val="nil"/>
              <w:bottom w:val="nil"/>
              <w:right w:val="nil"/>
            </w:tcBorders>
            <w:shd w:val="clear" w:color="auto" w:fill="auto"/>
            <w:vAlign w:val="center"/>
          </w:tcPr>
          <w:p w14:paraId="213EAFD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 xml:space="preserve">被检单位：                                        评价时间：                          </w:t>
            </w:r>
          </w:p>
        </w:tc>
      </w:tr>
      <w:tr w14:paraId="0366E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304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9CC2F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评价项目</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1FA779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评价依据</w:t>
            </w:r>
          </w:p>
        </w:tc>
        <w:tc>
          <w:tcPr>
            <w:tcW w:w="20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48041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评定标准</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659B8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周期</w:t>
            </w: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F29F5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分值</w:t>
            </w: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826F3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评价结果</w:t>
            </w:r>
          </w:p>
        </w:tc>
      </w:tr>
      <w:tr w14:paraId="0B91F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F4C71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资质</w:t>
            </w:r>
          </w:p>
          <w:p w14:paraId="204CE8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65459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D0755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检疫证明</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0051EB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E900E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2B591C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EA36F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C952C1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6180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9E9EA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0EA6C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B1C6F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3CD293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DECAAA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CEBE9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624142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2462E2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2659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42BBB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F54C2A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6451FC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索证索票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D3183E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C8D496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D1871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E89BEC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45F505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4BC6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60CDA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8D5B62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2D5C15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药残检测报告</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54544A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1C07F7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69D16E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E1EEEA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D01F7E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E80E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1361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硬件设施（20分）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006435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车辆卫生</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58708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5184BF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①合理</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F201D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744E27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049E1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04B6E5D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0C93B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7248D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CF49F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车辆营运资格</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AEC5AF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营运资格证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70B856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516B82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BBC27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45347F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F0DB77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1982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F9202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742313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包装材料清洁、安全</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01965B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目 测</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D86EAA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①是</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66499A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②否</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DD7748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663CBD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F29D95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88D2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A69ED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人员配置</w:t>
            </w:r>
            <w:r>
              <w:rPr>
                <w:rStyle w:val="16"/>
                <w:rFonts w:hint="eastAsia" w:ascii="仿宋" w:hAnsi="仿宋" w:eastAsia="仿宋" w:cs="仿宋"/>
                <w:color w:val="auto"/>
                <w:sz w:val="22"/>
                <w:szCs w:val="22"/>
                <w:highlight w:val="none"/>
                <w:lang w:val="en-US" w:eastAsia="zh-CN" w:bidi="ar"/>
              </w:rPr>
              <w:br w:type="textWrapping"/>
            </w:r>
            <w:r>
              <w:rPr>
                <w:rStyle w:val="16"/>
                <w:rFonts w:hint="eastAsia" w:ascii="仿宋" w:hAnsi="仿宋" w:eastAsia="仿宋" w:cs="仿宋"/>
                <w:color w:val="auto"/>
                <w:sz w:val="22"/>
                <w:szCs w:val="22"/>
                <w:highlight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53715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驾驶员证件</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766668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驾驶证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E94A26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B177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EB05D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5AE9F6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F128CC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7D31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E1E4F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7B6F05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人员配置情况</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0173D1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实际出勤</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0CD6727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kern w:val="2"/>
                <w:sz w:val="22"/>
                <w:szCs w:val="22"/>
                <w:highlight w:val="none"/>
                <w:u w:val="none"/>
                <w:lang w:val="en-US" w:eastAsia="zh-CN" w:bidi="ar-SA"/>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4F5B5E0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50974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B70BD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1A63F61">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90FC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A6A6F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26E17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专车专人配送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403D11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固定车辆及司机且车辆不得运送有毒有害物质</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6F4E07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69F06B6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23518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4EF7840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00B123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893E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A9295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7BD39A2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健康证明</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A85815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健康证</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30DEB03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①有</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8D54C2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②无</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A94E72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B512A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51FBFDD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2969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0478A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食材质量</w:t>
            </w:r>
          </w:p>
          <w:p w14:paraId="7D744EF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（20分）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61EB6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D64C93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依据肉类验收标准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AAD145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E27BE6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12505C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90817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198D100">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CEB7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2A07CC4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02BB8C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F8A03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7"/>
                <w:rFonts w:hint="eastAsia" w:ascii="仿宋" w:hAnsi="仿宋" w:eastAsia="仿宋" w:cs="仿宋"/>
                <w:color w:val="auto"/>
                <w:sz w:val="22"/>
                <w:szCs w:val="22"/>
                <w:highlight w:val="none"/>
                <w:lang w:val="en-US" w:eastAsia="zh-CN" w:bidi="ar"/>
              </w:rPr>
              <w:br w:type="textWrapping"/>
            </w:r>
            <w:r>
              <w:rPr>
                <w:rStyle w:val="16"/>
                <w:rFonts w:hint="eastAsia" w:ascii="仿宋" w:hAnsi="仿宋" w:eastAsia="仿宋" w:cs="仿宋"/>
                <w:color w:val="auto"/>
                <w:sz w:val="22"/>
                <w:szCs w:val="22"/>
                <w:highlight w:val="none"/>
                <w:lang w:val="en-US" w:eastAsia="zh-CN" w:bidi="ar"/>
              </w:rPr>
              <w:t>依据禽、蛋、水产类验收标准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FCD173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8750E3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2EAE28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66406F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0348EC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EC26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1FA194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96CA4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09F728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依据预包装验收标准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1AB3979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326668F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765DD4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E8330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7670731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2FE0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ACA3BB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CFC61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A663A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依据蔬果验收标准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5BDA61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24373CE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F1B797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BABCE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64F613A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7CBFE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324CA1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食材价格</w:t>
            </w:r>
          </w:p>
          <w:p w14:paraId="714694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（12分）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66AE4DD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牛、猪、羊肉类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CDA3D8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5A5C698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1EA390C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18BE45A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3CB3BC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2E50AE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BC48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CFFF85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3B5ED17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鲜禽、蛋、水产类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56E9CE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6B71754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60BE2F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35F5E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1B3D12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290BCF1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4DE4D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350552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10698CC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预包装食品</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4FB49FF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F4B64A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6594E19">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02B9B5D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79B6E8C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BA3806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B5E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8BF5D2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4E5E6A1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蔬果类</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2A50134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依据市场价格标准</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4496DAA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①合格</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57FD0F2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②不合格</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22CF3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2A67BCE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45C88763">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25FBD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390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数量</w:t>
            </w:r>
          </w:p>
          <w:p w14:paraId="0CD72F2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D90E3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是否与订购数量一致（误差允许在10%）</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7C40E5D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数量一致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6C466A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0BBA435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55BF08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3E0FA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12DFB56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30EBA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57105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时间</w:t>
            </w:r>
          </w:p>
          <w:p w14:paraId="57E97DA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（4分）</w:t>
            </w:r>
          </w:p>
        </w:tc>
        <w:tc>
          <w:tcPr>
            <w:tcW w:w="1932" w:type="dxa"/>
            <w:tcBorders>
              <w:top w:val="single" w:color="auto" w:sz="4" w:space="0"/>
              <w:left w:val="single" w:color="auto" w:sz="4" w:space="0"/>
              <w:bottom w:val="single" w:color="auto" w:sz="4" w:space="0"/>
              <w:right w:val="single" w:color="auto" w:sz="4" w:space="0"/>
            </w:tcBorders>
            <w:shd w:val="clear" w:color="auto" w:fill="auto"/>
            <w:vAlign w:val="center"/>
          </w:tcPr>
          <w:p w14:paraId="069A0B0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是否与餐厅要求时间一致（误差允许在20分钟内）</w:t>
            </w:r>
          </w:p>
        </w:tc>
        <w:tc>
          <w:tcPr>
            <w:tcW w:w="1801" w:type="dxa"/>
            <w:tcBorders>
              <w:top w:val="single" w:color="auto" w:sz="4" w:space="0"/>
              <w:left w:val="single" w:color="auto" w:sz="4" w:space="0"/>
              <w:bottom w:val="single" w:color="auto" w:sz="4" w:space="0"/>
              <w:right w:val="single" w:color="auto" w:sz="4" w:space="0"/>
            </w:tcBorders>
            <w:shd w:val="clear" w:color="auto" w:fill="auto"/>
            <w:vAlign w:val="center"/>
          </w:tcPr>
          <w:p w14:paraId="1182F42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时间一致</w:t>
            </w:r>
          </w:p>
        </w:tc>
        <w:tc>
          <w:tcPr>
            <w:tcW w:w="895" w:type="dxa"/>
            <w:tcBorders>
              <w:top w:val="single" w:color="auto" w:sz="4" w:space="0"/>
              <w:left w:val="single" w:color="auto" w:sz="4" w:space="0"/>
              <w:bottom w:val="single" w:color="auto" w:sz="4" w:space="0"/>
              <w:right w:val="single" w:color="auto" w:sz="4" w:space="0"/>
            </w:tcBorders>
            <w:shd w:val="clear" w:color="auto" w:fill="auto"/>
            <w:vAlign w:val="center"/>
          </w:tcPr>
          <w:p w14:paraId="70A670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①符合</w:t>
            </w:r>
          </w:p>
        </w:tc>
        <w:tc>
          <w:tcPr>
            <w:tcW w:w="1174" w:type="dxa"/>
            <w:tcBorders>
              <w:top w:val="single" w:color="auto" w:sz="4" w:space="0"/>
              <w:left w:val="single" w:color="auto" w:sz="4" w:space="0"/>
              <w:bottom w:val="single" w:color="auto" w:sz="4" w:space="0"/>
              <w:right w:val="single" w:color="auto" w:sz="4" w:space="0"/>
            </w:tcBorders>
            <w:shd w:val="clear" w:color="auto" w:fill="auto"/>
            <w:vAlign w:val="center"/>
          </w:tcPr>
          <w:p w14:paraId="7B0A0BF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6"/>
                <w:rFonts w:hint="eastAsia" w:ascii="仿宋" w:hAnsi="仿宋" w:eastAsia="仿宋" w:cs="仿宋"/>
                <w:color w:val="auto"/>
                <w:sz w:val="22"/>
                <w:szCs w:val="22"/>
                <w:highlight w:val="none"/>
                <w:lang w:val="en-US" w:eastAsia="zh-CN" w:bidi="ar"/>
              </w:rPr>
            </w:pPr>
            <w:r>
              <w:rPr>
                <w:rStyle w:val="16"/>
                <w:rFonts w:hint="eastAsia" w:ascii="仿宋" w:hAnsi="仿宋" w:eastAsia="仿宋" w:cs="仿宋"/>
                <w:color w:val="auto"/>
                <w:sz w:val="22"/>
                <w:szCs w:val="22"/>
                <w:highlight w:val="none"/>
                <w:lang w:val="en-US" w:eastAsia="zh-CN" w:bidi="ar"/>
              </w:rPr>
              <w:t>②不符合</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27BEE5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14:paraId="03203C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p>
        </w:tc>
        <w:tc>
          <w:tcPr>
            <w:tcW w:w="974" w:type="dxa"/>
            <w:tcBorders>
              <w:top w:val="single" w:color="auto" w:sz="4" w:space="0"/>
              <w:left w:val="single" w:color="auto" w:sz="4" w:space="0"/>
              <w:bottom w:val="single" w:color="auto" w:sz="4" w:space="0"/>
              <w:right w:val="single" w:color="auto" w:sz="4" w:space="0"/>
            </w:tcBorders>
            <w:shd w:val="clear" w:color="auto" w:fill="auto"/>
            <w:vAlign w:val="center"/>
          </w:tcPr>
          <w:p w14:paraId="3BE40A44">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5CD0B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EAA29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Style w:val="16"/>
                <w:rFonts w:hint="eastAsia" w:ascii="仿宋" w:hAnsi="仿宋" w:eastAsia="仿宋" w:cs="仿宋"/>
                <w:color w:val="auto"/>
                <w:sz w:val="22"/>
                <w:szCs w:val="22"/>
                <w:highlight w:val="none"/>
                <w:lang w:val="en-US" w:eastAsia="zh-CN" w:bidi="ar"/>
              </w:rPr>
              <w:t>总评价</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24F97E9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auto"/>
                <w:sz w:val="22"/>
                <w:szCs w:val="22"/>
                <w:highlight w:val="none"/>
                <w:u w:val="none"/>
              </w:rPr>
            </w:pPr>
          </w:p>
        </w:tc>
      </w:tr>
      <w:tr w14:paraId="62906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11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457FE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评 价 人</w:t>
            </w:r>
          </w:p>
        </w:tc>
        <w:tc>
          <w:tcPr>
            <w:tcW w:w="8129" w:type="dxa"/>
            <w:gridSpan w:val="7"/>
            <w:tcBorders>
              <w:top w:val="single" w:color="auto" w:sz="4" w:space="0"/>
              <w:left w:val="single" w:color="auto" w:sz="4" w:space="0"/>
              <w:bottom w:val="single" w:color="auto" w:sz="4" w:space="0"/>
              <w:right w:val="single" w:color="auto" w:sz="4" w:space="0"/>
            </w:tcBorders>
            <w:shd w:val="clear" w:color="auto" w:fill="auto"/>
            <w:vAlign w:val="top"/>
          </w:tcPr>
          <w:p w14:paraId="1042451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2"/>
                <w:szCs w:val="22"/>
                <w:highlight w:val="none"/>
                <w:u w:val="none"/>
              </w:rPr>
            </w:pPr>
          </w:p>
        </w:tc>
      </w:tr>
    </w:tbl>
    <w:p w14:paraId="61341D1B">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8"/>
          <w:szCs w:val="28"/>
          <w:highlight w:val="none"/>
          <w:lang w:bidi="ar"/>
        </w:rPr>
        <w:t xml:space="preserve">   </w:t>
      </w:r>
      <w:r>
        <w:rPr>
          <w:rFonts w:hint="eastAsia" w:ascii="仿宋" w:hAnsi="仿宋" w:eastAsia="仿宋" w:cs="仿宋"/>
          <w:color w:val="auto"/>
          <w:sz w:val="24"/>
          <w:szCs w:val="24"/>
          <w:highlight w:val="none"/>
        </w:rPr>
        <w:t>（具体考核内容采购人有权根据实际情况调整）</w:t>
      </w:r>
    </w:p>
    <w:p w14:paraId="65311E3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五、交接事宜</w:t>
      </w:r>
    </w:p>
    <w:p w14:paraId="1585E66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1.本合同签订3日内，甲方将幼儿园食堂交付至乙方进行管理，乙方进行验收签字进场。 (合同履行期间厨房设备、设施等人为损坏，乙方负责修理或赔偿。）</w:t>
      </w:r>
    </w:p>
    <w:p w14:paraId="6737D54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2.服务期届满或者双方终止合同的，乙方应在期满之日或者终止合同之日起3日内将该食堂及所有设施设备完好无条件地交回甲方。</w:t>
      </w:r>
    </w:p>
    <w:p w14:paraId="27652A2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六、双方的权利和义务</w:t>
      </w:r>
    </w:p>
    <w:p w14:paraId="66C7333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（一）甲方的权利和义务</w:t>
      </w:r>
    </w:p>
    <w:p w14:paraId="486AD6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3BFC5C4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负责检查监督乙方管理工作的实施及制度的执行情况。</w:t>
      </w:r>
    </w:p>
    <w:p w14:paraId="45B9710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根据本合同规定，按时向乙方支付应付服务费用。</w:t>
      </w:r>
    </w:p>
    <w:p w14:paraId="70DF76C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国家法律、法规所规定由甲方承担的其它责任。</w:t>
      </w:r>
    </w:p>
    <w:p w14:paraId="48E7B99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74FFD64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对本合同规定的委托服务范围内的项目享有管理权及服务义务。</w:t>
      </w:r>
    </w:p>
    <w:p w14:paraId="2B49865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根据本合同的规定向甲方收取相关服务费用，并有权在本项目管理范围内管理及合理使用。</w:t>
      </w:r>
    </w:p>
    <w:p w14:paraId="090CD71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及时向甲方通告本项目服务范围内有关服务的重大事项，及时配合处理投诉。</w:t>
      </w:r>
    </w:p>
    <w:p w14:paraId="1FDA696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在服务过程中接受项目行业管理部门及政府有关部门的指导，接受甲方的监督。</w:t>
      </w:r>
    </w:p>
    <w:p w14:paraId="0E7D53C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国家法律、法规所规定由乙方承担的其它责任。</w:t>
      </w:r>
    </w:p>
    <w:p w14:paraId="607A236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乙方应按国家技术规范、标准、规程和甲方的需求展开工作。</w:t>
      </w:r>
    </w:p>
    <w:p w14:paraId="1468297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乙方在进行服务过程中，需遵守甲方的规章制度，接受甲方的安排与协调。</w:t>
      </w:r>
    </w:p>
    <w:p w14:paraId="2B0591C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如因乙方原因导致服务工作无法开展，乙方应承担相应的责任，并采取积极的补救措施。</w:t>
      </w:r>
    </w:p>
    <w:p w14:paraId="1ABC5D6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在服务工作开展过程中，如出现意外事故，由乙方自行承担。</w:t>
      </w:r>
    </w:p>
    <w:p w14:paraId="6C9A1681">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在合同签订时，乙方应当将配备的人员厨师证、健康证、无犯罪记录证明向甲方进行备案留存。</w:t>
      </w:r>
    </w:p>
    <w:p w14:paraId="0E87628A">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七、乙方工作细则及要求</w:t>
      </w:r>
    </w:p>
    <w:p w14:paraId="5A0DD65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4468162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58B28EB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432E14C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4.当甲方有重大活动或接待任务及临时性事务需要乙方加班时，乙方应按甲方的标准要求积极配合并完成。</w:t>
      </w:r>
    </w:p>
    <w:p w14:paraId="75CB4C2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5.乙方需派餐厅食堂班长参加甲方</w:t>
      </w:r>
      <w:r>
        <w:rPr>
          <w:rFonts w:hint="eastAsia" w:ascii="仿宋" w:hAnsi="仿宋" w:eastAsia="仿宋" w:cs="仿宋"/>
          <w:color w:val="auto"/>
          <w:sz w:val="24"/>
          <w:szCs w:val="24"/>
          <w:highlight w:val="none"/>
          <w:lang w:eastAsia="zh-CN"/>
        </w:rPr>
        <w:t>膳食家长监督委员会</w:t>
      </w:r>
      <w:r>
        <w:rPr>
          <w:rFonts w:hint="eastAsia" w:ascii="仿宋" w:hAnsi="仿宋" w:eastAsia="仿宋" w:cs="仿宋"/>
          <w:color w:val="auto"/>
          <w:sz w:val="24"/>
          <w:szCs w:val="24"/>
          <w:highlight w:val="none"/>
        </w:rPr>
        <w:t>会议及每月膳食联席会议。并召开每周一次的</w:t>
      </w:r>
      <w:r>
        <w:rPr>
          <w:rFonts w:hint="eastAsia" w:ascii="仿宋" w:hAnsi="仿宋" w:eastAsia="仿宋" w:cs="仿宋"/>
          <w:color w:val="auto"/>
          <w:sz w:val="24"/>
          <w:szCs w:val="24"/>
          <w:highlight w:val="none"/>
          <w:lang w:eastAsia="zh-CN"/>
        </w:rPr>
        <w:t>后勤</w:t>
      </w:r>
      <w:r>
        <w:rPr>
          <w:rFonts w:hint="eastAsia" w:ascii="仿宋" w:hAnsi="仿宋" w:eastAsia="仿宋" w:cs="仿宋"/>
          <w:color w:val="auto"/>
          <w:sz w:val="24"/>
          <w:szCs w:val="24"/>
          <w:highlight w:val="none"/>
        </w:rPr>
        <w:t>主任、</w:t>
      </w:r>
      <w:r>
        <w:rPr>
          <w:rFonts w:hint="eastAsia" w:ascii="仿宋" w:hAnsi="仿宋" w:eastAsia="仿宋" w:cs="仿宋"/>
          <w:color w:val="auto"/>
          <w:sz w:val="24"/>
          <w:szCs w:val="24"/>
          <w:highlight w:val="none"/>
          <w:lang w:eastAsia="zh-CN"/>
        </w:rPr>
        <w:t>保健医</w:t>
      </w:r>
      <w:r>
        <w:rPr>
          <w:rFonts w:hint="eastAsia" w:ascii="仿宋" w:hAnsi="仿宋" w:eastAsia="仿宋" w:cs="仿宋"/>
          <w:color w:val="auto"/>
          <w:sz w:val="24"/>
          <w:szCs w:val="24"/>
          <w:highlight w:val="none"/>
        </w:rPr>
        <w:t>及食堂全体工作人员例会。</w:t>
      </w:r>
    </w:p>
    <w:p w14:paraId="1AEC0B4A">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乙方应当向所属员工提供符合《中华人民共和国食品安全法》要求的、印有乙方企业标识的工作服和出入证，乙方员工在工作区域时，必须穿着统一工作服。</w:t>
      </w:r>
    </w:p>
    <w:p w14:paraId="6D70B69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乙方应当保证其员工身份的真实性以及政审合格。</w:t>
      </w:r>
    </w:p>
    <w:p w14:paraId="1332CA7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6B303CE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0E9345A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定期征求就餐人员意见，根据甲方意见有针对性改定工作。</w:t>
      </w:r>
    </w:p>
    <w:p w14:paraId="644B9C5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7FF0C71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乙方负责对餐厅水、电、燃气和设施设备的检查巡视，发现问题及时向甲方汇报。</w:t>
      </w:r>
    </w:p>
    <w:p w14:paraId="5390CF7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遇到甲方有重大活动时，乙方必须按照甲方要求保障饮食供应，需提前或延后就餐时，由甲方负责提前通知乙方，乙方须配合并保证供应。</w:t>
      </w:r>
    </w:p>
    <w:p w14:paraId="2847A14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乙方需调整人员时，必须事先向甲方备案，应交健康证、在岗出入证、工作证等，并办理其他手续。</w:t>
      </w:r>
    </w:p>
    <w:p w14:paraId="7706CED6">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乙方从事餐饮的所有人员必须办理卫生防疫部门发放的健康证，并承担办证费用。</w:t>
      </w:r>
    </w:p>
    <w:p w14:paraId="77361677">
      <w:pPr>
        <w:pStyle w:val="18"/>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乙方必须向甲方开具符合甲方要求的正规发票，税费由乙方承担。</w:t>
      </w:r>
    </w:p>
    <w:p w14:paraId="1E7E6A4C">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八、验收</w:t>
      </w:r>
    </w:p>
    <w:p w14:paraId="3EFEF3EF">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2A7790AD">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乙方向甲方提交服务实施过程中的所有资料。以便甲方日后管理和维护。</w:t>
      </w:r>
    </w:p>
    <w:p w14:paraId="7A2CAD0A">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（三）验收依据：</w:t>
      </w:r>
    </w:p>
    <w:p w14:paraId="30F5626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1.磋商文件、响应文件、澄清表（函）；</w:t>
      </w:r>
    </w:p>
    <w:p w14:paraId="5A3B68C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2.本合同及附件文本；</w:t>
      </w:r>
    </w:p>
    <w:p w14:paraId="687188A0">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3.国家相应的标准、规范。</w:t>
      </w:r>
    </w:p>
    <w:p w14:paraId="7B555A5A">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（四）双方拟定的其他条款。</w:t>
      </w:r>
    </w:p>
    <w:p w14:paraId="2CC65659">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九、违约责任及解决合同纠纷的方式</w:t>
      </w:r>
    </w:p>
    <w:p w14:paraId="3F82902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（一）合同中未约定的，按《中华人民共和国民法典》中的相关条款执行。</w:t>
      </w:r>
    </w:p>
    <w:p w14:paraId="0DFD144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％的违约金。同时，政府采购监管部门有权依据《中华人民共和国政府采购法》及相关法律法规对乙方的违法行为进行相应的处罚。</w:t>
      </w:r>
    </w:p>
    <w:p w14:paraId="689677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（三）在本合同履行过程中，双方因违约或造成对方经济、社会效益等损失的应当赔偿。</w:t>
      </w:r>
    </w:p>
    <w:p w14:paraId="39DE1A74">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（四）甲方无正当理由拒绝接受服务的，需向乙方偿付本合同总价款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6C68D41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％的违约金。</w:t>
      </w:r>
    </w:p>
    <w:p w14:paraId="305FCAB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（六）乙方未能按照本合同约定时间提供服务或完成约定的项目服务内容的，从逾期之日起每日按本合同总价款</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％的数额向甲方支付违约金；逾期</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rPr>
        <w:t>日以上的，甲方有权终止合同，由此造成的甲方经济损失由乙方承担。</w:t>
      </w:r>
    </w:p>
    <w:p w14:paraId="784187D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七</w:t>
      </w:r>
      <w:r>
        <w:rPr>
          <w:rFonts w:hint="eastAsia" w:ascii="仿宋" w:hAnsi="仿宋" w:eastAsia="仿宋" w:cs="仿宋"/>
          <w:color w:val="auto"/>
          <w:sz w:val="24"/>
          <w:szCs w:val="24"/>
          <w:highlight w:val="none"/>
        </w:rPr>
        <w:t>）未经甲方同意，乙方不得擅自将本合同服务分包或转包第三方承担。</w:t>
      </w:r>
    </w:p>
    <w:p w14:paraId="38FC3C4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（八）本合同中各条款约定的违约金可自甲方未支付款项中直接扣除，违约金若不能弥补甲方损失的，乙方还应赔偿甲方损失。</w:t>
      </w:r>
    </w:p>
    <w:p w14:paraId="6B032795">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（九）双方拟定的其他条款。</w:t>
      </w:r>
    </w:p>
    <w:p w14:paraId="0A33150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十、保密条款</w:t>
      </w:r>
    </w:p>
    <w:p w14:paraId="1281BE8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072066B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249F89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（三）本条款为独立条款，本合同的无效、变更、解除和终止均不影响本条款的效力。</w:t>
      </w:r>
    </w:p>
    <w:p w14:paraId="6D9DD966">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（四）双方拟定的其他条款。</w:t>
      </w:r>
    </w:p>
    <w:p w14:paraId="092408F6">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十一、合同变更与终止</w:t>
      </w:r>
    </w:p>
    <w:p w14:paraId="3F5E75FE">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1、合同期间任何一方不得随意终止合同。</w:t>
      </w:r>
    </w:p>
    <w:p w14:paraId="713F0CA2">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2、本合同规定的履行期限届满，合同自动终止。</w:t>
      </w:r>
    </w:p>
    <w:p w14:paraId="089E1E44">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3、乙方应自觉遵守甲方工作纪律、规章制度，服从甲方管理。因乙方原因给甲方造成严重后果，甲方可以单方面解除合同。</w:t>
      </w:r>
    </w:p>
    <w:p w14:paraId="2093C592">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w:t>
      </w:r>
      <w:r>
        <w:rPr>
          <w:rFonts w:hint="eastAsia" w:ascii="仿宋" w:hAnsi="仿宋" w:eastAsia="仿宋" w:cs="仿宋"/>
          <w:b/>
          <w:bCs/>
          <w:color w:val="auto"/>
          <w:sz w:val="24"/>
          <w:szCs w:val="24"/>
          <w:highlight w:val="none"/>
        </w:rPr>
        <w:fldChar w:fldCharType="begin"/>
      </w:r>
      <w:r>
        <w:rPr>
          <w:rFonts w:hint="eastAsia" w:ascii="仿宋" w:hAnsi="仿宋" w:eastAsia="仿宋" w:cs="仿宋"/>
          <w:b/>
          <w:bCs/>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color w:val="auto"/>
          <w:sz w:val="24"/>
          <w:szCs w:val="24"/>
          <w:highlight w:val="none"/>
        </w:rPr>
        <w:fldChar w:fldCharType="separate"/>
      </w:r>
      <w:r>
        <w:rPr>
          <w:rFonts w:hint="eastAsia" w:ascii="仿宋" w:hAnsi="仿宋" w:eastAsia="仿宋" w:cs="仿宋"/>
          <w:b/>
          <w:bCs/>
          <w:color w:val="auto"/>
          <w:sz w:val="24"/>
          <w:szCs w:val="24"/>
          <w:highlight w:val="none"/>
        </w:rPr>
        <w:t>不可抗力</w:t>
      </w:r>
      <w:r>
        <w:rPr>
          <w:rFonts w:hint="eastAsia" w:ascii="仿宋" w:hAnsi="仿宋" w:eastAsia="仿宋" w:cs="仿宋"/>
          <w:b/>
          <w:bCs/>
          <w:color w:val="auto"/>
          <w:sz w:val="24"/>
          <w:szCs w:val="24"/>
          <w:highlight w:val="none"/>
        </w:rPr>
        <w:fldChar w:fldCharType="end"/>
      </w:r>
    </w:p>
    <w:p w14:paraId="4AD62E72">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甲乙双方任何一方由于</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不可抗力</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原因不能履行合同时，应及时向对</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方通</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违约责任</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p>
    <w:p w14:paraId="75616EAA">
      <w:pPr>
        <w:pStyle w:val="18"/>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十三、争议解决</w:t>
      </w:r>
    </w:p>
    <w:p w14:paraId="2AF5DDA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（一）本合同在履行过程中发生的争议，由甲、乙双方当事人协商解决，协商不成的按下列第＿种方式解决：</w:t>
      </w:r>
    </w:p>
    <w:p w14:paraId="1A0A67D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1、提交西安仲裁委员会仲裁；</w:t>
      </w:r>
    </w:p>
    <w:p w14:paraId="2D829E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2、依法向甲方所在地人民法院起诉。</w:t>
      </w:r>
    </w:p>
    <w:p w14:paraId="743D9FD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（二）本条款为独立条款，本合同的无效、变更、解除和终止均不影响本条款的效力。</w:t>
      </w:r>
    </w:p>
    <w:p w14:paraId="2F6946B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十四、关于送达的约定</w:t>
      </w:r>
    </w:p>
    <w:p w14:paraId="2E0D2D87">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（一）本合同项下甲乙双方任何一方向对方发出的通知、信件、数据电文等，应当发送至本合同下列约定的地址、联系人和通信终端。</w:t>
      </w:r>
    </w:p>
    <w:p w14:paraId="54D2E87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（二）各种通讯方式应当按照下列方式确定其送达时间：</w:t>
      </w:r>
    </w:p>
    <w:p w14:paraId="2FC3517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1、面呈之通知在被通知人签收时视为送达，被通知人未签收的不得视为有效的送达。</w:t>
      </w:r>
    </w:p>
    <w:p w14:paraId="4925799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2、以邮寄方式进行的通知均应采用邮政挂号快件或特快专递的方式进行，自信件交邮后的第7日视为送达。</w:t>
      </w:r>
    </w:p>
    <w:p w14:paraId="6D6D552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72DE834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773F55D">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十五、合同变更</w:t>
      </w:r>
    </w:p>
    <w:p w14:paraId="0B52823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40653C21">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十六、合同生效</w:t>
      </w:r>
    </w:p>
    <w:p w14:paraId="0D1E8C6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份，西安国家民用航天产业基地管委会财政局备案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份，本合同甲、乙</w:t>
      </w:r>
      <w:r>
        <w:rPr>
          <w:rFonts w:hint="eastAsia" w:ascii="仿宋" w:hAnsi="仿宋" w:eastAsia="仿宋" w:cs="仿宋"/>
          <w:color w:val="auto"/>
          <w:sz w:val="24"/>
          <w:szCs w:val="24"/>
          <w:highlight w:val="none"/>
          <w:lang w:eastAsia="zh-CN"/>
        </w:rPr>
        <w:t>双</w:t>
      </w:r>
      <w:r>
        <w:rPr>
          <w:rFonts w:hint="eastAsia" w:ascii="仿宋" w:hAnsi="仿宋" w:eastAsia="仿宋" w:cs="仿宋"/>
          <w:color w:val="auto"/>
          <w:sz w:val="24"/>
          <w:szCs w:val="24"/>
          <w:highlight w:val="none"/>
        </w:rPr>
        <w:t>方签字并盖章后生效，合同执行完毕后，自动失效（合同的服务承诺则长期有效）。</w:t>
      </w:r>
    </w:p>
    <w:p w14:paraId="1AAA1A8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十七、其他事项</w:t>
      </w:r>
    </w:p>
    <w:p w14:paraId="4AA23A79">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7B8ED76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）磋商文件、响应文件、澄清表（函）、成交通知书、合同附件均成为合同不可分割的部分。</w:t>
      </w:r>
    </w:p>
    <w:p w14:paraId="489A047B">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）甲乙双方因不可抗力导致本合同全部或部分不能履行时，发生不可抗力的一方应当在不可抗力发生后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10</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天内书面通知对方，以减轻可能给对方造成的损失。因不可抗力导致本合同全部或部分不能履行时，双方各自承担其因此而造成的损失、损害。</w:t>
      </w:r>
    </w:p>
    <w:p w14:paraId="6C8292A2">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四</w:t>
      </w:r>
      <w:r>
        <w:rPr>
          <w:rFonts w:hint="eastAsia" w:ascii="仿宋" w:hAnsi="仿宋" w:eastAsia="仿宋" w:cs="仿宋"/>
          <w:color w:val="auto"/>
          <w:sz w:val="24"/>
          <w:szCs w:val="24"/>
          <w:highlight w:val="none"/>
        </w:rPr>
        <w:t>）合同未尽事宜，由甲、乙双方协商确认后签订政府采购补充合同，与原合同具有同等法律效力。</w:t>
      </w:r>
    </w:p>
    <w:p w14:paraId="6315FD0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tbl>
      <w:tblPr>
        <w:tblStyle w:val="10"/>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8"/>
        <w:gridCol w:w="4240"/>
      </w:tblGrid>
      <w:tr w14:paraId="7910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99" w:type="pct"/>
            <w:noWrap w:val="0"/>
            <w:vAlign w:val="center"/>
          </w:tcPr>
          <w:p w14:paraId="4A0F16A6">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w:t>
            </w:r>
          </w:p>
        </w:tc>
        <w:tc>
          <w:tcPr>
            <w:tcW w:w="2500" w:type="pct"/>
            <w:noWrap w:val="0"/>
            <w:vAlign w:val="center"/>
          </w:tcPr>
          <w:p w14:paraId="2879BBA6">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
        </w:tc>
      </w:tr>
      <w:tr w14:paraId="731D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2499" w:type="pct"/>
            <w:noWrap w:val="0"/>
            <w:vAlign w:val="center"/>
          </w:tcPr>
          <w:p w14:paraId="29F2E285">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采购人名称</w:t>
            </w:r>
          </w:p>
          <w:p w14:paraId="41E97C38">
            <w:pPr>
              <w:pStyle w:val="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434D106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（盖章）</w:t>
            </w:r>
          </w:p>
        </w:tc>
        <w:tc>
          <w:tcPr>
            <w:tcW w:w="2500" w:type="pct"/>
            <w:noWrap w:val="0"/>
            <w:vAlign w:val="center"/>
          </w:tcPr>
          <w:p w14:paraId="4F23FDA2">
            <w:pPr>
              <w:pStyle w:val="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供应商全称</w:t>
            </w:r>
          </w:p>
          <w:p w14:paraId="6EA04493">
            <w:pPr>
              <w:pStyle w:val="4"/>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p w14:paraId="5A0172DA">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4B04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2499" w:type="pct"/>
            <w:noWrap w:val="0"/>
            <w:vAlign w:val="center"/>
          </w:tcPr>
          <w:p w14:paraId="768D3AD4">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c>
          <w:tcPr>
            <w:tcW w:w="2500" w:type="pct"/>
            <w:noWrap w:val="0"/>
            <w:vAlign w:val="center"/>
          </w:tcPr>
          <w:p w14:paraId="3D8A7B07">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地址：</w:t>
            </w:r>
          </w:p>
        </w:tc>
      </w:tr>
      <w:tr w14:paraId="2C4AC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3D539425">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500" w:type="pct"/>
            <w:noWrap w:val="0"/>
            <w:vAlign w:val="center"/>
          </w:tcPr>
          <w:p w14:paraId="3861FB87">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70005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3D72D5F9">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500" w:type="pct"/>
            <w:noWrap w:val="0"/>
            <w:vAlign w:val="center"/>
          </w:tcPr>
          <w:p w14:paraId="6F63D4C0">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5593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2499" w:type="pct"/>
            <w:noWrap w:val="0"/>
            <w:vAlign w:val="center"/>
          </w:tcPr>
          <w:p w14:paraId="18EECB9F">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c>
          <w:tcPr>
            <w:tcW w:w="2500" w:type="pct"/>
            <w:noWrap w:val="0"/>
            <w:vAlign w:val="center"/>
          </w:tcPr>
          <w:p w14:paraId="3DB4B4DB">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被授权代表：（签字）</w:t>
            </w:r>
          </w:p>
        </w:tc>
      </w:tr>
      <w:tr w14:paraId="7CAFF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499" w:type="pct"/>
            <w:noWrap w:val="0"/>
            <w:vAlign w:val="center"/>
          </w:tcPr>
          <w:p w14:paraId="18140C9B">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c>
          <w:tcPr>
            <w:tcW w:w="2500" w:type="pct"/>
            <w:noWrap w:val="0"/>
            <w:vAlign w:val="center"/>
          </w:tcPr>
          <w:p w14:paraId="50D8D004">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电话：</w:t>
            </w:r>
          </w:p>
        </w:tc>
      </w:tr>
      <w:tr w14:paraId="593C9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2499" w:type="pct"/>
            <w:noWrap w:val="0"/>
            <w:vAlign w:val="center"/>
          </w:tcPr>
          <w:p w14:paraId="7CBBFED7">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500" w:type="pct"/>
            <w:noWrap w:val="0"/>
            <w:vAlign w:val="center"/>
          </w:tcPr>
          <w:p w14:paraId="52E4CC35">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6F865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77FCCF16">
            <w:pPr>
              <w:pStyle w:val="7"/>
              <w:rPr>
                <w:rFonts w:hint="eastAsia" w:ascii="仿宋" w:hAnsi="仿宋" w:eastAsia="仿宋" w:cs="仿宋"/>
                <w:color w:val="auto"/>
                <w:sz w:val="24"/>
                <w:szCs w:val="24"/>
                <w:highlight w:val="none"/>
              </w:rPr>
            </w:pPr>
          </w:p>
        </w:tc>
        <w:tc>
          <w:tcPr>
            <w:tcW w:w="2500" w:type="pct"/>
            <w:noWrap w:val="0"/>
            <w:vAlign w:val="center"/>
          </w:tcPr>
          <w:p w14:paraId="647BC9E3">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开户银行：</w:t>
            </w:r>
          </w:p>
        </w:tc>
      </w:tr>
      <w:tr w14:paraId="67C4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99" w:type="pct"/>
            <w:noWrap w:val="0"/>
            <w:vAlign w:val="center"/>
          </w:tcPr>
          <w:p w14:paraId="23B1419C">
            <w:pPr>
              <w:pStyle w:val="7"/>
              <w:rPr>
                <w:rFonts w:hint="eastAsia" w:ascii="仿宋" w:hAnsi="仿宋" w:eastAsia="仿宋" w:cs="仿宋"/>
                <w:color w:val="auto"/>
                <w:sz w:val="24"/>
                <w:szCs w:val="24"/>
                <w:highlight w:val="none"/>
              </w:rPr>
            </w:pPr>
          </w:p>
        </w:tc>
        <w:tc>
          <w:tcPr>
            <w:tcW w:w="2500" w:type="pct"/>
            <w:noWrap w:val="0"/>
            <w:vAlign w:val="center"/>
          </w:tcPr>
          <w:p w14:paraId="04049787">
            <w:pPr>
              <w:pStyle w:val="7"/>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账号：</w:t>
            </w:r>
          </w:p>
        </w:tc>
      </w:tr>
      <w:tr w14:paraId="43D2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2499" w:type="pct"/>
            <w:noWrap w:val="0"/>
            <w:vAlign w:val="center"/>
          </w:tcPr>
          <w:p w14:paraId="76F49A25">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500" w:type="pct"/>
            <w:noWrap w:val="0"/>
            <w:vAlign w:val="center"/>
          </w:tcPr>
          <w:p w14:paraId="10E3BD72">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14:paraId="0282A52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rPr>
      </w:pPr>
    </w:p>
    <w:p w14:paraId="7D0006EA">
      <w:pPr>
        <w:pStyle w:val="19"/>
        <w:bidi w:val="0"/>
        <w:spacing w:line="300" w:lineRule="auto"/>
        <w:rPr>
          <w:rFonts w:hint="eastAsia" w:ascii="仿宋" w:hAnsi="仿宋" w:eastAsia="仿宋" w:cs="仿宋"/>
          <w:highlight w:val="none"/>
          <w:lang w:val="en-US" w:eastAsia="zh-Hans"/>
        </w:rPr>
      </w:pPr>
    </w:p>
    <w:p w14:paraId="7ED9B264">
      <w:pPr>
        <w:rPr>
          <w:rFonts w:hint="eastAsi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85521"/>
    <w:rsid w:val="1E135665"/>
    <w:rsid w:val="208B1571"/>
    <w:rsid w:val="218D7E9A"/>
    <w:rsid w:val="24341072"/>
    <w:rsid w:val="277C4787"/>
    <w:rsid w:val="2A480FED"/>
    <w:rsid w:val="4A896123"/>
    <w:rsid w:val="4DA05398"/>
    <w:rsid w:val="5FF40A7C"/>
    <w:rsid w:val="6D8C6249"/>
    <w:rsid w:val="7EFD4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autoRedefine/>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character" w:customStyle="1" w:styleId="12">
    <w:name w:val="标题 2 Char1"/>
    <w:basedOn w:val="11"/>
    <w:link w:val="2"/>
    <w:autoRedefine/>
    <w:qFormat/>
    <w:uiPriority w:val="9"/>
    <w:rPr>
      <w:rFonts w:ascii="楷体" w:hAnsi="楷体" w:eastAsia="仿宋" w:cs="Times New Roman"/>
      <w:b/>
      <w:sz w:val="24"/>
      <w:szCs w:val="32"/>
    </w:rPr>
  </w:style>
  <w:style w:type="character" w:customStyle="1" w:styleId="13">
    <w:name w:val="font21"/>
    <w:basedOn w:val="11"/>
    <w:qFormat/>
    <w:uiPriority w:val="0"/>
    <w:rPr>
      <w:rFonts w:hint="eastAsia" w:ascii="仿宋" w:hAnsi="仿宋" w:eastAsia="仿宋" w:cs="仿宋"/>
      <w:color w:val="C00000"/>
      <w:sz w:val="24"/>
      <w:szCs w:val="24"/>
      <w:u w:val="none"/>
    </w:rPr>
  </w:style>
  <w:style w:type="character" w:customStyle="1" w:styleId="14">
    <w:name w:val="font31"/>
    <w:basedOn w:val="11"/>
    <w:qFormat/>
    <w:uiPriority w:val="0"/>
    <w:rPr>
      <w:rFonts w:hint="eastAsia" w:ascii="宋体" w:hAnsi="宋体" w:eastAsia="宋体" w:cs="宋体"/>
      <w:color w:val="000000"/>
      <w:sz w:val="21"/>
      <w:szCs w:val="21"/>
      <w:u w:val="none"/>
    </w:rPr>
  </w:style>
  <w:style w:type="character" w:customStyle="1" w:styleId="15">
    <w:name w:val="font41"/>
    <w:basedOn w:val="11"/>
    <w:qFormat/>
    <w:uiPriority w:val="0"/>
    <w:rPr>
      <w:rFonts w:hint="eastAsia" w:ascii="宋体" w:hAnsi="宋体" w:eastAsia="宋体" w:cs="宋体"/>
      <w:b/>
      <w:bCs/>
      <w:color w:val="000000"/>
      <w:sz w:val="21"/>
      <w:szCs w:val="21"/>
      <w:u w:val="none"/>
    </w:rPr>
  </w:style>
  <w:style w:type="character" w:customStyle="1" w:styleId="16">
    <w:name w:val="font51"/>
    <w:basedOn w:val="11"/>
    <w:qFormat/>
    <w:uiPriority w:val="0"/>
    <w:rPr>
      <w:rFonts w:ascii="宋体" w:hAnsi="宋体" w:eastAsia="宋体" w:cs="宋体"/>
      <w:color w:val="000000"/>
      <w:sz w:val="20"/>
      <w:szCs w:val="20"/>
      <w:u w:val="none"/>
    </w:rPr>
  </w:style>
  <w:style w:type="character" w:customStyle="1" w:styleId="17">
    <w:name w:val="font61"/>
    <w:basedOn w:val="11"/>
    <w:qFormat/>
    <w:uiPriority w:val="0"/>
    <w:rPr>
      <w:rFonts w:hint="default" w:ascii="Arial" w:hAnsi="Arial" w:cs="Arial"/>
      <w:color w:val="000000"/>
      <w:sz w:val="10"/>
      <w:szCs w:val="10"/>
      <w:u w:val="none"/>
    </w:rPr>
  </w:style>
  <w:style w:type="paragraph" w:customStyle="1" w:styleId="18">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122</Words>
  <Characters>124</Characters>
  <Lines>0</Lines>
  <Paragraphs>0</Paragraphs>
  <TotalTime>0</TotalTime>
  <ScaleCrop>false</ScaleCrop>
  <LinksUpToDate>false</LinksUpToDate>
  <CharactersWithSpaces>254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2026-05-08T02:19:23Z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AF79F544A8804328AAC6C7FF776A5FD5_13</vt:lpwstr>
  </property>
  <property fmtid="{D5CDD505-2E9C-101B-9397-08002B2CF9AE}" pid="4" name="KSOTemplateDocerSaveRecord">
    <vt:lpwstr>eyJoZGlkIjoiOWE1YTM2MmJkYmVkODc1MjU2NGFmNzEwMDZmOTZkY2YiLCJ1c2VySWQiOiI5MTQ3Njg1NjkifQ==</vt:lpwstr>
  </property>
</Properties>
</file>