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版本号：HGMHCG-2026-3420260903001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铜川市2026年农民丰收节会展服务项目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HGMHCG-2026-34</w:t>
      </w:r>
      <w:r>
        <w:br/>
      </w:r>
      <w:r>
        <w:br/>
      </w:r>
      <w:r>
        <w:br/>
      </w:r>
    </w:p>
    <w:p>
      <w:pPr>
        <w:pStyle w:val="null3"/>
        <w:jc w:val="center"/>
        <w:outlineLvl w:val="2"/>
      </w:pPr>
      <w:r>
        <w:rPr>
          <w:rFonts w:ascii="仿宋_GB2312" w:hAnsi="仿宋_GB2312" w:cs="仿宋_GB2312" w:eastAsia="仿宋_GB2312"/>
          <w:sz w:val="28"/>
          <w:b/>
        </w:rPr>
        <w:t>宜君县农业农村局</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宜君县农业农村局</w:t>
      </w:r>
      <w:r>
        <w:rPr>
          <w:rFonts w:ascii="仿宋_GB2312" w:hAnsi="仿宋_GB2312" w:cs="仿宋_GB2312" w:eastAsia="仿宋_GB2312"/>
        </w:rPr>
        <w:t>委托，拟对</w:t>
      </w:r>
      <w:r>
        <w:rPr>
          <w:rFonts w:ascii="仿宋_GB2312" w:hAnsi="仿宋_GB2312" w:cs="仿宋_GB2312" w:eastAsia="仿宋_GB2312"/>
        </w:rPr>
        <w:t>铜川市2026年农民丰收节会展服务项目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铜川市2026年农民丰收节会展服务项目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9月23日（农历秋分），将迎来第九个中国农民丰收节（以下简称“丰收节”）。为全面推进乡村振兴，助力建设农业强国，聚焦建设宜居宜业和美乡村。拟在宜君县举办“铜川市庆祝2026年中国农民丰收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采购包1（铜川市2026年农民丰收节会展服务项目）：属于专门面向小微企业采购。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2、健全的财务会计制度：提供2025年度经审计的财务报告或提交磋商截止时间之前六个月基本开户银行出具的资信证明。</w:t>
      </w:r>
    </w:p>
    <w:p>
      <w:pPr>
        <w:pStyle w:val="null3"/>
      </w:pPr>
      <w:r>
        <w:rPr>
          <w:rFonts w:ascii="仿宋_GB2312" w:hAnsi="仿宋_GB2312" w:cs="仿宋_GB2312" w:eastAsia="仿宋_GB2312"/>
        </w:rPr>
        <w:t>3、税收缴纳证明：供应商提供2026年至今任意一个月已缴纳的完税凭证或税务机关开具的完税证明（任意税种），依法免税的单位应提供相关证明材料；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4、社会保障资金缴纳证明：供应商提供2026年至今任意一个月的社会保障资金缴存单据或社保机构开具的社会保险参保缴费情况证明。依法不需要缴纳社会保障资金的供应商应提供相关证明文件；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5、声明书：（1）提供具有履行本合同所必需的设备和专业技术能力的承诺及说明；（2）出具参加政府采购活动前3年内在经营活动中没有重大违法记录的书面声明；</w:t>
      </w:r>
    </w:p>
    <w:p>
      <w:pPr>
        <w:pStyle w:val="null3"/>
      </w:pPr>
      <w:r>
        <w:rPr>
          <w:rFonts w:ascii="仿宋_GB2312" w:hAnsi="仿宋_GB2312" w:cs="仿宋_GB2312" w:eastAsia="仿宋_GB2312"/>
        </w:rPr>
        <w:t>6、法定代表人证明书或法定代表人授权书：法定代表人直接参加投标的，须出具法定代表人证明书及身份证复印件，并与营业执照上信息一致；法定代表人授权代表参加投标的，须出具法定代表人授权书及授权代表身份证复印件。</w:t>
      </w:r>
    </w:p>
    <w:p>
      <w:pPr>
        <w:pStyle w:val="null3"/>
      </w:pPr>
      <w:r>
        <w:rPr>
          <w:rFonts w:ascii="仿宋_GB2312" w:hAnsi="仿宋_GB2312" w:cs="仿宋_GB2312" w:eastAsia="仿宋_GB2312"/>
        </w:rPr>
        <w:t>7、信用截图：供应商不得为“信⽤中国”⽹站（www.creditchina.gov.cn）中被列⼊“重⼤税收违法失信主体”的供应商,不得为“中国执⾏信息公开⽹”⽹站（zxgk.cou rt.gov.cn/））中被列⼊“失信被执⾏⼈”的供应商；不得为中国政府采购⽹（w ww.ccgp.gov.cn）政府采购“严重违法失信⾏为记录名单”中被财政部⻔禁⽌参加政府采购活动的供应商。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陕西省铜川市宜君县宜阳北街28号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13991595213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陕西省铜川市市本级陕西省铜川市新区长虹南路山水雅庭3幢1单元10901室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办法》的通知（计价格〔2002〕1980号）、《国家发展和改⾰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宜君县农业农村局</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宜君县农业农村局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按财库〔2021〕22 号 23 条，本项目属原创设计类，主 KV 及全套延展设计成果（含源文件）验收后归采购人所有，供应商保证原创并承担侵权责任，未经同意不得他用。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全部客观量化指标逐项达标 + 商务要求落实 + 主观设计项以采购⼈书⾯确认；"申请→现场核验→出具验收书→签署→存档" 程序；不合格限期整改、仍不合格按违约责任处理。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联系人：杨倩</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地址：陕西省铜川市市本级陕西省铜川市新区长虹南路山水雅庭3幢1单元10901室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9月23日（农历秋分），将迎来第九个中国农民丰收节（以下简称“丰收节”）。为全面推进乡村振兴，助力建设农业强国，聚焦建设宜居宜业和美乡村。拟在宜君县举办“铜川市庆祝2026年中国农民丰收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5"/>
              <w:ind w:right="75" w:firstLine="770"/>
            </w:pPr>
            <w:r>
              <w:rPr>
                <w:rFonts w:ascii="仿宋_GB2312" w:hAnsi="仿宋_GB2312" w:cs="仿宋_GB2312" w:eastAsia="仿宋_GB2312"/>
                <w:sz w:val="32"/>
                <w:color w:val="000000"/>
              </w:rPr>
              <w:t>（一）整体设计总要求</w:t>
            </w:r>
          </w:p>
          <w:p>
            <w:pPr>
              <w:pStyle w:val="null3"/>
              <w:spacing w:before="15"/>
              <w:ind w:right="75" w:firstLine="770"/>
            </w:pPr>
            <w:r>
              <w:rPr>
                <w:rFonts w:ascii="仿宋_GB2312" w:hAnsi="仿宋_GB2312" w:cs="仿宋_GB2312" w:eastAsia="仿宋_GB2312"/>
                <w:sz w:val="32"/>
                <w:color w:val="000000"/>
              </w:rPr>
              <w:t>1、原创视觉体系硬性要求：供应商须围绕指定主题全套原创设计整套视觉系统，包含A区舞台区；B区为铜川市各区县特色农产品展区及惠农政策宣传区；C区为各区县农业经营主体特色农产品展区；D区为现代农业成果展区和各区县文创产品展区；E区为线上宣传直播区；F区为农业农村政策法规宣传区,G区为地方特色美食、小吃品鉴区；活动主视觉KV、二级延展视觉物料；</w:t>
            </w:r>
          </w:p>
          <w:p>
            <w:pPr>
              <w:pStyle w:val="null3"/>
              <w:spacing w:before="15"/>
              <w:ind w:right="75" w:firstLine="770"/>
            </w:pPr>
            <w:r>
              <w:rPr>
                <w:rFonts w:ascii="仿宋_GB2312" w:hAnsi="仿宋_GB2312" w:cs="仿宋_GB2312" w:eastAsia="仿宋_GB2312"/>
                <w:sz w:val="32"/>
                <w:color w:val="000000"/>
              </w:rPr>
              <w:t>2、文化融合要素：深度融合铜川市全域农业产业成果及本土地域文化元素；</w:t>
            </w:r>
          </w:p>
          <w:p>
            <w:pPr>
              <w:pStyle w:val="null3"/>
              <w:spacing w:before="15"/>
              <w:ind w:right="75" w:firstLine="770"/>
            </w:pPr>
            <w:r>
              <w:rPr>
                <w:rFonts w:ascii="仿宋_GB2312" w:hAnsi="仿宋_GB2312" w:cs="仿宋_GB2312" w:eastAsia="仿宋_GB2312"/>
                <w:sz w:val="32"/>
                <w:color w:val="000000"/>
              </w:rPr>
              <w:t>3、风格标准：整体大气简约、层级分明、空间层次感强，庄重契合铜川市官方政务活动规格与现代化视觉质感；</w:t>
            </w:r>
          </w:p>
          <w:p>
            <w:pPr>
              <w:pStyle w:val="null3"/>
              <w:spacing w:before="15"/>
              <w:ind w:right="75" w:firstLine="770"/>
            </w:pPr>
            <w:r>
              <w:rPr>
                <w:rFonts w:ascii="仿宋_GB2312" w:hAnsi="仿宋_GB2312" w:cs="仿宋_GB2312" w:eastAsia="仿宋_GB2312"/>
                <w:sz w:val="32"/>
                <w:color w:val="000000"/>
              </w:rPr>
              <w:t>（二）全套服务内容及分项要求</w:t>
            </w:r>
          </w:p>
          <w:p>
            <w:pPr>
              <w:pStyle w:val="null3"/>
              <w:spacing w:before="15"/>
              <w:ind w:right="75" w:firstLine="770"/>
            </w:pPr>
            <w:r>
              <w:rPr>
                <w:rFonts w:ascii="仿宋_GB2312" w:hAnsi="仿宋_GB2312" w:cs="仿宋_GB2312" w:eastAsia="仿宋_GB2312"/>
                <w:sz w:val="32"/>
                <w:color w:val="000000"/>
              </w:rPr>
              <w:t>第一部分：全域视觉系统设计服务</w:t>
            </w:r>
          </w:p>
          <w:p>
            <w:pPr>
              <w:pStyle w:val="null3"/>
              <w:spacing w:before="15"/>
              <w:ind w:right="75" w:firstLine="770"/>
            </w:pPr>
            <w:r>
              <w:rPr>
                <w:rFonts w:ascii="仿宋_GB2312" w:hAnsi="仿宋_GB2312" w:cs="仿宋_GB2312" w:eastAsia="仿宋_GB2312"/>
                <w:sz w:val="32"/>
                <w:color w:val="000000"/>
              </w:rPr>
              <w:t>1. 基础视觉体系设计</w:t>
            </w:r>
          </w:p>
          <w:p>
            <w:pPr>
              <w:pStyle w:val="null3"/>
              <w:spacing w:before="15"/>
              <w:ind w:right="75" w:firstLine="770"/>
            </w:pPr>
            <w:r>
              <w:rPr>
                <w:rFonts w:ascii="仿宋_GB2312" w:hAnsi="仿宋_GB2312" w:cs="仿宋_GB2312" w:eastAsia="仿宋_GB2312"/>
                <w:sz w:val="32"/>
                <w:color w:val="000000"/>
              </w:rPr>
              <w:t>主视觉主</w:t>
            </w:r>
            <w:r>
              <w:rPr>
                <w:rFonts w:ascii="仿宋_GB2312" w:hAnsi="仿宋_GB2312" w:cs="仿宋_GB2312" w:eastAsia="仿宋_GB2312"/>
                <w:sz w:val="32"/>
                <w:color w:val="000000"/>
              </w:rPr>
              <w:t>KV主画面：横向、竖向双版式主视觉，高清文件，适配门头、舞台背景、道旗、展板各类载体。</w:t>
            </w:r>
          </w:p>
          <w:p>
            <w:pPr>
              <w:pStyle w:val="null3"/>
              <w:spacing w:before="15"/>
              <w:ind w:right="75" w:firstLine="770"/>
            </w:pPr>
            <w:r>
              <w:rPr>
                <w:rFonts w:ascii="仿宋_GB2312" w:hAnsi="仿宋_GB2312" w:cs="仿宋_GB2312" w:eastAsia="仿宋_GB2312"/>
                <w:sz w:val="32"/>
                <w:color w:val="000000"/>
              </w:rPr>
              <w:t>2.全系列宣传氛围物料设计制作</w:t>
            </w:r>
          </w:p>
          <w:p>
            <w:pPr>
              <w:pStyle w:val="null3"/>
              <w:spacing w:before="15"/>
              <w:ind w:right="75" w:firstLine="770"/>
            </w:pPr>
            <w:r>
              <w:rPr>
                <w:rFonts w:ascii="仿宋_GB2312" w:hAnsi="仿宋_GB2312" w:cs="仿宋_GB2312" w:eastAsia="仿宋_GB2312"/>
                <w:sz w:val="32"/>
                <w:color w:val="000000"/>
              </w:rPr>
              <w:t>氛围物料：会场周边道旗、导视牌、产品展销展位门头、展板、工作证、媒体证、参展证等。</w:t>
            </w:r>
          </w:p>
          <w:p>
            <w:pPr>
              <w:pStyle w:val="null3"/>
              <w:spacing w:before="15"/>
              <w:ind w:right="75" w:firstLine="770"/>
            </w:pPr>
            <w:r>
              <w:rPr>
                <w:rFonts w:ascii="仿宋_GB2312" w:hAnsi="仿宋_GB2312" w:cs="仿宋_GB2312" w:eastAsia="仿宋_GB2312"/>
                <w:sz w:val="32"/>
                <w:color w:val="000000"/>
              </w:rPr>
              <w:t>3.制作工艺标准</w:t>
            </w:r>
          </w:p>
          <w:p>
            <w:pPr>
              <w:pStyle w:val="null3"/>
              <w:spacing w:before="15"/>
              <w:ind w:right="75" w:firstLine="770"/>
            </w:pPr>
            <w:r>
              <w:rPr>
                <w:rFonts w:ascii="仿宋_GB2312" w:hAnsi="仿宋_GB2312" w:cs="仿宋_GB2312" w:eastAsia="仿宋_GB2312"/>
                <w:sz w:val="32"/>
                <w:color w:val="000000"/>
              </w:rPr>
              <w:t>所有物料均需防水、防晒、防褪色、防脱落。</w:t>
            </w:r>
          </w:p>
          <w:p>
            <w:pPr>
              <w:pStyle w:val="null3"/>
              <w:spacing w:before="15"/>
              <w:ind w:right="75" w:firstLine="770"/>
            </w:pPr>
            <w:r>
              <w:rPr>
                <w:rFonts w:ascii="仿宋_GB2312" w:hAnsi="仿宋_GB2312" w:cs="仿宋_GB2312" w:eastAsia="仿宋_GB2312"/>
                <w:sz w:val="32"/>
                <w:color w:val="000000"/>
              </w:rPr>
              <w:t>第二部分：主形象丰收打卡装置</w:t>
            </w:r>
          </w:p>
          <w:p>
            <w:pPr>
              <w:pStyle w:val="null3"/>
              <w:spacing w:before="15"/>
              <w:ind w:right="75" w:firstLine="770"/>
            </w:pPr>
            <w:r>
              <w:rPr>
                <w:rFonts w:ascii="仿宋_GB2312" w:hAnsi="仿宋_GB2312" w:cs="仿宋_GB2312" w:eastAsia="仿宋_GB2312"/>
                <w:sz w:val="32"/>
                <w:color w:val="000000"/>
              </w:rPr>
              <w:t>整体组合式，主体最高不超</w:t>
            </w:r>
            <w:r>
              <w:rPr>
                <w:rFonts w:ascii="仿宋_GB2312" w:hAnsi="仿宋_GB2312" w:cs="仿宋_GB2312" w:eastAsia="仿宋_GB2312"/>
                <w:sz w:val="32"/>
                <w:color w:val="000000"/>
              </w:rPr>
              <w:t>6m。造型为丰字打打卡场景。功能要求：兼顾游客拍照打卡、休憩驻足，结构稳固安全，边角圆弧防撞处理，无尖锐棱角。</w:t>
            </w:r>
          </w:p>
          <w:p>
            <w:pPr>
              <w:pStyle w:val="null3"/>
              <w:spacing w:before="15"/>
              <w:ind w:right="75" w:firstLine="770"/>
            </w:pPr>
            <w:r>
              <w:rPr>
                <w:rFonts w:ascii="仿宋_GB2312" w:hAnsi="仿宋_GB2312" w:cs="仿宋_GB2312" w:eastAsia="仿宋_GB2312"/>
                <w:sz w:val="32"/>
                <w:color w:val="000000"/>
              </w:rPr>
              <w:t>第三部分：主舞台系统制作、搭建及配套（开幕式核心区域）</w:t>
            </w:r>
          </w:p>
          <w:p>
            <w:pPr>
              <w:pStyle w:val="null3"/>
              <w:spacing w:before="15"/>
              <w:ind w:right="75" w:firstLine="770"/>
            </w:pPr>
            <w:r>
              <w:rPr>
                <w:rFonts w:ascii="仿宋_GB2312" w:hAnsi="仿宋_GB2312" w:cs="仿宋_GB2312" w:eastAsia="仿宋_GB2312"/>
                <w:sz w:val="32"/>
                <w:color w:val="000000"/>
              </w:rPr>
              <w:t>（一）舞台基础主体</w:t>
            </w:r>
          </w:p>
          <w:p>
            <w:pPr>
              <w:pStyle w:val="null3"/>
              <w:spacing w:before="15"/>
              <w:ind w:right="75" w:firstLine="770"/>
            </w:pPr>
            <w:r>
              <w:rPr>
                <w:rFonts w:ascii="仿宋_GB2312" w:hAnsi="仿宋_GB2312" w:cs="仿宋_GB2312" w:eastAsia="仿宋_GB2312"/>
                <w:sz w:val="32"/>
                <w:color w:val="000000"/>
              </w:rPr>
              <w:t>舞台台面尺寸长</w:t>
            </w:r>
            <w:r>
              <w:rPr>
                <w:rFonts w:ascii="仿宋_GB2312" w:hAnsi="仿宋_GB2312" w:cs="仿宋_GB2312" w:eastAsia="仿宋_GB2312"/>
                <w:sz w:val="32"/>
                <w:color w:val="000000"/>
              </w:rPr>
              <w:t>≥15m、深≥6m、舞台高度0.6-1m（可微调），配备双侧阶梯式上下舞台通道，通道宽度≥1.2m。结构以国标雷亚架镀锌钢架承重体系，满铺18mm多层防滑建筑模板，整体台面平整。台面饰面采用灰色防滑舞台地毯满铺，舞台四周设置警示地贴。</w:t>
            </w:r>
          </w:p>
          <w:p>
            <w:pPr>
              <w:pStyle w:val="null3"/>
              <w:spacing w:before="15"/>
              <w:ind w:right="75" w:firstLine="770"/>
            </w:pPr>
            <w:r>
              <w:rPr>
                <w:rFonts w:ascii="仿宋_GB2312" w:hAnsi="仿宋_GB2312" w:cs="仿宋_GB2312" w:eastAsia="仿宋_GB2312"/>
                <w:sz w:val="32"/>
                <w:color w:val="000000"/>
              </w:rPr>
              <w:t>（二）舞台背景大屏及造型背板</w:t>
            </w:r>
          </w:p>
          <w:p>
            <w:pPr>
              <w:pStyle w:val="null3"/>
              <w:spacing w:before="15"/>
              <w:ind w:right="75" w:firstLine="770"/>
            </w:pPr>
            <w:r>
              <w:rPr>
                <w:rFonts w:ascii="仿宋_GB2312" w:hAnsi="仿宋_GB2312" w:cs="仿宋_GB2312" w:eastAsia="仿宋_GB2312"/>
                <w:sz w:val="32"/>
                <w:color w:val="000000"/>
              </w:rPr>
              <w:t>背景整体外框尺寸宽</w:t>
            </w:r>
            <w:r>
              <w:rPr>
                <w:rFonts w:ascii="仿宋_GB2312" w:hAnsi="仿宋_GB2312" w:cs="仿宋_GB2312" w:eastAsia="仿宋_GB2312"/>
                <w:sz w:val="32"/>
                <w:color w:val="000000"/>
              </w:rPr>
              <w:t>≥15m、高≥6m；支撑结构以国标铝合金雷亚架整体背架，整体一体式拼装，设置抗风支撑及配重结构，可抵御陕北6级大风，骨架牢固不变形。画面材质选用加厚外光高清喷绘布，色彩还原度≥95%，画面做防水、防晒、防紫外线处理，户外7天不褪色、不起皮、不翘边；画面四周打扣眼拉紧绷平固定于桁架框架，无褶皱、无松弛。</w:t>
            </w:r>
          </w:p>
          <w:p>
            <w:pPr>
              <w:pStyle w:val="null3"/>
              <w:spacing w:before="15"/>
              <w:ind w:right="75" w:firstLine="770"/>
            </w:pPr>
            <w:r>
              <w:rPr>
                <w:rFonts w:ascii="仿宋_GB2312" w:hAnsi="仿宋_GB2312" w:cs="仿宋_GB2312" w:eastAsia="仿宋_GB2312"/>
                <w:sz w:val="32"/>
                <w:color w:val="000000"/>
              </w:rPr>
              <w:t>第四部分：各展区标准化展销展位集群搭建</w:t>
            </w:r>
          </w:p>
          <w:p>
            <w:pPr>
              <w:pStyle w:val="null3"/>
              <w:spacing w:before="15"/>
              <w:ind w:right="75" w:firstLine="770"/>
            </w:pPr>
            <w:r>
              <w:rPr>
                <w:rFonts w:ascii="仿宋_GB2312" w:hAnsi="仿宋_GB2312" w:cs="仿宋_GB2312" w:eastAsia="仿宋_GB2312"/>
                <w:sz w:val="32"/>
                <w:color w:val="000000"/>
              </w:rPr>
              <w:t>规划标准展位</w:t>
            </w:r>
            <w:r>
              <w:rPr>
                <w:rFonts w:ascii="仿宋_GB2312" w:hAnsi="仿宋_GB2312" w:cs="仿宋_GB2312" w:eastAsia="仿宋_GB2312"/>
                <w:sz w:val="32"/>
                <w:color w:val="000000"/>
              </w:rPr>
              <w:t>≥76个，按需划分为铜川市各区县特色农产品展区及惠农政策宣传区；各区县农业经营主体特色农产品展区；现代农业成果展区和各区县文创产品展区；线上宣传直播区；农业农村政策法规宣传区,地方特色美食、小吃品鉴区；。主体框架采用200×200mm国标加厚铝合金桁架拼装搭建四面围挡框架，立柱竖向贯通，横向横梁分层固定，整体框架具备极强抗风性能，适配秋季大风环境；框架四角加装防滑配重底座，整体不晃动。围挡画面三面封闭、面向通道一侧敞开，画面采用加厚外光喷绘布绷装于桁架外侧，统一沿用活动整套主视觉体系，分区搭配专属农耕特色画面；画面拉紧绷平，无褶皱、脱落。每个展位上方统一设置通长桁架楣头，悬挂参展单位名称喷绘楣板。展位标配内部设施（每套展位全包）</w:t>
            </w:r>
          </w:p>
          <w:p>
            <w:pPr>
              <w:pStyle w:val="null3"/>
              <w:spacing w:before="15"/>
              <w:ind w:right="75" w:firstLine="770"/>
            </w:pPr>
            <w:r>
              <w:rPr>
                <w:rFonts w:ascii="仿宋_GB2312" w:hAnsi="仿宋_GB2312" w:cs="仿宋_GB2312" w:eastAsia="仿宋_GB2312"/>
                <w:sz w:val="32"/>
                <w:color w:val="000000"/>
              </w:rPr>
              <w:t>长条洽谈桌</w:t>
            </w:r>
            <w:r>
              <w:rPr>
                <w:rFonts w:ascii="仿宋_GB2312" w:hAnsi="仿宋_GB2312" w:cs="仿宋_GB2312" w:eastAsia="仿宋_GB2312"/>
                <w:sz w:val="32"/>
                <w:color w:val="000000"/>
              </w:rPr>
              <w:t>1张、折叠靠背椅2把；五孔国标电源插座1组，独立分路供电。</w:t>
            </w:r>
          </w:p>
          <w:p>
            <w:pPr>
              <w:pStyle w:val="null3"/>
              <w:spacing w:before="15"/>
              <w:ind w:right="75" w:firstLine="770"/>
            </w:pPr>
            <w:r>
              <w:rPr>
                <w:rFonts w:ascii="仿宋_GB2312" w:hAnsi="仿宋_GB2312" w:cs="仿宋_GB2312" w:eastAsia="仿宋_GB2312"/>
                <w:sz w:val="32"/>
                <w:color w:val="000000"/>
              </w:rPr>
              <w:t>展区整体排布动线流畅，符合消防疏散规范。所有展位统一视觉风貌，整齐规范，适配各展区展品陈列、现场品鉴等场景。</w:t>
            </w:r>
          </w:p>
          <w:p>
            <w:pPr>
              <w:pStyle w:val="null3"/>
              <w:spacing w:before="15"/>
              <w:ind w:right="75" w:firstLine="770"/>
            </w:pPr>
            <w:r>
              <w:rPr>
                <w:rFonts w:ascii="仿宋_GB2312" w:hAnsi="仿宋_GB2312" w:cs="仿宋_GB2312" w:eastAsia="仿宋_GB2312"/>
                <w:sz w:val="32"/>
                <w:color w:val="000000"/>
              </w:rPr>
              <w:t>第五部分：专业舞台音响系统全套部署、调试、全程值守半套线阵专业演出音响系统，满足户外千人规模声场全覆盖，无杂音、无回声，适配领导讲话、文艺演出、主持播报。适配双声道线性阵列音箱（主扩</w:t>
            </w:r>
            <w:r>
              <w:rPr>
                <w:rFonts w:ascii="仿宋_GB2312" w:hAnsi="仿宋_GB2312" w:cs="仿宋_GB2312" w:eastAsia="仿宋_GB2312"/>
                <w:sz w:val="32"/>
                <w:color w:val="000000"/>
              </w:rPr>
              <w:t>+ 超低音）、返听音响。控制台配置数字调音台、音频处理器、电源时序器、无线手持话筒 6 支、鹅颈会议话筒 2 支、话筒接收机、信号线材全套。配置不少于 2 名专业音师，活动全程在岗，实时调试、设备故障应急处置。所有线材地面做防踩保护、线槽固定，杜绝绊倒隐患。</w:t>
            </w:r>
          </w:p>
          <w:p>
            <w:pPr>
              <w:pStyle w:val="null3"/>
              <w:spacing w:before="15"/>
              <w:ind w:right="75" w:firstLine="770"/>
            </w:pPr>
            <w:r>
              <w:rPr>
                <w:rFonts w:ascii="仿宋_GB2312" w:hAnsi="仿宋_GB2312" w:cs="仿宋_GB2312" w:eastAsia="仿宋_GB2312"/>
                <w:sz w:val="32"/>
                <w:color w:val="000000"/>
              </w:rPr>
              <w:t>第六部分：全场全域电力配套保障系统</w:t>
            </w:r>
          </w:p>
          <w:p>
            <w:pPr>
              <w:pStyle w:val="null3"/>
              <w:spacing w:before="15"/>
              <w:ind w:right="75" w:firstLine="770"/>
            </w:pPr>
            <w:r>
              <w:rPr>
                <w:rFonts w:ascii="仿宋_GB2312" w:hAnsi="仿宋_GB2312" w:cs="仿宋_GB2312" w:eastAsia="仿宋_GB2312"/>
                <w:sz w:val="32"/>
                <w:color w:val="000000"/>
              </w:rPr>
              <w:t>总供电规划：测算全场总功率负荷，布设一级总配电柜</w:t>
            </w:r>
            <w:r>
              <w:rPr>
                <w:rFonts w:ascii="仿宋_GB2312" w:hAnsi="仿宋_GB2312" w:cs="仿宋_GB2312" w:eastAsia="仿宋_GB2312"/>
                <w:sz w:val="32"/>
                <w:color w:val="000000"/>
              </w:rPr>
              <w:t>+ 二级分路配电箱分级供电系统，严格遵循临时用电国家标准；分区供电：主舞台区、展销展位区分路独立供电。配备专职电工 全天候驻场巡检，随时处置断电、线路故障。</w:t>
            </w:r>
          </w:p>
          <w:p>
            <w:pPr>
              <w:pStyle w:val="null3"/>
              <w:spacing w:before="15"/>
              <w:ind w:right="75" w:firstLine="770"/>
            </w:pPr>
            <w:r>
              <w:rPr>
                <w:rFonts w:ascii="仿宋_GB2312" w:hAnsi="仿宋_GB2312" w:cs="仿宋_GB2312" w:eastAsia="仿宋_GB2312"/>
                <w:sz w:val="32"/>
                <w:color w:val="000000"/>
              </w:rPr>
              <w:t>第七部分：活动期间全天候运维服务</w:t>
            </w:r>
          </w:p>
          <w:p>
            <w:pPr>
              <w:pStyle w:val="null3"/>
              <w:spacing w:before="15"/>
              <w:ind w:right="75" w:firstLine="770"/>
            </w:pPr>
            <w:r>
              <w:rPr>
                <w:rFonts w:ascii="仿宋_GB2312" w:hAnsi="仿宋_GB2312" w:cs="仿宋_GB2312" w:eastAsia="仿宋_GB2312"/>
                <w:sz w:val="32"/>
                <w:color w:val="000000"/>
              </w:rPr>
              <w:t xml:space="preserve"> </w:t>
            </w:r>
            <w:r>
              <w:rPr>
                <w:rFonts w:ascii="仿宋_GB2312" w:hAnsi="仿宋_GB2312" w:cs="仿宋_GB2312" w:eastAsia="仿宋_GB2312"/>
                <w:sz w:val="32"/>
                <w:color w:val="000000"/>
              </w:rPr>
              <w:t>活动开展期间（</w:t>
            </w:r>
            <w:r>
              <w:rPr>
                <w:rFonts w:ascii="仿宋_GB2312" w:hAnsi="仿宋_GB2312" w:cs="仿宋_GB2312" w:eastAsia="仿宋_GB2312"/>
                <w:sz w:val="32"/>
                <w:color w:val="000000"/>
              </w:rPr>
              <w:t>9.23-9.25）全天候运维值守</w:t>
            </w:r>
          </w:p>
          <w:p>
            <w:pPr>
              <w:pStyle w:val="null3"/>
              <w:spacing w:before="15"/>
              <w:ind w:right="75" w:firstLine="770"/>
            </w:pPr>
            <w:r>
              <w:rPr>
                <w:rFonts w:ascii="仿宋_GB2312" w:hAnsi="仿宋_GB2312" w:cs="仿宋_GB2312" w:eastAsia="仿宋_GB2312"/>
                <w:sz w:val="32"/>
                <w:color w:val="000000"/>
              </w:rPr>
              <w:t>每日早</w:t>
            </w:r>
            <w:r>
              <w:rPr>
                <w:rFonts w:ascii="仿宋_GB2312" w:hAnsi="仿宋_GB2312" w:cs="仿宋_GB2312" w:eastAsia="仿宋_GB2312"/>
                <w:sz w:val="32"/>
                <w:color w:val="000000"/>
              </w:rPr>
              <w:t>8:00 至晚18:00 全场不间断值守。每日开展前全面巡检设施完好度；闭展后巡查及隐患排查；全场日常保洁、垃圾定时清运，保持会场整洁。</w:t>
            </w:r>
          </w:p>
          <w:p>
            <w:pPr>
              <w:pStyle w:val="null3"/>
              <w:spacing w:before="15"/>
              <w:ind w:right="75" w:firstLine="770"/>
            </w:pPr>
            <w:r>
              <w:rPr>
                <w:rFonts w:ascii="仿宋_GB2312" w:hAnsi="仿宋_GB2312" w:cs="仿宋_GB2312" w:eastAsia="仿宋_GB2312"/>
                <w:sz w:val="32"/>
                <w:color w:val="000000"/>
              </w:rPr>
              <w:t>第八部分：活动结束拆除、垃圾清运、场地原貌复原</w:t>
            </w:r>
          </w:p>
          <w:p>
            <w:pPr>
              <w:pStyle w:val="null3"/>
              <w:spacing w:before="15"/>
              <w:ind w:right="75" w:firstLine="770"/>
            </w:pPr>
            <w:r>
              <w:rPr>
                <w:rFonts w:ascii="仿宋_GB2312" w:hAnsi="仿宋_GB2312" w:cs="仿宋_GB2312" w:eastAsia="仿宋_GB2312"/>
                <w:sz w:val="32"/>
                <w:color w:val="000000"/>
              </w:rPr>
              <w:t>活动结束后分批次拆除所有结构及物料，场内无任何遗留杂物。</w:t>
            </w:r>
          </w:p>
          <w:p>
            <w:pPr>
              <w:pStyle w:val="null3"/>
              <w:spacing w:before="15"/>
              <w:ind w:right="75" w:firstLine="770"/>
            </w:pPr>
            <w:r>
              <w:rPr>
                <w:rFonts w:ascii="仿宋_GB2312" w:hAnsi="仿宋_GB2312" w:cs="仿宋_GB2312" w:eastAsia="仿宋_GB2312"/>
                <w:sz w:val="32"/>
                <w:color w:val="000000"/>
              </w:rPr>
              <w:t>清理完毕后场地恢复场地原始样貌，达到采购人入场前场地标准，</w:t>
            </w:r>
          </w:p>
          <w:p>
            <w:pPr>
              <w:pStyle w:val="null3"/>
              <w:spacing w:before="15"/>
              <w:ind w:right="75" w:firstLine="770"/>
            </w:pPr>
            <w:r>
              <w:rPr>
                <w:rFonts w:ascii="仿宋_GB2312" w:hAnsi="仿宋_GB2312" w:cs="仿宋_GB2312" w:eastAsia="仿宋_GB2312"/>
                <w:sz w:val="32"/>
                <w:color w:val="000000"/>
              </w:rPr>
              <w:t>复原完成后双方现场逐项验收，签署项目竣工验收单，项目正式结束。</w:t>
            </w:r>
          </w:p>
          <w:p>
            <w:pPr>
              <w:pStyle w:val="null3"/>
              <w:spacing w:before="15"/>
              <w:ind w:right="75" w:firstLine="770"/>
            </w:pPr>
            <w:r>
              <w:rPr>
                <w:rFonts w:ascii="仿宋_GB2312" w:hAnsi="仿宋_GB2312" w:cs="仿宋_GB2312" w:eastAsia="仿宋_GB2312"/>
                <w:sz w:val="32"/>
                <w:color w:val="000000"/>
              </w:rPr>
              <w:t>活动场地平面图</w:t>
            </w:r>
            <w:r>
              <w:drawing>
                <wp:inline distT="0" distR="0" distB="0" distL="0">
                  <wp:extent cx="1621155" cy="82624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26247"/>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 2026年09月16日—2026年 09 月 25 日（共计 10 日历天） 9月16日-9月22日：物料加工、舞台、各区县主展区、企业展区、文创展区、特色美食展区等现场搭建、设备安装调试、竣工验收交付； 9月23日-9月25日：活动正式举办（开幕式、展演、农产品展销、系列主题活动）； 9月26日：全场设施拆除、垃圾清运、场地原貌复原。</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2026年09月16日—2026年 09 月 25 日（共计 10 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陕西省铜川市宜君县彭镇福寿广场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 + 采购需求 + 响应⽂件为依据（采购法 41 条、实施条例 45 条、财库 205 号 ⽂），采购⼈成⽴验收⼩组（含监督、实际使⽤⼈，必要时邀专家 / 第三⽅），按 "设计成果→出⼚进场检验→安装调试→活动期运⾏考核→拆除复原" 五个环节分阶段验收，出具双⽅签字的验收书，结果与付款、履约保证⾦挂钩。</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进度款，会展服务活动完成后。（⽀付⽅式双⽅合同签订时具体约定），达到付款条件起10个工作日内，支付合同总金额的100.0%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共和国⺠法典》、《中华⼈⺠共和国政府采购法》、《中华⼈⺠共和国政府采购法实施条例》的相关条款和本合同约定，中标供应商未全⾯履⾏合同义务或者发⽣违约，采购单位会同采购代理机构有权终⽌合同，依法向中标供应商进⾏经济索赔，并报请政府采购监督管理机关进⾏相应的⾏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提供2025年度经审计的财务报告或提交磋商截止时间之前六个月基本开户银行出具的资信证明。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（1）提供具有履行本合同所必需的设备和专业技术能力的承诺及说明；（2）出具参加政府采购活动前3年内在经营活动中没有重大违法记录的书面声明；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法定代表人直接参加投标的，须出具法定代表人证明书及身份证复印件，并与营业执照上信息一致；法定代表人授权代表参加投标的，须出具法定代表人授权书及授权代表身份证复印件。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供应商不得为“信⽤中国”⽹站（www.creditchina.gov.cn）中被列⼊“重⼤税收违法失信主体”的供应商,不得为“中国执⾏信息公开⽹”⽹站（zxgk.cou rt.gov.cn/））中被列⼊“失信被执⾏⼈”的供应商；不得为中国政府采购⽹（w 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只能有⼀个有效报价，不得提交选择性报价，且报价不超过本项目最⾼限价。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符合“响应⽂件格式”要求。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服务周期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商务应答表 服务方案 服务内容及服务要求应答表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满⾜磋商⽂件要求。</w:t>
            </w:r>
          </w:p>
        </w:tc>
        <w:tc>
          <w:tcPr>
            <w:tcW w:type="dxa" w:w="1661"/>
          </w:tcPr>
          <w:p>
            <w:pPr>
              <w:pStyle w:val="null3"/>
            </w:pPr>
            <w:r>
              <w:rPr>
                <w:rFonts w:ascii="仿宋_GB2312" w:hAnsi="仿宋_GB2312" w:cs="仿宋_GB2312" w:eastAsia="仿宋_GB2312"/>
              </w:rPr>
              <w:t>响应文件封面 法定代表人身份证明及授权委托书.docx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项⽬整体服务⽅</w:t>
            </w:r>
          </w:p>
        </w:tc>
        <w:tc>
          <w:tcPr>
            <w:tcW w:type="dxa" w:w="2492"/>
          </w:tcPr>
          <w:p>
            <w:pPr>
              <w:pStyle w:val="null3"/>
            </w:pPr>
            <w:r>
              <w:rPr>
                <w:rFonts w:ascii="仿宋_GB2312" w:hAnsi="仿宋_GB2312" w:cs="仿宋_GB2312" w:eastAsia="仿宋_GB2312"/>
              </w:rPr>
              <w:t>⼀、评审内容： 针对2026年铜川市农民丰收节会展服务要求，制定详细的整体实施方案，内容包括但不限于：①3D设计效果；②会场规划方案；③平面物料设计方案；④组织、管理方案等方面。 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12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⼀、评审内容：针对本项目提供详细的进度安排及保障措施。包括但不限于：①会展布置舞台搭建等时间计划；②进度控制节点安排；③进度保障措施等内容。 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9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⼀、评审内容：针对本项目提供质量保障措施，包含但不限于：①质量保证目标；②质量管理措施；③质量控制流程；④质量控制结果等内容。 二、评审标准 1、完整性：内容全面、详尽； 2、可实施性：切合本项目实际情况，实施步骤清晰、合理，可实施性强； 3、针对性：方案能够紧扣项目实际情况，内容科学合理，针对性强。三、赋分标准对项⽬评审内容理解准确，内容⻬全、结构完整、表述准确、条理清晰得12分。评审标准每缺⼀项扣3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⼀、评审内容：针对本项目提供应急预案,包含但不限于：①预警机制及现场处置措施；②资源调配机制应急预案等内容。 二、评审标准 1、完整性：内容全面、详尽； 2、可实施性：切合本项目实际情况，应急预案步骤清晰、合理，可实施性强； 3、针对性：应急预案能够紧扣项目实际情况，内容科学合理，针对性强。三、赋分标准对项⽬评审内容理解准确，内容⻬全、结构完整、表述准确、条理清晰得7分。评审标准每缺⼀项扣3.5分，扣完为⽌；评审标准有⼀项内容缺陷扣0.5分（缺陷是指：内容描述过于简单、条理不清晰、与项⽬内容不匹配、凭空编造、出现常识性错误、不可能实现的夸⼤情形、存在不适⽤项⽬实际情况的情形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服务团队⼈员配备合理，有针对本项⽬的专项服务⼩组，⼯作⼈员分⼯明确，⼈员配备能够满⾜本项目需要。项目团队配齐专属项目负责人、展览设计人员、活动执行人员、宣传片摄制人员、宣传策划人员、全媒体运营专职人员、安全专职人员7类标配岗位人员的。 赋分标准：每证书+本单位近⼀年内任意1个⽉社保缴纳证明或劳动合同，满足得2分，最⾼14分，未提供或提供不全不得分。 ②在7类标配人员全部配齐的前提下，每额外增配1名专职工作人员加2分。赋分标准：每证书+本单位近⼀年内任意1个⽉社保缴纳证明或劳动合同，满足得2分，累计最⾼10分，未提供或提供不全不得分。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承诺1：在项目履约期间，突发且与活动有关的工作内容，但未提前明确的，供应商应无条件积极配合采购人开展相关活动。提供承诺计2分，未提不计分。 承诺2：供应商承诺，在服务过程中，出现的所有人身安全财产问题，均由成交供应商自行承担，采购人概不负责。提供承诺计2分，未承诺不计分。 承诺3：供应商承诺：活动全过程的文案材料一并提交给采购人。与活动相关的所有报名信息、数据资料和分析成果、影像、文案材料等所有权归采购人所有。提供承诺计2分，未承诺不计分。 承诺4：供应商承诺，供应商承诺采购人在使用最终成果时，不承担任何涉及知识产权的追责，因使用未被授权使用的内容引起的纠纷由供应商自行承担，采购人不承担因此产生的任何责任。提供承诺计2分，未承诺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增值服务承诺</w:t>
            </w:r>
          </w:p>
        </w:tc>
        <w:tc>
          <w:tcPr>
            <w:tcW w:type="dxa" w:w="2492"/>
          </w:tcPr>
          <w:p>
            <w:pPr>
              <w:pStyle w:val="null3"/>
            </w:pPr>
            <w:r>
              <w:rPr>
                <w:rFonts w:ascii="仿宋_GB2312" w:hAnsi="仿宋_GB2312" w:cs="仿宋_GB2312" w:eastAsia="仿宋_GB2312"/>
              </w:rPr>
              <w:t>应商提供针对有利于本项目实施的增值服务承诺，每提供1个经磋商小组一致认定的增值服务承诺计2分，最多得6分。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提供供应商2023年9月1日至类似项目业绩，（以合同、中标通知书或协议签订⽇期为准，响应⽂件中附加盖公章的合同、中标通知书或协议复印件，否则不作为评审依据）。每提供1个有效业绩得4分，最高得12分。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其他供应商的价格分统一按照下列公式计算：磋商报价得分=（磋商基准价/最后磋商报价）×价格权值 （即10%）×100（保留小数点后两位）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