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版本号：TWZB2026-06520260625001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罪犯伙房冷藏库维修项目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TWZB2026-065</w:t>
      </w:r>
      <w:r>
        <w:br/>
      </w:r>
      <w:r>
        <w:br/>
      </w:r>
      <w:r>
        <w:br/>
      </w:r>
    </w:p>
    <w:p>
      <w:pPr>
        <w:pStyle w:val="null3"/>
        <w:jc w:val="center"/>
        <w:outlineLvl w:val="2"/>
      </w:pPr>
      <w:r>
        <w:rPr>
          <w:rFonts w:ascii="仿宋_GB2312" w:hAnsi="仿宋_GB2312" w:cs="仿宋_GB2312" w:eastAsia="仿宋_GB2312"/>
          <w:sz w:val="28"/>
          <w:b/>
        </w:rPr>
        <w:t>陕西省崔家沟监狱</w:t>
      </w:r>
    </w:p>
    <w:p>
      <w:pPr>
        <w:pStyle w:val="null3"/>
        <w:jc w:val="center"/>
        <w:outlineLvl w:val="2"/>
      </w:pPr>
      <w:r>
        <w:rPr>
          <w:rFonts w:ascii="仿宋_GB2312" w:hAnsi="仿宋_GB2312" w:cs="仿宋_GB2312" w:eastAsia="仿宋_GB2312"/>
          <w:sz w:val="28"/>
          <w:b/>
        </w:rPr>
        <w:t>陕西天沃工程项目管理有限公司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陕西天沃工程项目管理有限公司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陕西省崔家沟监狱</w:t>
      </w:r>
      <w:r>
        <w:rPr>
          <w:rFonts w:ascii="仿宋_GB2312" w:hAnsi="仿宋_GB2312" w:cs="仿宋_GB2312" w:eastAsia="仿宋_GB2312"/>
        </w:rPr>
        <w:t>委托，拟对</w:t>
      </w:r>
      <w:r>
        <w:rPr>
          <w:rFonts w:ascii="仿宋_GB2312" w:hAnsi="仿宋_GB2312" w:cs="仿宋_GB2312" w:eastAsia="仿宋_GB2312"/>
        </w:rPr>
        <w:t>罪犯伙房冷藏库维修项目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TWZB2026-065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罪犯伙房冷藏库维修项目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冷藏库装饰装修工程、室外混凝土地面工程、电气设备安装工程、消防工程等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采购包1（罪犯伙房冷藏库维修项目）：属于专门面向中小企业采购。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营业执照、组织机构代码证、税务登记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书：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3、企业资质：供应商应具备行政主管部门颁发的建筑工程施工总承包二级（含二级）以上资质证书，同时具有合格有效的安全生产许可证；</w:t>
      </w:r>
    </w:p>
    <w:p>
      <w:pPr>
        <w:pStyle w:val="null3"/>
      </w:pPr>
      <w:r>
        <w:rPr>
          <w:rFonts w:ascii="仿宋_GB2312" w:hAnsi="仿宋_GB2312" w:cs="仿宋_GB2312" w:eastAsia="仿宋_GB2312"/>
        </w:rPr>
        <w:t>4、项目经理资质：拟派项目经理应具有建筑工程二级及以上注册建造师执业资格，具有有效的安全生产考核合格证书（B 证），在本单位注册且无在建工程（提供无在建项目承诺书)；</w:t>
      </w:r>
    </w:p>
    <w:p>
      <w:pPr>
        <w:pStyle w:val="null3"/>
      </w:pPr>
      <w:r>
        <w:rPr>
          <w:rFonts w:ascii="仿宋_GB2312" w:hAnsi="仿宋_GB2312" w:cs="仿宋_GB2312" w:eastAsia="仿宋_GB2312"/>
        </w:rPr>
        <w:t>5、财务状况报告：提供2024或2025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6、社会保障资金缴纳证明：提交响应文件截止时间前一年内至少一个月的社会保障资金缴存单据或社保机构开具的社会保险参保缴费情况证明，依法不需要缴纳社会保障资金的应提供相关证明材料；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7、税收缴纳证明：提交响应文件截止时间前一年内至少一个月的纳税证明或完税证明（增值税、营业税、企业所得税至少提供一种），依法免税的应提供相关证明材料；</w:t>
      </w:r>
    </w:p>
    <w:p>
      <w:pPr>
        <w:pStyle w:val="null3"/>
      </w:pPr>
      <w:r>
        <w:rPr>
          <w:rFonts w:ascii="仿宋_GB2312" w:hAnsi="仿宋_GB2312" w:cs="仿宋_GB2312" w:eastAsia="仿宋_GB2312"/>
        </w:rPr>
        <w:t>8、提供具有履行合同所必需的设备和专业技术能力的承诺：提供具有履行合同所必需的设备和专业技术能力的承诺；</w:t>
      </w:r>
    </w:p>
    <w:p>
      <w:pPr>
        <w:pStyle w:val="null3"/>
      </w:pPr>
      <w:r>
        <w:rPr>
          <w:rFonts w:ascii="仿宋_GB2312" w:hAnsi="仿宋_GB2312" w:cs="仿宋_GB2312" w:eastAsia="仿宋_GB2312"/>
        </w:rPr>
        <w:t>9、参加本次政府采购活动前3年内在经营活动中没有重大违法记录的声明：参加本次政府采购活动前3年内在经营活动中没有重大违法记录的声明；</w:t>
      </w:r>
    </w:p>
    <w:p>
      <w:pPr>
        <w:pStyle w:val="null3"/>
      </w:pPr>
      <w:r>
        <w:rPr>
          <w:rFonts w:ascii="仿宋_GB2312" w:hAnsi="仿宋_GB2312" w:cs="仿宋_GB2312" w:eastAsia="仿宋_GB2312"/>
        </w:rPr>
        <w:t>10、信用记录审查：供应商未被列入“信用中国”网站记录的“失信被执行人”或“重大税收违法失信主体”名单；不处于“中国政府采购网”记录的“政府采购严重违法失信行为记录名单”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陕西省崔家沟监狱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铜川市印台区杏树坪</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陕西省崔家沟监狱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0919-7568545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陕西天沃工程项目管理有限公司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陕西省西安市经济技术开发区凤城十一路文景广场3号楼1202室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刘亚雯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15109117377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采购包1：443,284.95元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单位在领取成交通知书时，按照定额收取人民币：捌仟捌佰元整（¥：8800.00元），采用现金、转账或汇款方式向陕西天沃工程项目管理有限公司交纳招标服务费。名称：陕西天沃工程项目管理有限公司，开户行：中国建设银行股份有限公司西安凤城十二路支行，账号：61050177004500000371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陕西省崔家沟监狱</w:t>
      </w:r>
      <w:r>
        <w:rPr>
          <w:rFonts w:ascii="仿宋_GB2312" w:hAnsi="仿宋_GB2312" w:cs="仿宋_GB2312" w:eastAsia="仿宋_GB2312"/>
        </w:rPr>
        <w:t>和</w:t>
      </w:r>
      <w:r>
        <w:rPr>
          <w:rFonts w:ascii="仿宋_GB2312" w:hAnsi="仿宋_GB2312" w:cs="仿宋_GB2312" w:eastAsia="仿宋_GB2312"/>
        </w:rPr>
        <w:t>陕西天沃工程项目管理有限公司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陕西省崔家沟监狱</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陕西天沃工程项目管理有限公司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陕西省崔家沟监狱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陕西天沃工程项目管理有限公司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工程质量必须符合国家相关政策执行标准。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陕西天沃工程项目管理有限公司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联系人：刘亚雯</w:t>
      </w:r>
    </w:p>
    <w:p>
      <w:pPr>
        <w:pStyle w:val="null3"/>
      </w:pPr>
      <w:r>
        <w:rPr>
          <w:rFonts w:ascii="仿宋_GB2312" w:hAnsi="仿宋_GB2312" w:cs="仿宋_GB2312" w:eastAsia="仿宋_GB2312"/>
        </w:rPr>
        <w:t>联系电话：15109117377</w:t>
      </w:r>
    </w:p>
    <w:p>
      <w:pPr>
        <w:pStyle w:val="null3"/>
      </w:pPr>
      <w:r>
        <w:rPr>
          <w:rFonts w:ascii="仿宋_GB2312" w:hAnsi="仿宋_GB2312" w:cs="仿宋_GB2312" w:eastAsia="仿宋_GB2312"/>
        </w:rPr>
        <w:t>地址：陕西省西安市经济技术开发区凤城十一路文景广场3号楼1202室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443,284.95</w:t>
      </w:r>
    </w:p>
    <w:p>
      <w:pPr>
        <w:pStyle w:val="null3"/>
      </w:pPr>
      <w:r>
        <w:rPr>
          <w:rFonts w:ascii="仿宋_GB2312" w:hAnsi="仿宋_GB2312" w:cs="仿宋_GB2312" w:eastAsia="仿宋_GB2312"/>
        </w:rPr>
        <w:t>采购包最高限价（元）: 443,284.95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罪犯伙房冷藏库维修项目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443,284.95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标的名称：罪犯伙房冷藏库维修项目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FF"/>
              </w:rPr>
              <w:t>工程量清单编制说明</w:t>
            </w:r>
          </w:p>
          <w:p>
            <w:pPr>
              <w:pStyle w:val="null3"/>
              <w:jc w:val="both"/>
            </w:pPr>
            <w:r>
              <w:rPr>
                <w:rFonts w:ascii="仿宋_GB2312" w:hAnsi="仿宋_GB2312" w:cs="仿宋_GB2312" w:eastAsia="仿宋_GB2312"/>
                <w:sz w:val="20"/>
                <w:color w:val="0000FF"/>
              </w:rPr>
              <w:t>一</w:t>
            </w:r>
            <w:r>
              <w:rPr>
                <w:rFonts w:ascii="仿宋_GB2312" w:hAnsi="仿宋_GB2312" w:cs="仿宋_GB2312" w:eastAsia="仿宋_GB2312"/>
                <w:sz w:val="20"/>
                <w:color w:val="0000FF"/>
              </w:rPr>
              <w:t>.工程概况</w:t>
            </w:r>
          </w:p>
          <w:p>
            <w:pPr>
              <w:pStyle w:val="null3"/>
              <w:jc w:val="both"/>
            </w:pPr>
            <w:r>
              <w:rPr>
                <w:rFonts w:ascii="仿宋_GB2312" w:hAnsi="仿宋_GB2312" w:cs="仿宋_GB2312" w:eastAsia="仿宋_GB2312"/>
                <w:sz w:val="20"/>
                <w:color w:val="0000FF"/>
              </w:rPr>
              <w:t>1.项目名称：罪犯伙房冷藏库维修项目。</w:t>
            </w:r>
          </w:p>
          <w:p>
            <w:pPr>
              <w:pStyle w:val="null3"/>
              <w:jc w:val="both"/>
            </w:pPr>
            <w:r>
              <w:rPr>
                <w:rFonts w:ascii="仿宋_GB2312" w:hAnsi="仿宋_GB2312" w:cs="仿宋_GB2312" w:eastAsia="仿宋_GB2312"/>
                <w:sz w:val="20"/>
                <w:color w:val="0000FF"/>
              </w:rPr>
              <w:t>2.主要建设内容：冷藏库装饰装修工程、室外混凝土地面工程、电气设备安装工程、消防工程等主要内容（详见工程量清单）。</w:t>
            </w:r>
          </w:p>
          <w:p>
            <w:pPr>
              <w:pStyle w:val="null3"/>
              <w:jc w:val="both"/>
            </w:pPr>
            <w:r>
              <w:rPr>
                <w:rFonts w:ascii="仿宋_GB2312" w:hAnsi="仿宋_GB2312" w:cs="仿宋_GB2312" w:eastAsia="仿宋_GB2312"/>
                <w:sz w:val="20"/>
                <w:color w:val="0000FF"/>
              </w:rPr>
              <w:t>二</w:t>
            </w:r>
            <w:r>
              <w:rPr>
                <w:rFonts w:ascii="仿宋_GB2312" w:hAnsi="仿宋_GB2312" w:cs="仿宋_GB2312" w:eastAsia="仿宋_GB2312"/>
                <w:sz w:val="20"/>
                <w:color w:val="0000FF"/>
              </w:rPr>
              <w:t>.编制范围</w:t>
            </w:r>
          </w:p>
          <w:p>
            <w:pPr>
              <w:pStyle w:val="null3"/>
              <w:jc w:val="both"/>
            </w:pPr>
            <w:r>
              <w:rPr>
                <w:rFonts w:ascii="仿宋_GB2312" w:hAnsi="仿宋_GB2312" w:cs="仿宋_GB2312" w:eastAsia="仿宋_GB2312"/>
                <w:sz w:val="20"/>
                <w:color w:val="0000FF"/>
              </w:rPr>
              <w:t>设计施工图纸范围内全部施工内容。</w:t>
            </w:r>
          </w:p>
          <w:p>
            <w:pPr>
              <w:pStyle w:val="null3"/>
              <w:jc w:val="both"/>
            </w:pPr>
            <w:r>
              <w:rPr>
                <w:rFonts w:ascii="仿宋_GB2312" w:hAnsi="仿宋_GB2312" w:cs="仿宋_GB2312" w:eastAsia="仿宋_GB2312"/>
                <w:sz w:val="20"/>
                <w:color w:val="0000FF"/>
              </w:rPr>
              <w:t>三</w:t>
            </w:r>
            <w:r>
              <w:rPr>
                <w:rFonts w:ascii="仿宋_GB2312" w:hAnsi="仿宋_GB2312" w:cs="仿宋_GB2312" w:eastAsia="仿宋_GB2312"/>
                <w:sz w:val="20"/>
                <w:color w:val="0000FF"/>
              </w:rPr>
              <w:t>.编制依据</w:t>
            </w:r>
          </w:p>
          <w:p>
            <w:pPr>
              <w:pStyle w:val="null3"/>
              <w:jc w:val="both"/>
            </w:pPr>
            <w:r>
              <w:rPr>
                <w:rFonts w:ascii="仿宋_GB2312" w:hAnsi="仿宋_GB2312" w:cs="仿宋_GB2312" w:eastAsia="仿宋_GB2312"/>
                <w:sz w:val="20"/>
                <w:color w:val="0000FF"/>
              </w:rPr>
              <w:t>1.招标文件、设计施工图纸；</w:t>
            </w:r>
          </w:p>
          <w:p>
            <w:pPr>
              <w:pStyle w:val="null3"/>
              <w:jc w:val="both"/>
            </w:pPr>
            <w:r>
              <w:rPr>
                <w:rFonts w:ascii="仿宋_GB2312" w:hAnsi="仿宋_GB2312" w:cs="仿宋_GB2312" w:eastAsia="仿宋_GB2312"/>
                <w:sz w:val="20"/>
                <w:color w:val="0000FF"/>
              </w:rPr>
              <w:t>2.《建设工程工程量清单计价标准》（DB61/T 5126-2025）；</w:t>
            </w:r>
          </w:p>
          <w:p>
            <w:pPr>
              <w:pStyle w:val="null3"/>
              <w:jc w:val="both"/>
            </w:pPr>
            <w:r>
              <w:rPr>
                <w:rFonts w:ascii="仿宋_GB2312" w:hAnsi="仿宋_GB2312" w:cs="仿宋_GB2312" w:eastAsia="仿宋_GB2312"/>
                <w:sz w:val="20"/>
                <w:color w:val="0000FF"/>
              </w:rPr>
              <w:t>3.《陕西省建设工程费用规则》（2025）；</w:t>
            </w:r>
          </w:p>
          <w:p>
            <w:pPr>
              <w:pStyle w:val="null3"/>
              <w:jc w:val="both"/>
            </w:pPr>
            <w:r>
              <w:rPr>
                <w:rFonts w:ascii="仿宋_GB2312" w:hAnsi="仿宋_GB2312" w:cs="仿宋_GB2312" w:eastAsia="仿宋_GB2312"/>
                <w:sz w:val="20"/>
                <w:color w:val="0000FF"/>
              </w:rPr>
              <w:t>4.《房屋建筑与装饰工程工程量计算标准》（DB61/T 5129-2025）；</w:t>
            </w:r>
          </w:p>
          <w:p>
            <w:pPr>
              <w:pStyle w:val="null3"/>
              <w:jc w:val="both"/>
            </w:pPr>
            <w:r>
              <w:rPr>
                <w:rFonts w:ascii="仿宋_GB2312" w:hAnsi="仿宋_GB2312" w:cs="仿宋_GB2312" w:eastAsia="仿宋_GB2312"/>
                <w:sz w:val="20"/>
                <w:color w:val="0000FF"/>
              </w:rPr>
              <w:t>5.《通用安装工程工程量计算标准》（DB61/T 5130-2025）；</w:t>
            </w:r>
          </w:p>
          <w:p>
            <w:pPr>
              <w:pStyle w:val="null3"/>
              <w:jc w:val="both"/>
            </w:pPr>
            <w:r>
              <w:rPr>
                <w:rFonts w:ascii="仿宋_GB2312" w:hAnsi="仿宋_GB2312" w:cs="仿宋_GB2312" w:eastAsia="仿宋_GB2312"/>
                <w:sz w:val="20"/>
                <w:color w:val="0000FF"/>
              </w:rPr>
              <w:t>6.《市政工程工程量计算标准》（DB61/T 5128-2025）；</w:t>
            </w:r>
          </w:p>
          <w:p>
            <w:pPr>
              <w:pStyle w:val="null3"/>
              <w:jc w:val="both"/>
            </w:pPr>
            <w:r>
              <w:rPr>
                <w:rFonts w:ascii="仿宋_GB2312" w:hAnsi="仿宋_GB2312" w:cs="仿宋_GB2312" w:eastAsia="仿宋_GB2312"/>
                <w:sz w:val="20"/>
                <w:color w:val="0000FF"/>
              </w:rPr>
              <w:t>7.《园林绿化工程工程量计算标准》（DB61/T 5131-2025）（若涉及）；</w:t>
            </w:r>
          </w:p>
          <w:p>
            <w:pPr>
              <w:pStyle w:val="null3"/>
              <w:jc w:val="both"/>
            </w:pPr>
            <w:r>
              <w:rPr>
                <w:rFonts w:ascii="仿宋_GB2312" w:hAnsi="仿宋_GB2312" w:cs="仿宋_GB2312" w:eastAsia="仿宋_GB2312"/>
                <w:sz w:val="20"/>
                <w:color w:val="0000FF"/>
              </w:rPr>
              <w:t>8.《陕西省房屋建筑与装饰工程消耗量定额》（2025）及《基价表》（2025）；</w:t>
            </w:r>
          </w:p>
          <w:p>
            <w:pPr>
              <w:pStyle w:val="null3"/>
              <w:jc w:val="both"/>
            </w:pPr>
            <w:r>
              <w:rPr>
                <w:rFonts w:ascii="仿宋_GB2312" w:hAnsi="仿宋_GB2312" w:cs="仿宋_GB2312" w:eastAsia="仿宋_GB2312"/>
                <w:sz w:val="20"/>
                <w:color w:val="0000FF"/>
              </w:rPr>
              <w:t>9.《陕西省通用安装工程消耗量定额》（2025）及《基价表》（2025）；</w:t>
            </w:r>
          </w:p>
          <w:p>
            <w:pPr>
              <w:pStyle w:val="null3"/>
              <w:jc w:val="both"/>
            </w:pPr>
            <w:r>
              <w:rPr>
                <w:rFonts w:ascii="仿宋_GB2312" w:hAnsi="仿宋_GB2312" w:cs="仿宋_GB2312" w:eastAsia="仿宋_GB2312"/>
                <w:sz w:val="20"/>
                <w:color w:val="0000FF"/>
              </w:rPr>
              <w:t>10.《陕西省市政工程消耗量定额》（2025）及《基价表》（2025）；</w:t>
            </w:r>
          </w:p>
          <w:p>
            <w:pPr>
              <w:pStyle w:val="null3"/>
              <w:jc w:val="both"/>
            </w:pPr>
            <w:r>
              <w:rPr>
                <w:rFonts w:ascii="仿宋_GB2312" w:hAnsi="仿宋_GB2312" w:cs="仿宋_GB2312" w:eastAsia="仿宋_GB2312"/>
                <w:sz w:val="20"/>
                <w:color w:val="0000FF"/>
              </w:rPr>
              <w:t>11.《陕西省建设工程施工机械台班费用定额》（2025）；</w:t>
            </w:r>
          </w:p>
          <w:p>
            <w:pPr>
              <w:pStyle w:val="null3"/>
            </w:pPr>
            <w:r>
              <w:rPr>
                <w:rFonts w:ascii="仿宋_GB2312" w:hAnsi="仿宋_GB2312" w:cs="仿宋_GB2312" w:eastAsia="仿宋_GB2312"/>
                <w:sz w:val="20"/>
                <w:color w:val="0000FF"/>
              </w:rPr>
              <w:t>12.《陕西省建设工程施工仪器仪表台班费用定额》</w:t>
            </w:r>
            <w:r>
              <w:rPr>
                <w:rFonts w:ascii="仿宋_GB2312" w:hAnsi="仿宋_GB2312" w:cs="仿宋_GB2312" w:eastAsia="仿宋_GB2312"/>
                <w:sz w:val="20"/>
                <w:color w:val="0000FF"/>
              </w:rPr>
              <w:t>（</w:t>
            </w:r>
            <w:r>
              <w:rPr>
                <w:rFonts w:ascii="仿宋_GB2312" w:hAnsi="仿宋_GB2312" w:cs="仿宋_GB2312" w:eastAsia="仿宋_GB2312"/>
                <w:sz w:val="20"/>
                <w:color w:val="0000FF"/>
              </w:rPr>
              <w:t>2025）；</w:t>
            </w:r>
          </w:p>
          <w:p>
            <w:pPr>
              <w:pStyle w:val="null3"/>
              <w:jc w:val="both"/>
            </w:pPr>
            <w:r>
              <w:rPr>
                <w:rFonts w:ascii="仿宋_GB2312" w:hAnsi="仿宋_GB2312" w:cs="仿宋_GB2312" w:eastAsia="仿宋_GB2312"/>
                <w:sz w:val="20"/>
                <w:color w:val="0000FF"/>
              </w:rPr>
              <w:t>13.税金：采用增值税一般计税方法，税率按9%计取；</w:t>
            </w:r>
          </w:p>
          <w:p>
            <w:pPr>
              <w:pStyle w:val="null3"/>
              <w:jc w:val="both"/>
            </w:pPr>
            <w:r>
              <w:rPr>
                <w:rFonts w:ascii="仿宋_GB2312" w:hAnsi="仿宋_GB2312" w:cs="仿宋_GB2312" w:eastAsia="仿宋_GB2312"/>
                <w:sz w:val="20"/>
                <w:color w:val="0000FF"/>
              </w:rPr>
              <w:t>14.计价软件：广联达计价软件GCCP7.0（版本号:7.5000.23.3）。</w:t>
            </w:r>
          </w:p>
          <w:p>
            <w:pPr>
              <w:pStyle w:val="null3"/>
              <w:jc w:val="both"/>
            </w:pPr>
            <w:r>
              <w:rPr>
                <w:rFonts w:ascii="仿宋_GB2312" w:hAnsi="仿宋_GB2312" w:cs="仿宋_GB2312" w:eastAsia="仿宋_GB2312"/>
                <w:sz w:val="20"/>
                <w:color w:val="0000FF"/>
              </w:rPr>
              <w:t>四</w:t>
            </w:r>
            <w:r>
              <w:rPr>
                <w:rFonts w:ascii="仿宋_GB2312" w:hAnsi="仿宋_GB2312" w:cs="仿宋_GB2312" w:eastAsia="仿宋_GB2312"/>
                <w:sz w:val="20"/>
                <w:color w:val="0000FF"/>
              </w:rPr>
              <w:t>.其他说明</w:t>
            </w:r>
          </w:p>
          <w:p>
            <w:pPr>
              <w:pStyle w:val="null3"/>
              <w:jc w:val="both"/>
            </w:pPr>
            <w:r>
              <w:rPr>
                <w:rFonts w:ascii="仿宋_GB2312" w:hAnsi="仿宋_GB2312" w:cs="仿宋_GB2312" w:eastAsia="仿宋_GB2312"/>
                <w:sz w:val="20"/>
                <w:color w:val="0000FF"/>
              </w:rPr>
              <w:t>1.冷库保温板暂按150mm厚彩钢聚氨酯挂钩保温板计入；</w:t>
            </w:r>
          </w:p>
          <w:p>
            <w:pPr>
              <w:pStyle w:val="null3"/>
            </w:pPr>
            <w:r>
              <w:rPr>
                <w:rFonts w:ascii="仿宋_GB2312" w:hAnsi="仿宋_GB2312" w:cs="仿宋_GB2312" w:eastAsia="仿宋_GB2312"/>
                <w:sz w:val="20"/>
                <w:color w:val="0000FF"/>
              </w:rPr>
              <w:t>2.本工程预留金按分部分项合计金额的5%计入。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在施工期间，中标供应商必须严格按照治污减霾相关要求施工，并加强安全措施，并对施工人员进行安全教育，施工人员必须持证上岗。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1、工期： 60个日历日（实际开工日期以招标人批准的开工日期为准。）2、本项目合同价款应是采购范围内全部工作内容的价格体现。包括人工费、材料费、机械费、设备费、安装费、管理费、社保费、成交代理服务费、税金等其他一切相关费用。供应商所报的价格应考虑到可能发生的所有与完成本项目相关服务及履行合同义务有关的一切费用。任何有选择的报价将不予接受，按无效磋商处理。3、缺陷责任期：24个月（自工程竣工验收合格之日起计算）。4、供应商在编制磋商响应文件时须提供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一般资格审查.docx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特殊资格要求.docx 响应函 一般资格审查.docx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特殊资格要求.docx 一般资格审查.docx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供应商应具备行政主管部门颁发的建筑工程施工总承包二级（含二级）以上资质证书，同时具有合格有效的安全生产许可证；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拟派项目经理应具有建筑工程二级及以上注册建造师执业资格，具有有效的安全生产考核合格证书（B 证），在本单位注册且无在建工程（提供无在建项目承诺书)；</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的财务审计报告（有注册会计师行业统一监管平台赋予的专属验证码，成立时间至提交响应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提交响应文件截止时间前一年内至少一个月的纳税证明或完税证明（增值税、营业税、企业所得税至少提供一种），依法免税的应提供相关证明材料；</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提供具有履行合同所必需的设备和专业技术能力的承诺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参加本次政府采购活动前3年内在经营活动中没有重大违法记录的声明</w:t>
            </w:r>
          </w:p>
        </w:tc>
        <w:tc>
          <w:tcPr>
            <w:tcW w:type="dxa" w:w="3322"/>
          </w:tcPr>
          <w:p>
            <w:pPr>
              <w:pStyle w:val="null3"/>
            </w:pPr>
            <w:r>
              <w:rPr>
                <w:rFonts w:ascii="仿宋_GB2312" w:hAnsi="仿宋_GB2312" w:cs="仿宋_GB2312" w:eastAsia="仿宋_GB2312"/>
              </w:rPr>
              <w:t>参加本次政府采购活动前3年内在经营活动中没有重大违法记录的声明；</w:t>
            </w:r>
          </w:p>
        </w:tc>
        <w:tc>
          <w:tcPr>
            <w:tcW w:type="dxa" w:w="1661"/>
          </w:tcPr>
          <w:p>
            <w:pPr>
              <w:pStyle w:val="null3"/>
            </w:pPr>
            <w:r>
              <w:rPr>
                <w:rFonts w:ascii="仿宋_GB2312" w:hAnsi="仿宋_GB2312" w:cs="仿宋_GB2312" w:eastAsia="仿宋_GB2312"/>
              </w:rPr>
              <w:t>特殊资格要求.docx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 。</w:t>
            </w:r>
          </w:p>
        </w:tc>
        <w:tc>
          <w:tcPr>
            <w:tcW w:type="dxa" w:w="1661"/>
          </w:tcPr>
          <w:p>
            <w:pPr>
              <w:pStyle w:val="null3"/>
            </w:pPr>
            <w:r>
              <w:rPr>
                <w:rFonts w:ascii="仿宋_GB2312" w:hAnsi="仿宋_GB2312" w:cs="仿宋_GB2312" w:eastAsia="仿宋_GB2312"/>
              </w:rPr>
              <w:t>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应满足竞争性磋商文件中的规定。</w:t>
            </w:r>
          </w:p>
        </w:tc>
        <w:tc>
          <w:tcPr>
            <w:tcW w:type="dxa" w:w="1661"/>
          </w:tcPr>
          <w:p>
            <w:pPr>
              <w:pStyle w:val="null3"/>
            </w:pPr>
            <w:r>
              <w:rPr>
                <w:rFonts w:ascii="仿宋_GB2312" w:hAnsi="仿宋_GB2312" w:cs="仿宋_GB2312" w:eastAsia="仿宋_GB2312"/>
              </w:rPr>
              <w:t>响应文件封面 已标价工程量清单 中小企业声明函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一、评审内容：施工方案及技术措施内容至少包括①整体施工部署；②冷库核心专项施工工艺；③工程重难点及专项解决方案；④新工艺、新技术应用。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以上每条评审内容每完全满足一个评审标准得1分，满分3分；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施工方案及技术措施.docx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一、评审内容：质量管理体系与措施内容至少包括①现场标准化与实体控制措施；②具体技术与预防手段；③人员培训与沟通；④材料和构配件的质量控制；⑤定期检查与过程测试等。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以上每条评审内容每完全满足一个评审标准得1分，满分3分； 共计15分。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质量管理体系与措施.docx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一、评审内容：安全管理体系与措施内容至少包括①安全生产管理制度；②配置安全组织机构；③安全隐患排查、整改制度；④应急救援机制等。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以上每条评审内容每完全满足一个评审标准得0.5分，满分1.5分； 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安全管理体系与措施.docx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一、评审内容：环境保护管理体系与措施内容至少包括①施工现场环保措施；②绿色施工管控（节水、节电等）；③预防和动态控制措施及制度等。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以上每条评审内容每完全满足一个评审标准得0.5分，满分1.5分； 共计4.5分。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环境保护管理体系与措施.docx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一、评审内容：工程进度计划与措施内容至少包括①总体进度计划及节点排布；②保证工程进度技术措施；③施工过程中（人、材、机）组织保证。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以上每条评审内容每完全满足一个评审标准得1分，满分3分； 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工程进度计划与措施.docx</w:t>
            </w:r>
          </w:p>
        </w:tc>
      </w:tr>
      <w:tr>
        <w:tc>
          <w:tcPr>
            <w:tcW w:type="dxa" w:w="831"/>
            <w:vMerge/>
          </w:tcPr>
          <w:p/>
        </w:tc>
        <w:tc>
          <w:tcPr>
            <w:tcW w:type="dxa" w:w="1661"/>
          </w:tcPr>
          <w:p>
            <w:pPr>
              <w:pStyle w:val="null3"/>
            </w:pPr>
            <w:r>
              <w:rPr>
                <w:rFonts w:ascii="仿宋_GB2312" w:hAnsi="仿宋_GB2312" w:cs="仿宋_GB2312" w:eastAsia="仿宋_GB2312"/>
              </w:rPr>
              <w:t>主材品质保障</w:t>
            </w:r>
          </w:p>
        </w:tc>
        <w:tc>
          <w:tcPr>
            <w:tcW w:type="dxa" w:w="2492"/>
          </w:tcPr>
          <w:p>
            <w:pPr>
              <w:pStyle w:val="null3"/>
            </w:pPr>
            <w:r>
              <w:rPr>
                <w:rFonts w:ascii="仿宋_GB2312" w:hAnsi="仿宋_GB2312" w:cs="仿宋_GB2312" w:eastAsia="仿宋_GB2312"/>
              </w:rPr>
              <w:t>一、评审内容：主材品质保障内容至少包括①核心主材选型标准；②品质管控与溯源；③材料存放保护措施等。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以上每条评审内容每完全满足一个评审标准得0.5分，满分1.5分； 共计4.5分。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主材品质保障.docx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一、评审内容：应急措施内容至少包括①对突发事件的应急预案；②工程试运行及售后应急等。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以上每条评审内容每完全满足一个评审标准得0.5分，满分1.5分； 共计3分。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一、评审内容：项目管理机构内容至少包括①项目管理机构图；②岗位人员安排及职责；③管理制度；④相应的协调措施等。 二、评审标准： 1、完整性：内容须全面，对评审内容中的各项要求有详细描述； 2、可实施性：切合实际情况，实施步骤清晰、合理； 3、针对性：内容能够紧扣项目实际情况，科学合理。 三、赋分标准： 以上每条评审内容每完全满足一个评审标准得1分，满分3分； 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以合同的形式提供投标人2023年1月1日至今类似业绩，每提供一份得1分，满分4分；（提供完整合同复印件。）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经初审合格响应文件，其磋商报价为有效报价。满足磋商文件要求且价格最低的磋商报价为评标基准价，其价格分为满分。其他供应商的价格分统 一按照下列公式计算：报价得分=（评标基准价/磋商报价）×价格权值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详见附件：一般资格审查.docx</w:t>
      </w:r>
    </w:p>
    <w:p>
      <w:pPr>
        <w:pStyle w:val="null3"/>
        <w:ind w:firstLine="960"/>
      </w:pPr>
      <w:r>
        <w:rPr>
          <w:rFonts w:ascii="仿宋_GB2312" w:hAnsi="仿宋_GB2312" w:cs="仿宋_GB2312" w:eastAsia="仿宋_GB2312"/>
        </w:rPr>
        <w:t>详见附件：特殊资格要求.docx</w:t>
      </w:r>
    </w:p>
    <w:p>
      <w:pPr>
        <w:pStyle w:val="null3"/>
        <w:ind w:firstLine="960"/>
      </w:pPr>
      <w:r>
        <w:rPr>
          <w:rFonts w:ascii="仿宋_GB2312" w:hAnsi="仿宋_GB2312" w:cs="仿宋_GB2312" w:eastAsia="仿宋_GB2312"/>
        </w:rPr>
        <w:t>详见附件：施工方案及技术措施.docx</w:t>
      </w:r>
    </w:p>
    <w:p>
      <w:pPr>
        <w:pStyle w:val="null3"/>
        <w:ind w:firstLine="960"/>
      </w:pPr>
      <w:r>
        <w:rPr>
          <w:rFonts w:ascii="仿宋_GB2312" w:hAnsi="仿宋_GB2312" w:cs="仿宋_GB2312" w:eastAsia="仿宋_GB2312"/>
        </w:rPr>
        <w:t>详见附件：质量管理体系与措施.docx</w:t>
      </w:r>
    </w:p>
    <w:p>
      <w:pPr>
        <w:pStyle w:val="null3"/>
        <w:ind w:firstLine="960"/>
      </w:pPr>
      <w:r>
        <w:rPr>
          <w:rFonts w:ascii="仿宋_GB2312" w:hAnsi="仿宋_GB2312" w:cs="仿宋_GB2312" w:eastAsia="仿宋_GB2312"/>
        </w:rPr>
        <w:t>详见附件：安全管理体系与措施.docx</w:t>
      </w:r>
    </w:p>
    <w:p>
      <w:pPr>
        <w:pStyle w:val="null3"/>
        <w:ind w:firstLine="960"/>
      </w:pPr>
      <w:r>
        <w:rPr>
          <w:rFonts w:ascii="仿宋_GB2312" w:hAnsi="仿宋_GB2312" w:cs="仿宋_GB2312" w:eastAsia="仿宋_GB2312"/>
        </w:rPr>
        <w:t>详见附件：环境保护管理体系与措施.docx</w:t>
      </w:r>
    </w:p>
    <w:p>
      <w:pPr>
        <w:pStyle w:val="null3"/>
        <w:ind w:firstLine="960"/>
      </w:pPr>
      <w:r>
        <w:rPr>
          <w:rFonts w:ascii="仿宋_GB2312" w:hAnsi="仿宋_GB2312" w:cs="仿宋_GB2312" w:eastAsia="仿宋_GB2312"/>
        </w:rPr>
        <w:t>详见附件：工程进度计划与措施.docx</w:t>
      </w:r>
    </w:p>
    <w:p>
      <w:pPr>
        <w:pStyle w:val="null3"/>
        <w:ind w:firstLine="960"/>
      </w:pPr>
      <w:r>
        <w:rPr>
          <w:rFonts w:ascii="仿宋_GB2312" w:hAnsi="仿宋_GB2312" w:cs="仿宋_GB2312" w:eastAsia="仿宋_GB2312"/>
        </w:rPr>
        <w:t>详见附件：主材品质保障.docx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