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版本号：LZBC2026-67320260702001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食材供应服务项目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LZBC2026-673</w:t>
      </w:r>
      <w:r>
        <w:br/>
      </w:r>
      <w:r>
        <w:br/>
      </w:r>
      <w:r>
        <w:br/>
      </w:r>
    </w:p>
    <w:p>
      <w:pPr>
        <w:pStyle w:val="null3"/>
        <w:jc w:val="center"/>
        <w:outlineLvl w:val="2"/>
      </w:pPr>
      <w:r>
        <w:rPr>
          <w:rFonts w:ascii="仿宋_GB2312" w:hAnsi="仿宋_GB2312" w:cs="仿宋_GB2312" w:eastAsia="仿宋_GB2312"/>
          <w:sz w:val="28"/>
          <w:b/>
        </w:rPr>
        <w:t>西安市强制隔离戒毒所</w:t>
      </w:r>
    </w:p>
    <w:p>
      <w:pPr>
        <w:pStyle w:val="null3"/>
        <w:jc w:val="center"/>
        <w:outlineLvl w:val="2"/>
      </w:pPr>
      <w:r>
        <w:rPr>
          <w:rFonts w:ascii="仿宋_GB2312" w:hAnsi="仿宋_GB2312" w:cs="仿宋_GB2312" w:eastAsia="仿宋_GB2312"/>
          <w:sz w:val="28"/>
          <w:b/>
        </w:rPr>
        <w:t>龙寰项目管理咨询有限公司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龙寰项目管理咨询有限公司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西安市强制隔离戒毒所</w:t>
      </w:r>
      <w:r>
        <w:rPr>
          <w:rFonts w:ascii="仿宋_GB2312" w:hAnsi="仿宋_GB2312" w:cs="仿宋_GB2312" w:eastAsia="仿宋_GB2312"/>
        </w:rPr>
        <w:t>委托，拟对</w:t>
      </w:r>
      <w:r>
        <w:rPr>
          <w:rFonts w:ascii="仿宋_GB2312" w:hAnsi="仿宋_GB2312" w:cs="仿宋_GB2312" w:eastAsia="仿宋_GB2312"/>
        </w:rPr>
        <w:t>食材供应服务项目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LZBC2026-673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食材供应服务项目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西安市强制隔离戒毒所食材供应服务项目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采购包1（食材供应服务项目）：属于专门面向小微企业采购。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法人需提供合法有效的营业执照，其他组织需提供合法有效的营业执照等证明资料，自然人须提供身份证明。供应商需在项目电子化交易系统中按要求上传相应证明文件并进行电子签章</w:t>
      </w:r>
    </w:p>
    <w:p>
      <w:pPr>
        <w:pStyle w:val="null3"/>
      </w:pPr>
      <w:r>
        <w:rPr>
          <w:rFonts w:ascii="仿宋_GB2312" w:hAnsi="仿宋_GB2312" w:cs="仿宋_GB2312" w:eastAsia="仿宋_GB2312"/>
        </w:rPr>
        <w:t>2、企业资质：供应商应提供《食品经营许可证》，供应商需在项目电子化交易系统中按要求上传相应证明文件并进行电子签章。</w:t>
      </w:r>
    </w:p>
    <w:p>
      <w:pPr>
        <w:pStyle w:val="null3"/>
      </w:pPr>
      <w:r>
        <w:rPr>
          <w:rFonts w:ascii="仿宋_GB2312" w:hAnsi="仿宋_GB2312" w:cs="仿宋_GB2312" w:eastAsia="仿宋_GB2312"/>
        </w:rPr>
        <w:t>3、税收缴纳凭证及社会保险缴纳的凭证：供应商在本项目磋商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w:t>
      </w:r>
    </w:p>
    <w:p>
      <w:pPr>
        <w:pStyle w:val="null3"/>
      </w:pPr>
      <w:r>
        <w:rPr>
          <w:rFonts w:ascii="仿宋_GB2312" w:hAnsi="仿宋_GB2312" w:cs="仿宋_GB2312" w:eastAsia="仿宋_GB2312"/>
        </w:rPr>
        <w:t>4、财务状况报告：供应商提供2025年经审计的财务报告（事业法人可提供部门决算报告）或基本开户银行出具的资信证明或专业担保机构出具的投标担保函，供应商需在项目电子化交易系统中按要求上传相应证明文件并进行电子签章</w:t>
      </w:r>
    </w:p>
    <w:p>
      <w:pPr>
        <w:pStyle w:val="null3"/>
      </w:pPr>
      <w:r>
        <w:rPr>
          <w:rFonts w:ascii="仿宋_GB2312" w:hAnsi="仿宋_GB2312" w:cs="仿宋_GB2312" w:eastAsia="仿宋_GB2312"/>
        </w:rPr>
        <w:t>5、参加政府采购活动前3年内在经营活动中没有重大违法记录的书面声明：参加政府采购活动前3年内在经营活动中没有重大违法记录的书面声明，重大违法记录是指供应商因违法经营受到刑事处罚或者责令停产停业、吊销许可证或者执照、较大数额罚款等行政处罚。供应商需在项目电子化交易系统中按要求上传相应证明文件并进行电子签章。</w:t>
      </w:r>
    </w:p>
    <w:p>
      <w:pPr>
        <w:pStyle w:val="null3"/>
      </w:pPr>
      <w:r>
        <w:rPr>
          <w:rFonts w:ascii="仿宋_GB2312" w:hAnsi="仿宋_GB2312" w:cs="仿宋_GB2312" w:eastAsia="仿宋_GB2312"/>
        </w:rPr>
        <w:t>6、履行合同所必需的设备和专业技术能力书面声明函：供应商应提供履行合同所必需的设备和专业技术能力书面声明函，供应商需在项目电子化交易系统中按要求上传相应证明文件并进行电子签章。</w:t>
      </w:r>
    </w:p>
    <w:p>
      <w:pPr>
        <w:pStyle w:val="null3"/>
      </w:pPr>
      <w:r>
        <w:rPr>
          <w:rFonts w:ascii="仿宋_GB2312" w:hAnsi="仿宋_GB2312" w:cs="仿宋_GB2312" w:eastAsia="仿宋_GB2312"/>
        </w:rPr>
        <w:t>7、信用状况：供应商未被列入《信用中国》失信被执行人、重大税收违法失信主体、政府采购严重违法失信行为记录名单和《中国政府采购网》政府采购严重违法失信行为记录名单。以响应文件上传截止时间后当日内采购人或采购代理机构的查询结果为准。</w:t>
      </w:r>
    </w:p>
    <w:p>
      <w:pPr>
        <w:pStyle w:val="null3"/>
      </w:pPr>
      <w:r>
        <w:rPr>
          <w:rFonts w:ascii="仿宋_GB2312" w:hAnsi="仿宋_GB2312" w:cs="仿宋_GB2312" w:eastAsia="仿宋_GB2312"/>
        </w:rPr>
        <w:t>8、本项目为专门面向小微企业的采购：本项目专门面向小微企业采购（残疾人福利性单位、监狱企业视同小型、微型企业），需提供《中小企业声明函》或《监狱企业的证明文件》或《残疾人福利性单位声明函》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西安市强制隔离戒毒所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西安市雁塔区三爻村共建路九号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崔馨月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029-87694215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龙寰项目管理咨询有限公司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陕西省西安市高新区太白南路181号西部电子社区A座A区501室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胡敏、王申午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029-88228899-633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采购包1：937,200.00元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代理服务费收费标准：代理服务费用收取对象：中标/成交供应商 代理服务费收费标准：1、参照国家计委关于印发《招标代理服务收费管理暂行办法》的通知（计价格〔2002〕1980号）、《国家发展和改革委员会办公厅关于招标代理服务收费。2、成交服务费以采购预算为基数进行计算，成交供应商在取得成交通知书时，向采购代理机构一次性缴付成交服务费。招标代理服务费以转账或现金形式缴纳至以下账户： 开户名称：龙寰项目管理咨询有限公司 开户银行：平安银行西安高新路支行 账号：30201278018663</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西安市强制隔离戒毒所</w:t>
      </w:r>
      <w:r>
        <w:rPr>
          <w:rFonts w:ascii="仿宋_GB2312" w:hAnsi="仿宋_GB2312" w:cs="仿宋_GB2312" w:eastAsia="仿宋_GB2312"/>
        </w:rPr>
        <w:t>和</w:t>
      </w:r>
      <w:r>
        <w:rPr>
          <w:rFonts w:ascii="仿宋_GB2312" w:hAnsi="仿宋_GB2312" w:cs="仿宋_GB2312" w:eastAsia="仿宋_GB2312"/>
        </w:rPr>
        <w:t>龙寰项目管理咨询有限公司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西安市强制隔离戒毒所</w:t>
      </w:r>
      <w:r>
        <w:rPr>
          <w:rFonts w:ascii="仿宋_GB2312" w:hAnsi="仿宋_GB2312" w:cs="仿宋_GB2312" w:eastAsia="仿宋_GB2312"/>
        </w:rPr>
        <w:t>负责解释。除上述磋商文件内容，其他内容由</w:t>
      </w:r>
      <w:r>
        <w:rPr>
          <w:rFonts w:ascii="仿宋_GB2312" w:hAnsi="仿宋_GB2312" w:cs="仿宋_GB2312" w:eastAsia="仿宋_GB2312"/>
        </w:rPr>
        <w:t>龙寰项目管理咨询有限公司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西安市强制隔离戒毒所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龙寰项目管理咨询有限公司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以最终签订合同为准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联系人：胡敏、王申午</w:t>
      </w:r>
    </w:p>
    <w:p>
      <w:pPr>
        <w:pStyle w:val="null3"/>
      </w:pPr>
      <w:r>
        <w:rPr>
          <w:rFonts w:ascii="仿宋_GB2312" w:hAnsi="仿宋_GB2312" w:cs="仿宋_GB2312" w:eastAsia="仿宋_GB2312"/>
        </w:rPr>
        <w:t>联系电话：029-88228899-633</w:t>
      </w:r>
    </w:p>
    <w:p>
      <w:pPr>
        <w:pStyle w:val="null3"/>
      </w:pPr>
      <w:r>
        <w:rPr>
          <w:rFonts w:ascii="仿宋_GB2312" w:hAnsi="仿宋_GB2312" w:cs="仿宋_GB2312" w:eastAsia="仿宋_GB2312"/>
        </w:rPr>
        <w:t>地址：西安市太白南路181号西部电子社区A座A区501室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西安市强制隔离戒毒所食材供应服务项目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937,200.00</w:t>
      </w:r>
    </w:p>
    <w:p>
      <w:pPr>
        <w:pStyle w:val="null3"/>
      </w:pPr>
      <w:r>
        <w:rPr>
          <w:rFonts w:ascii="仿宋_GB2312" w:hAnsi="仿宋_GB2312" w:cs="仿宋_GB2312" w:eastAsia="仿宋_GB2312"/>
        </w:rPr>
        <w:t>采购包最高限价（元）: 937,200.00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餐饮服务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937,200.00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标的名称：餐饮服务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2"/>
              <w:jc w:val="left"/>
            </w:pPr>
            <w:r>
              <w:rPr>
                <w:rFonts w:ascii="仿宋_GB2312" w:hAnsi="仿宋_GB2312" w:cs="仿宋_GB2312" w:eastAsia="仿宋_GB2312"/>
                <w:sz w:val="20"/>
                <w:b/>
                <w:color w:val="000000"/>
              </w:rPr>
              <w:t>一、指导思想</w:t>
            </w:r>
          </w:p>
          <w:p>
            <w:pPr>
              <w:pStyle w:val="null3"/>
              <w:ind w:firstLine="400"/>
              <w:jc w:val="both"/>
            </w:pPr>
            <w:r>
              <w:rPr>
                <w:rFonts w:ascii="仿宋_GB2312" w:hAnsi="仿宋_GB2312" w:cs="仿宋_GB2312" w:eastAsia="仿宋_GB2312"/>
                <w:sz w:val="20"/>
                <w:color w:val="000000"/>
              </w:rPr>
              <w:t>全面贯彻落实《中华人民共和国食品安全法》，以提升食品安全总体水平为核心，按照</w:t>
            </w:r>
            <w:r>
              <w:rPr>
                <w:rFonts w:ascii="仿宋_GB2312" w:hAnsi="仿宋_GB2312" w:cs="仿宋_GB2312" w:eastAsia="仿宋_GB2312"/>
                <w:sz w:val="20"/>
                <w:color w:val="000000"/>
              </w:rPr>
              <w:t>“公开透明、公平竞争、公正规范”的原则，选择信誉优良、服务周到、质优价廉、有经济实力的合法的承包方。</w:t>
            </w:r>
          </w:p>
          <w:p>
            <w:pPr>
              <w:pStyle w:val="null3"/>
              <w:ind w:firstLine="402"/>
              <w:jc w:val="both"/>
            </w:pPr>
            <w:r>
              <w:rPr>
                <w:rFonts w:ascii="仿宋_GB2312" w:hAnsi="仿宋_GB2312" w:cs="仿宋_GB2312" w:eastAsia="仿宋_GB2312"/>
                <w:sz w:val="20"/>
                <w:b/>
                <w:color w:val="000000"/>
              </w:rPr>
              <w:t>二、采购基本情况</w:t>
            </w:r>
          </w:p>
          <w:p>
            <w:pPr>
              <w:pStyle w:val="null3"/>
              <w:ind w:firstLine="400"/>
              <w:jc w:val="both"/>
            </w:pPr>
            <w:r>
              <w:rPr>
                <w:rFonts w:ascii="仿宋_GB2312" w:hAnsi="仿宋_GB2312" w:cs="仿宋_GB2312" w:eastAsia="仿宋_GB2312"/>
                <w:sz w:val="20"/>
                <w:color w:val="000000"/>
              </w:rPr>
              <w:t>餐厅供应模式为早、午、晚分段供应；早餐品种为</w:t>
            </w:r>
            <w:r>
              <w:rPr>
                <w:rFonts w:ascii="仿宋_GB2312" w:hAnsi="仿宋_GB2312" w:cs="仿宋_GB2312" w:eastAsia="仿宋_GB2312"/>
                <w:sz w:val="20"/>
                <w:color w:val="000000"/>
              </w:rPr>
              <w:t>3</w:t>
            </w:r>
            <w:r>
              <w:rPr>
                <w:rFonts w:ascii="仿宋_GB2312" w:hAnsi="仿宋_GB2312" w:cs="仿宋_GB2312" w:eastAsia="仿宋_GB2312"/>
                <w:sz w:val="20"/>
                <w:color w:val="000000"/>
              </w:rPr>
              <w:t>种凉菜及主、副食等；午餐为</w:t>
            </w:r>
            <w:r>
              <w:rPr>
                <w:rFonts w:ascii="仿宋_GB2312" w:hAnsi="仿宋_GB2312" w:cs="仿宋_GB2312" w:eastAsia="仿宋_GB2312"/>
                <w:sz w:val="20"/>
                <w:color w:val="000000"/>
              </w:rPr>
              <w:t>3</w:t>
            </w:r>
            <w:r>
              <w:rPr>
                <w:rFonts w:ascii="仿宋_GB2312" w:hAnsi="仿宋_GB2312" w:cs="仿宋_GB2312" w:eastAsia="仿宋_GB2312"/>
                <w:sz w:val="20"/>
                <w:color w:val="000000"/>
              </w:rPr>
              <w:t>种热菜及汤</w:t>
            </w:r>
            <w:r>
              <w:rPr>
                <w:rFonts w:ascii="仿宋_GB2312" w:hAnsi="仿宋_GB2312" w:cs="仿宋_GB2312" w:eastAsia="仿宋_GB2312"/>
                <w:sz w:val="20"/>
                <w:color w:val="000000"/>
              </w:rPr>
              <w:t>1种，配主食、面食和水果等；晚餐</w:t>
            </w:r>
            <w:r>
              <w:rPr>
                <w:rFonts w:ascii="仿宋_GB2312" w:hAnsi="仿宋_GB2312" w:cs="仿宋_GB2312" w:eastAsia="仿宋_GB2312"/>
                <w:sz w:val="20"/>
                <w:color w:val="000000"/>
              </w:rPr>
              <w:t>2</w:t>
            </w:r>
            <w:r>
              <w:rPr>
                <w:rFonts w:ascii="仿宋_GB2312" w:hAnsi="仿宋_GB2312" w:cs="仿宋_GB2312" w:eastAsia="仿宋_GB2312"/>
                <w:sz w:val="20"/>
                <w:color w:val="000000"/>
              </w:rPr>
              <w:t>种热菜配主食等。</w:t>
            </w:r>
          </w:p>
          <w:p>
            <w:pPr>
              <w:pStyle w:val="null3"/>
              <w:ind w:firstLine="400"/>
              <w:jc w:val="both"/>
            </w:pPr>
            <w:r>
              <w:rPr>
                <w:rFonts w:ascii="仿宋_GB2312" w:hAnsi="仿宋_GB2312" w:cs="仿宋_GB2312" w:eastAsia="仿宋_GB2312"/>
                <w:sz w:val="20"/>
                <w:color w:val="000000"/>
              </w:rPr>
              <w:t>负责日常餐厅原材料的供应和配送，保证职工餐厅正常开餐，保障本单位应对突发事件和应急备勤时期的原材料供给。</w:t>
            </w:r>
          </w:p>
          <w:p>
            <w:pPr>
              <w:pStyle w:val="null3"/>
              <w:ind w:firstLine="402"/>
              <w:jc w:val="both"/>
            </w:pPr>
            <w:r>
              <w:rPr>
                <w:rFonts w:ascii="仿宋_GB2312" w:hAnsi="仿宋_GB2312" w:cs="仿宋_GB2312" w:eastAsia="仿宋_GB2312"/>
                <w:sz w:val="20"/>
                <w:b/>
                <w:color w:val="000000"/>
              </w:rPr>
              <w:t>三、采购基本要求</w:t>
            </w:r>
          </w:p>
          <w:p>
            <w:pPr>
              <w:pStyle w:val="null3"/>
              <w:ind w:firstLine="400"/>
              <w:jc w:val="left"/>
            </w:pPr>
            <w:r>
              <w:rPr>
                <w:rFonts w:ascii="仿宋_GB2312" w:hAnsi="仿宋_GB2312" w:cs="仿宋_GB2312" w:eastAsia="仿宋_GB2312"/>
                <w:sz w:val="20"/>
                <w:color w:val="000000"/>
              </w:rPr>
              <w:t>食材必须符合新的《食品安全法》第三章</w:t>
            </w:r>
            <w:r>
              <w:rPr>
                <w:rFonts w:ascii="仿宋_GB2312" w:hAnsi="仿宋_GB2312" w:cs="仿宋_GB2312" w:eastAsia="仿宋_GB2312"/>
                <w:sz w:val="20"/>
                <w:color w:val="000000"/>
              </w:rPr>
              <w:t>“食品安全标准”中的规定。食品中污染物限量应符合GB2762-2017标准规定。不得采购转基因食品或利用转基因食品原料加工的成品。食品原料新鲜、清洁卫生，同时对每批次食品原料进行检测，具有质量技术监督部门颁发的质量检验报告（近期）。</w:t>
            </w:r>
            <w:r>
              <w:rPr>
                <w:rFonts w:ascii="仿宋_GB2312" w:hAnsi="仿宋_GB2312" w:cs="仿宋_GB2312" w:eastAsia="仿宋_GB2312"/>
                <w:sz w:val="20"/>
                <w:color w:val="000000"/>
              </w:rPr>
              <w:t>所配送的食品原料应符合相应的食品安全国家标准要求。</w:t>
            </w:r>
            <w:r>
              <w:rPr>
                <w:rFonts w:ascii="仿宋_GB2312" w:hAnsi="仿宋_GB2312" w:cs="仿宋_GB2312" w:eastAsia="仿宋_GB2312"/>
                <w:sz w:val="20"/>
                <w:color w:val="000000"/>
              </w:rPr>
              <w:t>对不符合检测标准的配送食材采购人将不予接收，并按照规定解除合同。成交人需赔偿相应的违约金。</w:t>
            </w:r>
          </w:p>
          <w:p>
            <w:pPr>
              <w:pStyle w:val="null3"/>
              <w:ind w:firstLine="402"/>
              <w:jc w:val="left"/>
            </w:pPr>
            <w:r>
              <w:rPr>
                <w:rFonts w:ascii="仿宋_GB2312" w:hAnsi="仿宋_GB2312" w:cs="仿宋_GB2312" w:eastAsia="仿宋_GB2312"/>
                <w:sz w:val="20"/>
                <w:b/>
                <w:color w:val="000000"/>
              </w:rPr>
              <w:t>注：</w:t>
            </w:r>
            <w:r>
              <w:rPr>
                <w:rFonts w:ascii="仿宋_GB2312" w:hAnsi="仿宋_GB2312" w:cs="仿宋_GB2312" w:eastAsia="仿宋_GB2312"/>
                <w:sz w:val="20"/>
                <w:b/>
                <w:color w:val="000000"/>
              </w:rPr>
              <w:t>如国家制定新的食品安全标准，即按新标准执行。</w:t>
            </w:r>
          </w:p>
          <w:tbl>
            <w:tblPr>
              <w:tblBorders>
                <w:top w:val="none" w:color="000000" w:sz="4"/>
                <w:left w:val="none" w:color="000000" w:sz="4"/>
                <w:bottom w:val="none" w:color="000000" w:sz="4"/>
                <w:right w:val="none" w:color="000000" w:sz="4"/>
                <w:insideH w:val="none"/>
                <w:insideV w:val="none"/>
              </w:tblBorders>
            </w:tblPr>
            <w:tblGrid>
              <w:gridCol w:w="264"/>
              <w:gridCol w:w="1936"/>
              <w:gridCol w:w="346"/>
            </w:tblGrid>
            <w:tr>
              <w:tc>
                <w:tcPr>
                  <w:tcW w:type="dxa" w:w="2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项目</w:t>
                  </w:r>
                </w:p>
              </w:tc>
              <w:tc>
                <w:tcPr>
                  <w:tcW w:type="dxa" w:w="19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技术、规格、质量要求及包装标准</w:t>
                  </w:r>
                </w:p>
              </w:tc>
              <w:tc>
                <w:tcPr>
                  <w:tcW w:type="dxa" w:w="3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备注</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肉禽类</w:t>
                  </w:r>
                </w:p>
              </w:tc>
              <w:tc>
                <w:tcPr>
                  <w:tcW w:type="dxa" w:w="1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肉身必须盖有卫生检疫章，须出具加盖国家或地方政府监督所检疫章的动物检疫证明。肉品须表皮洁净、膘厚适中、色泽鲜亮、纹理清晰、肉质细腻、无异味、去骨、无毛、按压无水迹。</w:t>
                  </w:r>
                </w:p>
              </w:tc>
              <w:tc>
                <w:tcPr>
                  <w:tcW w:type="dxa" w:w="34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所有商品必须满足国家和地方相关规定</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蔬菜类</w:t>
                  </w:r>
                </w:p>
              </w:tc>
              <w:tc>
                <w:tcPr>
                  <w:tcW w:type="dxa" w:w="1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当季各类新鲜蔬菜以及大棚种植蔬菜，蔬菜类必须保证无黄叶、枯死叶、无虫、无杂质，须</w:t>
                  </w:r>
                  <w:r>
                    <w:rPr>
                      <w:rFonts w:ascii="仿宋_GB2312" w:hAnsi="仿宋_GB2312" w:cs="仿宋_GB2312" w:eastAsia="仿宋_GB2312"/>
                      <w:sz w:val="20"/>
                      <w:color w:val="000000"/>
                    </w:rPr>
                    <w:t>48小时内采摘供应，原菜须保证菜面干净、无明显泥土、码放整齐、无破损、大小基本统一、不得过熟或欠熟；净菜须保证菜面完全干净、无泥土、按统一标准加工、码放整齐、无须二次处理可以直接进行熟加工</w:t>
                  </w:r>
                </w:p>
              </w:tc>
              <w:tc>
                <w:tcPr>
                  <w:tcW w:type="dxa" w:w="346"/>
                  <w:vMerge/>
                  <w:tcBorders>
                    <w:top w:val="none" w:color="000000" w:sz="4"/>
                    <w:left w:val="single" w:color="000000" w:sz="4"/>
                    <w:bottom w:val="single" w:color="000000" w:sz="4"/>
                    <w:right w:val="single" w:color="000000" w:sz="4"/>
                  </w:tcBorders>
                </w:tcP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蛋类</w:t>
                  </w:r>
                </w:p>
              </w:tc>
              <w:tc>
                <w:tcPr>
                  <w:tcW w:type="dxa" w:w="1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新鲜、大小均匀、无破损、色泽光滑，须出具加盖地方政府监督所检疫章的动物检疫证明</w:t>
                  </w:r>
                </w:p>
              </w:tc>
              <w:tc>
                <w:tcPr>
                  <w:tcW w:type="dxa" w:w="346"/>
                  <w:vMerge/>
                  <w:tcBorders>
                    <w:top w:val="none" w:color="000000" w:sz="4"/>
                    <w:left w:val="single" w:color="000000" w:sz="4"/>
                    <w:bottom w:val="single" w:color="000000" w:sz="4"/>
                    <w:right w:val="single" w:color="000000" w:sz="4"/>
                  </w:tcBorders>
                </w:tcP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豆制品</w:t>
                  </w:r>
                </w:p>
              </w:tc>
              <w:tc>
                <w:tcPr>
                  <w:tcW w:type="dxa" w:w="1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豆腐、豆腐干、绿豆芽、黄豆芽、红豆等；须保证食材干净、不含非食品用化学物质、按统一标准加工、码放整齐、无须二次处理可以直接进行熟加工</w:t>
                  </w:r>
                </w:p>
              </w:tc>
              <w:tc>
                <w:tcPr>
                  <w:tcW w:type="dxa" w:w="346"/>
                  <w:vMerge/>
                  <w:tcBorders>
                    <w:top w:val="none" w:color="000000" w:sz="4"/>
                    <w:left w:val="single" w:color="000000" w:sz="4"/>
                    <w:bottom w:val="single" w:color="000000" w:sz="4"/>
                    <w:right w:val="single" w:color="000000" w:sz="4"/>
                  </w:tcBorders>
                </w:tcP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水果</w:t>
                  </w:r>
                </w:p>
              </w:tc>
              <w:tc>
                <w:tcPr>
                  <w:tcW w:type="dxa" w:w="1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当季各类水果，无虫、无杂质，须保证水果新鲜，原水果须保证果面干净、无明显泥土、码放整齐、无破损、大小基本统一、不得过熟或欠熟</w:t>
                  </w:r>
                </w:p>
              </w:tc>
              <w:tc>
                <w:tcPr>
                  <w:tcW w:type="dxa" w:w="346"/>
                  <w:vMerge/>
                  <w:tcBorders>
                    <w:top w:val="none" w:color="000000" w:sz="4"/>
                    <w:left w:val="single" w:color="000000" w:sz="4"/>
                    <w:bottom w:val="single" w:color="000000" w:sz="4"/>
                    <w:right w:val="single" w:color="000000" w:sz="4"/>
                  </w:tcBorders>
                </w:tcP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米线、饸络</w:t>
                  </w:r>
                </w:p>
              </w:tc>
              <w:tc>
                <w:tcPr>
                  <w:tcW w:type="dxa" w:w="1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要求原材料不含非食品用化学物质、不掺假、不过期、不变质、不变味、无杂质、无毒害，符合国家食品行业的标准</w:t>
                  </w:r>
                </w:p>
              </w:tc>
              <w:tc>
                <w:tcPr>
                  <w:tcW w:type="dxa" w:w="346"/>
                  <w:vMerge/>
                  <w:tcBorders>
                    <w:top w:val="none" w:color="000000" w:sz="4"/>
                    <w:left w:val="single" w:color="000000" w:sz="4"/>
                    <w:bottom w:val="single" w:color="000000" w:sz="4"/>
                    <w:right w:val="single" w:color="000000" w:sz="4"/>
                  </w:tcBorders>
                </w:tcP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大米</w:t>
                  </w:r>
                </w:p>
              </w:tc>
              <w:tc>
                <w:tcPr>
                  <w:tcW w:type="dxa" w:w="1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⼤⽶须达国家标准；⽆掺杂、</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⽆沙⽯，</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碎⽶少，</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w:t>
                  </w:r>
                  <w:r>
                    <w:rPr>
                      <w:rFonts w:ascii="仿宋_GB2312" w:hAnsi="仿宋_GB2312" w:cs="仿宋_GB2312" w:eastAsia="仿宋_GB2312"/>
                      <w:sz w:val="20"/>
                      <w:color w:val="000000"/>
                    </w:rPr>
                    <w:t>粒⽶；</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⼤⽶包装袋上印有⼤⽶品名、</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等级、 数量、出⼚名、</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⼚家地址及其电话。</w:t>
                  </w:r>
                </w:p>
              </w:tc>
              <w:tc>
                <w:tcPr>
                  <w:tcW w:type="dxa" w:w="346"/>
                  <w:vMerge/>
                  <w:tcBorders>
                    <w:top w:val="none" w:color="000000" w:sz="4"/>
                    <w:left w:val="single" w:color="000000" w:sz="4"/>
                    <w:bottom w:val="single" w:color="000000" w:sz="4"/>
                    <w:right w:val="single" w:color="000000" w:sz="4"/>
                  </w:tcBorders>
                </w:tcP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面粉</w:t>
                  </w:r>
                </w:p>
                <w:p>
                  <w:pPr>
                    <w:pStyle w:val="null3"/>
                    <w:jc w:val="both"/>
                  </w:pPr>
                  <w:r>
                    <w:rPr>
                      <w:rFonts w:ascii="仿宋_GB2312" w:hAnsi="仿宋_GB2312" w:cs="仿宋_GB2312" w:eastAsia="仿宋_GB2312"/>
                      <w:sz w:val="20"/>
                      <w:color w:val="000000"/>
                    </w:rPr>
                    <w:t>（含面粉配料）</w:t>
                  </w:r>
                </w:p>
                <w:p>
                  <w:pPr>
                    <w:pStyle w:val="null3"/>
                    <w:jc w:val="center"/>
                  </w:pPr>
                </w:p>
              </w:tc>
              <w:tc>
                <w:tcPr>
                  <w:tcW w:type="dxa" w:w="1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⾯粉须达到国家标准，⾊泽正常，⼲爽⽆异味；按进货量抽查</w:t>
                  </w:r>
                  <w:r>
                    <w:rPr>
                      <w:rFonts w:ascii="仿宋_GB2312" w:hAnsi="仿宋_GB2312" w:cs="仿宋_GB2312" w:eastAsia="仿宋_GB2312"/>
                      <w:sz w:val="20"/>
                      <w:color w:val="000000"/>
                    </w:rPr>
                    <w:t>20</w:t>
                  </w:r>
                  <w:r>
                    <w:rPr>
                      <w:rFonts w:ascii="仿宋_GB2312" w:hAnsi="仿宋_GB2312" w:cs="仿宋_GB2312" w:eastAsia="仿宋_GB2312"/>
                      <w:sz w:val="20"/>
                      <w:color w:val="000000"/>
                    </w:rPr>
                    <w:t>％，数量按抽查验收实数为准；包装袋上有注册商标及</w:t>
                  </w:r>
                  <w:r>
                    <w:rPr>
                      <w:rFonts w:ascii="仿宋_GB2312" w:hAnsi="仿宋_GB2312" w:cs="仿宋_GB2312" w:eastAsia="仿宋_GB2312"/>
                      <w:sz w:val="20"/>
                      <w:color w:val="000000"/>
                    </w:rPr>
                    <w:t>SC</w:t>
                  </w:r>
                  <w:r>
                    <w:rPr>
                      <w:rFonts w:ascii="仿宋_GB2312" w:hAnsi="仿宋_GB2312" w:cs="仿宋_GB2312" w:eastAsia="仿宋_GB2312"/>
                      <w:sz w:val="20"/>
                      <w:color w:val="000000"/>
                    </w:rPr>
                    <w:t>标注，有检验合格证、⽣产⽇期和保质期。</w:t>
                  </w:r>
                </w:p>
              </w:tc>
              <w:tc>
                <w:tcPr>
                  <w:tcW w:type="dxa" w:w="346"/>
                  <w:vMerge/>
                  <w:tcBorders>
                    <w:top w:val="none" w:color="000000" w:sz="4"/>
                    <w:left w:val="single" w:color="000000" w:sz="4"/>
                    <w:bottom w:val="single" w:color="000000" w:sz="4"/>
                    <w:right w:val="single" w:color="000000" w:sz="4"/>
                  </w:tcBorders>
                </w:tcP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大豆油</w:t>
                  </w:r>
                </w:p>
              </w:tc>
              <w:tc>
                <w:tcPr>
                  <w:tcW w:type="dxa" w:w="1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按国家⻝⽤调和油质量标准，</w:t>
                  </w:r>
                  <w:r>
                    <w:rPr>
                      <w:rFonts w:ascii="仿宋_GB2312" w:hAnsi="仿宋_GB2312" w:cs="仿宋_GB2312" w:eastAsia="仿宋_GB2312"/>
                      <w:sz w:val="20"/>
                      <w:color w:val="000000"/>
                    </w:rPr>
                    <w:t>质量符合要求；</w:t>
                  </w:r>
                  <w:r>
                    <w:rPr>
                      <w:rFonts w:ascii="仿宋_GB2312" w:hAnsi="仿宋_GB2312" w:cs="仿宋_GB2312" w:eastAsia="仿宋_GB2312"/>
                      <w:sz w:val="20"/>
                      <w:color w:val="000000"/>
                    </w:rPr>
                    <w:t>有合格检疫报告，</w:t>
                  </w:r>
                  <w:r>
                    <w:rPr>
                      <w:rFonts w:ascii="仿宋_GB2312" w:hAnsi="仿宋_GB2312" w:cs="仿宋_GB2312" w:eastAsia="仿宋_GB2312"/>
                      <w:sz w:val="20"/>
                      <w:color w:val="000000"/>
                    </w:rPr>
                    <w:t>外观的⾊泽、</w:t>
                  </w:r>
                  <w:r>
                    <w:rPr>
                      <w:rFonts w:ascii="仿宋_GB2312" w:hAnsi="仿宋_GB2312" w:cs="仿宋_GB2312" w:eastAsia="仿宋_GB2312"/>
                      <w:sz w:val="20"/>
                      <w:color w:val="000000"/>
                    </w:rPr>
                    <w:t>透明度、</w:t>
                  </w:r>
                  <w:r>
                    <w:rPr>
                      <w:rFonts w:ascii="仿宋_GB2312" w:hAnsi="仿宋_GB2312" w:cs="仿宋_GB2312" w:eastAsia="仿宋_GB2312"/>
                      <w:sz w:val="20"/>
                      <w:color w:val="000000"/>
                    </w:rPr>
                    <w:t>⽓味滋味等⽆异常；</w:t>
                  </w:r>
                  <w:r>
                    <w:rPr>
                      <w:rFonts w:ascii="仿宋_GB2312" w:hAnsi="仿宋_GB2312" w:cs="仿宋_GB2312" w:eastAsia="仿宋_GB2312"/>
                      <w:sz w:val="20"/>
                      <w:color w:val="000000"/>
                    </w:rPr>
                    <w:t>定型包装。</w:t>
                  </w:r>
                </w:p>
              </w:tc>
              <w:tc>
                <w:tcPr>
                  <w:tcW w:type="dxa" w:w="346"/>
                  <w:vMerge/>
                  <w:tcBorders>
                    <w:top w:val="none" w:color="000000" w:sz="4"/>
                    <w:left w:val="single" w:color="000000" w:sz="4"/>
                    <w:bottom w:val="single" w:color="000000" w:sz="4"/>
                    <w:right w:val="single" w:color="000000" w:sz="4"/>
                  </w:tcBorders>
                </w:tcP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水产品</w:t>
                  </w:r>
                </w:p>
              </w:tc>
              <w:tc>
                <w:tcPr>
                  <w:tcW w:type="dxa" w:w="1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黑鱼、江团等</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鱼类要求体表光滑无病灶，有鲜鱼鳞片完整，无鳞鱼无浑浊粘液，肉质干燥，紧密，呈白色或淡黄色眼球外突饱满透明，鳃丝清晰鲜红或暗红，保持活体状态固有本色，无异味，鱼类肌肉紧密有弹性，内脏清晰可辨无腐烂。</w:t>
                  </w:r>
                </w:p>
              </w:tc>
              <w:tc>
                <w:tcPr>
                  <w:tcW w:type="dxa" w:w="346"/>
                  <w:vMerge/>
                  <w:tcBorders>
                    <w:top w:val="none" w:color="000000" w:sz="4"/>
                    <w:left w:val="single" w:color="000000" w:sz="4"/>
                    <w:bottom w:val="single" w:color="000000" w:sz="4"/>
                    <w:right w:val="single" w:color="000000" w:sz="4"/>
                  </w:tcBorders>
                </w:tcP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冻品</w:t>
                  </w:r>
                </w:p>
              </w:tc>
              <w:tc>
                <w:tcPr>
                  <w:tcW w:type="dxa" w:w="1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冻品外包装需完整，无破损，无不封口现象，有生产日期。冻品在解冻后，发现质量问题需退货。符合国家绿色批发市场标准，应具备满足交易需要的冷冻贮藏设施，</w:t>
                  </w:r>
                </w:p>
              </w:tc>
              <w:tc>
                <w:tcPr>
                  <w:tcW w:type="dxa" w:w="346"/>
                  <w:vMerge/>
                  <w:tcBorders>
                    <w:top w:val="none" w:color="000000" w:sz="4"/>
                    <w:left w:val="single" w:color="000000" w:sz="4"/>
                    <w:bottom w:val="single" w:color="000000" w:sz="4"/>
                    <w:right w:val="single" w:color="000000" w:sz="4"/>
                  </w:tcBorders>
                </w:tcP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调料</w:t>
                  </w:r>
                </w:p>
              </w:tc>
              <w:tc>
                <w:tcPr>
                  <w:tcW w:type="dxa" w:w="1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外包装无污物、无泄漏，无胀袋或胖听或鼓盖现象，无变质发霉现象。</w:t>
                  </w:r>
                </w:p>
                <w:p>
                  <w:pPr>
                    <w:pStyle w:val="null3"/>
                    <w:jc w:val="left"/>
                  </w:pPr>
                  <w:r>
                    <w:rPr>
                      <w:rFonts w:ascii="仿宋_GB2312" w:hAnsi="仿宋_GB2312" w:cs="仿宋_GB2312" w:eastAsia="仿宋_GB2312"/>
                      <w:sz w:val="20"/>
                      <w:color w:val="000000"/>
                    </w:rPr>
                    <w:t>色泽正常，具有该品种固有的香味，滋味无异味，油酱均匀的酱体或无结块的粉状固体，封口平整，无破包，夹包，漏包，无污染</w:t>
                  </w:r>
                </w:p>
              </w:tc>
              <w:tc>
                <w:tcPr>
                  <w:tcW w:type="dxa" w:w="346"/>
                  <w:vMerge/>
                  <w:tcBorders>
                    <w:top w:val="none" w:color="000000" w:sz="4"/>
                    <w:left w:val="single" w:color="000000" w:sz="4"/>
                    <w:bottom w:val="single" w:color="000000" w:sz="4"/>
                    <w:right w:val="single" w:color="000000" w:sz="4"/>
                  </w:tcBorders>
                </w:tcP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副食及</w:t>
                  </w:r>
                </w:p>
                <w:p>
                  <w:pPr>
                    <w:pStyle w:val="null3"/>
                    <w:jc w:val="center"/>
                  </w:pPr>
                  <w:r>
                    <w:rPr>
                      <w:rFonts w:ascii="仿宋_GB2312" w:hAnsi="仿宋_GB2312" w:cs="仿宋_GB2312" w:eastAsia="仿宋_GB2312"/>
                      <w:sz w:val="20"/>
                      <w:color w:val="000000"/>
                    </w:rPr>
                    <w:t>其他</w:t>
                  </w:r>
                </w:p>
              </w:tc>
              <w:tc>
                <w:tcPr>
                  <w:tcW w:type="dxa" w:w="1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须保证食材干净、不含非食品用化学物质、按统一标准加工、码放整齐、无须二次处理可以直接进行熟加工。</w:t>
                  </w:r>
                </w:p>
              </w:tc>
              <w:tc>
                <w:tcPr>
                  <w:tcW w:type="dxa" w:w="346"/>
                  <w:vMerge/>
                  <w:tcBorders>
                    <w:top w:val="none" w:color="000000" w:sz="4"/>
                    <w:left w:val="single" w:color="000000" w:sz="4"/>
                    <w:bottom w:val="single" w:color="000000" w:sz="4"/>
                    <w:right w:val="single" w:color="000000" w:sz="4"/>
                  </w:tcBorders>
                </w:tcPr>
                <w:p/>
              </w:tc>
            </w:tr>
          </w:tbl>
          <w:p>
            <w:pPr>
              <w:pStyle w:val="null3"/>
              <w:ind w:firstLine="602"/>
              <w:jc w:val="left"/>
            </w:pPr>
            <w:r>
              <w:rPr>
                <w:rFonts w:ascii="仿宋_GB2312" w:hAnsi="仿宋_GB2312" w:cs="仿宋_GB2312" w:eastAsia="仿宋_GB2312"/>
                <w:sz w:val="20"/>
                <w:b/>
                <w:color w:val="000000"/>
              </w:rPr>
              <w:t>四、食材配送及验收</w:t>
            </w:r>
          </w:p>
          <w:p>
            <w:pPr>
              <w:pStyle w:val="null3"/>
              <w:ind w:firstLine="600"/>
              <w:jc w:val="left"/>
            </w:pPr>
            <w:r>
              <w:rPr>
                <w:rFonts w:ascii="仿宋_GB2312" w:hAnsi="仿宋_GB2312" w:cs="仿宋_GB2312" w:eastAsia="仿宋_GB2312"/>
                <w:sz w:val="20"/>
                <w:color w:val="000000"/>
              </w:rPr>
              <w:t>1.原材料配送</w:t>
            </w:r>
          </w:p>
          <w:p>
            <w:pPr>
              <w:pStyle w:val="null3"/>
              <w:ind w:firstLine="600"/>
              <w:jc w:val="left"/>
            </w:pPr>
            <w:r>
              <w:rPr>
                <w:rFonts w:ascii="仿宋_GB2312" w:hAnsi="仿宋_GB2312" w:cs="仿宋_GB2312" w:eastAsia="仿宋_GB2312"/>
                <w:sz w:val="20"/>
                <w:color w:val="000000"/>
              </w:rPr>
              <w:t>1.1.蔬菜类每周一、四配送，配送种类与数量以采购人书面（传真或邮件）菜单为准，采购人根据需求开出菜单的品种及数量，供应方须做出响应，如有某些菜品出现市场断档，当日及时告知采购人，以便采购人做出必要调整，供应方保证当日9点前将各类蔬菜配送至采购人指定地点。</w:t>
            </w:r>
          </w:p>
          <w:p>
            <w:pPr>
              <w:pStyle w:val="null3"/>
              <w:ind w:firstLine="600"/>
              <w:jc w:val="left"/>
            </w:pPr>
            <w:r>
              <w:rPr>
                <w:rFonts w:ascii="仿宋_GB2312" w:hAnsi="仿宋_GB2312" w:cs="仿宋_GB2312" w:eastAsia="仿宋_GB2312"/>
                <w:sz w:val="20"/>
                <w:color w:val="000000"/>
              </w:rPr>
              <w:t>1.2肉禽蛋类由采购人根据菜谱需求，提前书面（传真或邮件）告知肉禽蛋类</w:t>
            </w:r>
            <w:r>
              <w:rPr>
                <w:rFonts w:ascii="仿宋_GB2312" w:hAnsi="仿宋_GB2312" w:cs="仿宋_GB2312" w:eastAsia="仿宋_GB2312"/>
                <w:sz w:val="20"/>
                <w:color w:val="000000"/>
              </w:rPr>
              <w:t>供应商</w:t>
            </w:r>
            <w:r>
              <w:rPr>
                <w:rFonts w:ascii="仿宋_GB2312" w:hAnsi="仿宋_GB2312" w:cs="仿宋_GB2312" w:eastAsia="仿宋_GB2312"/>
                <w:sz w:val="20"/>
                <w:color w:val="000000"/>
              </w:rPr>
              <w:t>肉禽蛋类需求计划，</w:t>
            </w:r>
            <w:r>
              <w:rPr>
                <w:rFonts w:ascii="仿宋_GB2312" w:hAnsi="仿宋_GB2312" w:cs="仿宋_GB2312" w:eastAsia="仿宋_GB2312"/>
                <w:sz w:val="20"/>
                <w:color w:val="000000"/>
              </w:rPr>
              <w:t>供应商</w:t>
            </w:r>
            <w:r>
              <w:rPr>
                <w:rFonts w:ascii="仿宋_GB2312" w:hAnsi="仿宋_GB2312" w:cs="仿宋_GB2312" w:eastAsia="仿宋_GB2312"/>
                <w:sz w:val="20"/>
                <w:color w:val="000000"/>
              </w:rPr>
              <w:t>须在当日做出响应，如有某些菜品出现市场断档，当日及时告知采购人，以便采购人做出必要调整，供应方保证当日9点前将各类肉禽蛋类配送至采购人指定地点。</w:t>
            </w:r>
          </w:p>
          <w:p>
            <w:pPr>
              <w:pStyle w:val="null3"/>
              <w:jc w:val="left"/>
            </w:pP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1.3水产类配送方式同肉禽蛋类配送方式。</w:t>
            </w:r>
          </w:p>
          <w:p>
            <w:pPr>
              <w:pStyle w:val="null3"/>
              <w:jc w:val="left"/>
            </w:pP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1.4干货、调味品类由采购人根据菜谱需求，提前书面（传真或邮件）告知</w:t>
            </w:r>
            <w:r>
              <w:rPr>
                <w:rFonts w:ascii="仿宋_GB2312" w:hAnsi="仿宋_GB2312" w:cs="仿宋_GB2312" w:eastAsia="仿宋_GB2312"/>
                <w:sz w:val="20"/>
                <w:color w:val="000000"/>
              </w:rPr>
              <w:t>供应商</w:t>
            </w:r>
            <w:r>
              <w:rPr>
                <w:rFonts w:ascii="仿宋_GB2312" w:hAnsi="仿宋_GB2312" w:cs="仿宋_GB2312" w:eastAsia="仿宋_GB2312"/>
                <w:sz w:val="20"/>
                <w:color w:val="000000"/>
              </w:rPr>
              <w:t>，</w:t>
            </w:r>
            <w:r>
              <w:rPr>
                <w:rFonts w:ascii="仿宋_GB2312" w:hAnsi="仿宋_GB2312" w:cs="仿宋_GB2312" w:eastAsia="仿宋_GB2312"/>
                <w:sz w:val="20"/>
                <w:color w:val="000000"/>
              </w:rPr>
              <w:t>供应商</w:t>
            </w:r>
            <w:r>
              <w:rPr>
                <w:rFonts w:ascii="仿宋_GB2312" w:hAnsi="仿宋_GB2312" w:cs="仿宋_GB2312" w:eastAsia="仿宋_GB2312"/>
                <w:sz w:val="20"/>
                <w:color w:val="000000"/>
              </w:rPr>
              <w:t>须在2日内书面（传真或邮件）告知采购人准备情况，根据需要配送当周产品。</w:t>
            </w:r>
          </w:p>
          <w:p>
            <w:pPr>
              <w:pStyle w:val="null3"/>
              <w:ind w:firstLine="602"/>
              <w:jc w:val="left"/>
            </w:pPr>
            <w:r>
              <w:rPr>
                <w:rFonts w:ascii="仿宋_GB2312" w:hAnsi="仿宋_GB2312" w:cs="仿宋_GB2312" w:eastAsia="仿宋_GB2312"/>
                <w:sz w:val="20"/>
                <w:b/>
                <w:color w:val="000000"/>
              </w:rPr>
              <w:t>注：如遇采购人所属单位出现紧急任务或加班备勤等突发状况时，</w:t>
            </w:r>
            <w:r>
              <w:rPr>
                <w:rFonts w:ascii="仿宋_GB2312" w:hAnsi="仿宋_GB2312" w:cs="仿宋_GB2312" w:eastAsia="仿宋_GB2312"/>
                <w:sz w:val="21"/>
                <w:b/>
                <w:color w:val="000000"/>
              </w:rPr>
              <w:t>供应商</w:t>
            </w:r>
            <w:r>
              <w:rPr>
                <w:rFonts w:ascii="仿宋_GB2312" w:hAnsi="仿宋_GB2312" w:cs="仿宋_GB2312" w:eastAsia="仿宋_GB2312"/>
                <w:sz w:val="20"/>
                <w:b/>
                <w:color w:val="000000"/>
              </w:rPr>
              <w:t>必须在接到采购人通知后按照采购人的要求按时将食品原材料配送到位。</w:t>
            </w:r>
          </w:p>
          <w:p>
            <w:pPr>
              <w:pStyle w:val="null3"/>
              <w:ind w:firstLine="600"/>
              <w:jc w:val="left"/>
            </w:pPr>
            <w:r>
              <w:rPr>
                <w:rFonts w:ascii="仿宋_GB2312" w:hAnsi="仿宋_GB2312" w:cs="仿宋_GB2312" w:eastAsia="仿宋_GB2312"/>
                <w:sz w:val="20"/>
                <w:color w:val="000000"/>
              </w:rPr>
              <w:t>2.原材料验收</w:t>
            </w:r>
          </w:p>
          <w:p>
            <w:pPr>
              <w:pStyle w:val="null3"/>
              <w:jc w:val="left"/>
            </w:pPr>
            <w:r>
              <w:rPr>
                <w:rFonts w:ascii="仿宋_GB2312" w:hAnsi="仿宋_GB2312" w:cs="仿宋_GB2312" w:eastAsia="仿宋_GB2312"/>
                <w:sz w:val="20"/>
                <w:color w:val="000000"/>
              </w:rPr>
              <w:t xml:space="preserve">    2.1 </w:t>
            </w:r>
            <w:r>
              <w:rPr>
                <w:rFonts w:ascii="仿宋_GB2312" w:hAnsi="仿宋_GB2312" w:cs="仿宋_GB2312" w:eastAsia="仿宋_GB2312"/>
                <w:sz w:val="20"/>
                <w:color w:val="000000"/>
              </w:rPr>
              <w:t>原材料验收由采购人业务管理方（食堂管理员）、供应方，二方现场检验，对供应产品的质量无异议数量准确无误后，二方签字，各自留存。</w:t>
            </w:r>
          </w:p>
          <w:p>
            <w:pPr>
              <w:pStyle w:val="null3"/>
              <w:jc w:val="left"/>
            </w:pP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2.1.1肉类必须保证提供为当日生产产品，肉身必须盖有卫生检疫章，同时出具加盖政府机构动物卫生监督所鲜章的动物检疫合格证明，畜肉品须色泽鲜亮、无任何异味、无毛、按压无注水，纹理清晰，肉质细腻，品质好；</w:t>
            </w:r>
          </w:p>
          <w:p>
            <w:pPr>
              <w:pStyle w:val="null3"/>
              <w:ind w:firstLine="600"/>
              <w:jc w:val="left"/>
            </w:pPr>
            <w:r>
              <w:rPr>
                <w:rFonts w:ascii="仿宋_GB2312" w:hAnsi="仿宋_GB2312" w:cs="仿宋_GB2312" w:eastAsia="仿宋_GB2312"/>
                <w:sz w:val="20"/>
                <w:color w:val="000000"/>
              </w:rPr>
              <w:t>2.1.2禽类制品须肉面干净、无任何异味、无注水、无羽毛、表皮无疤痕，大小匀称、肉质紧致，码放整齐；</w:t>
            </w:r>
          </w:p>
          <w:p>
            <w:pPr>
              <w:pStyle w:val="null3"/>
              <w:ind w:firstLine="600"/>
              <w:jc w:val="left"/>
            </w:pPr>
            <w:r>
              <w:rPr>
                <w:rFonts w:ascii="仿宋_GB2312" w:hAnsi="仿宋_GB2312" w:cs="仿宋_GB2312" w:eastAsia="仿宋_GB2312"/>
                <w:sz w:val="20"/>
                <w:color w:val="000000"/>
              </w:rPr>
              <w:t>2.2 蔬菜类必须保证无黄叶、枯死叶、无虫、无杂质，须当日采摘，当日供应，原菜须保证菜面干净、无明显泥土、码放整齐、无破损、大小基本统一、不得过熟或欠熟；净菜须保证菜面完全干净、无泥土、按统一标准加工、码放整齐、无须二次处理可以直接进行熟加工。</w:t>
            </w:r>
          </w:p>
          <w:p>
            <w:pPr>
              <w:pStyle w:val="null3"/>
              <w:ind w:firstLine="600"/>
              <w:jc w:val="left"/>
            </w:pPr>
            <w:r>
              <w:rPr>
                <w:rFonts w:ascii="仿宋_GB2312" w:hAnsi="仿宋_GB2312" w:cs="仿宋_GB2312" w:eastAsia="仿宋_GB2312"/>
                <w:sz w:val="20"/>
                <w:color w:val="000000"/>
              </w:rPr>
              <w:t>2.3 蛋类须新鲜，不超过三日以上产品，大小均匀，外壳无破裂，光洁饱满的产品，周转箱堆放</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2.4 豆制类须保证食材干净、不含非食品用化学物质、按统一标准加工、码放整齐、无须二次处理可以直接进行熟加工。</w:t>
            </w:r>
          </w:p>
          <w:p>
            <w:pPr>
              <w:pStyle w:val="null3"/>
              <w:ind w:firstLine="600"/>
              <w:jc w:val="left"/>
            </w:pPr>
            <w:r>
              <w:rPr>
                <w:rFonts w:ascii="仿宋_GB2312" w:hAnsi="仿宋_GB2312" w:cs="仿宋_GB2312" w:eastAsia="仿宋_GB2312"/>
                <w:sz w:val="20"/>
                <w:color w:val="000000"/>
              </w:rPr>
              <w:t xml:space="preserve">2.5 </w:t>
            </w:r>
            <w:r>
              <w:rPr>
                <w:rFonts w:ascii="仿宋_GB2312" w:hAnsi="仿宋_GB2312" w:cs="仿宋_GB2312" w:eastAsia="仿宋_GB2312"/>
                <w:sz w:val="20"/>
                <w:color w:val="000000"/>
              </w:rPr>
              <w:t>水果类须保证新鲜</w:t>
            </w:r>
            <w:r>
              <w:rPr>
                <w:rFonts w:ascii="仿宋_GB2312" w:hAnsi="仿宋_GB2312" w:cs="仿宋_GB2312" w:eastAsia="仿宋_GB2312"/>
                <w:sz w:val="20"/>
                <w:color w:val="000000"/>
              </w:rPr>
              <w:t>，无农药，无异味，无挤压、虫眼、过熟或欠熟，大小重量匀称等，表面无疤痕，果体光洁饱满。</w:t>
            </w:r>
          </w:p>
          <w:p>
            <w:pPr>
              <w:pStyle w:val="null3"/>
              <w:ind w:firstLine="600"/>
              <w:jc w:val="left"/>
            </w:pPr>
            <w:r>
              <w:rPr>
                <w:rFonts w:ascii="仿宋_GB2312" w:hAnsi="仿宋_GB2312" w:cs="仿宋_GB2312" w:eastAsia="仿宋_GB2312"/>
                <w:sz w:val="20"/>
                <w:color w:val="000000"/>
              </w:rPr>
              <w:t>2.6米、面、油类</w:t>
            </w:r>
          </w:p>
          <w:p>
            <w:pPr>
              <w:pStyle w:val="null3"/>
            </w:pPr>
            <w:r>
              <w:rPr>
                <w:rFonts w:ascii="仿宋_GB2312" w:hAnsi="仿宋_GB2312" w:cs="仿宋_GB2312" w:eastAsia="仿宋_GB2312"/>
                <w:sz w:val="20"/>
                <w:color w:val="000000"/>
              </w:rPr>
              <w:t>⼤⽶须达国家标准；⽆掺杂、</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⽆沙⽯，</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碎⽶少，</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w:t>
            </w:r>
            <w:r>
              <w:rPr>
                <w:rFonts w:ascii="仿宋_GB2312" w:hAnsi="仿宋_GB2312" w:cs="仿宋_GB2312" w:eastAsia="仿宋_GB2312"/>
                <w:sz w:val="20"/>
                <w:color w:val="000000"/>
              </w:rPr>
              <w:t>粒⽶；</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⼤⽶包装袋上印有⼤⽶品名、</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等级、 数量、出名、</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⼚家地址及其电话。</w:t>
            </w:r>
            <w:r>
              <w:rPr>
                <w:rFonts w:ascii="仿宋_GB2312" w:hAnsi="仿宋_GB2312" w:cs="仿宋_GB2312" w:eastAsia="仿宋_GB2312"/>
                <w:sz w:val="20"/>
                <w:color w:val="000000"/>
              </w:rPr>
              <w:t>⾯粉须达到国家标准，⾊泽正常，⼲爽⽆异味；按进货量抽查</w:t>
            </w:r>
            <w:r>
              <w:rPr>
                <w:rFonts w:ascii="仿宋_GB2312" w:hAnsi="仿宋_GB2312" w:cs="仿宋_GB2312" w:eastAsia="仿宋_GB2312"/>
                <w:sz w:val="20"/>
                <w:color w:val="000000"/>
              </w:rPr>
              <w:t>20</w:t>
            </w:r>
            <w:r>
              <w:rPr>
                <w:rFonts w:ascii="仿宋_GB2312" w:hAnsi="仿宋_GB2312" w:cs="仿宋_GB2312" w:eastAsia="仿宋_GB2312"/>
                <w:sz w:val="20"/>
                <w:color w:val="000000"/>
              </w:rPr>
              <w:t>％，数量按抽查验收实数为准；包装袋上有注册商标及</w:t>
            </w:r>
            <w:r>
              <w:rPr>
                <w:rFonts w:ascii="仿宋_GB2312" w:hAnsi="仿宋_GB2312" w:cs="仿宋_GB2312" w:eastAsia="仿宋_GB2312"/>
                <w:sz w:val="20"/>
                <w:color w:val="000000"/>
              </w:rPr>
              <w:t>SC</w:t>
            </w:r>
            <w:r>
              <w:rPr>
                <w:rFonts w:ascii="仿宋_GB2312" w:hAnsi="仿宋_GB2312" w:cs="仿宋_GB2312" w:eastAsia="仿宋_GB2312"/>
                <w:sz w:val="20"/>
                <w:color w:val="000000"/>
              </w:rPr>
              <w:t>标注，有检验合格证、⽣产⽇期和保质期。</w:t>
            </w:r>
            <w:r>
              <w:rPr>
                <w:rFonts w:ascii="仿宋_GB2312" w:hAnsi="仿宋_GB2312" w:cs="仿宋_GB2312" w:eastAsia="仿宋_GB2312"/>
                <w:sz w:val="20"/>
                <w:color w:val="000000"/>
              </w:rPr>
              <w:t>按国家⻝⽤调和油质量标准，</w:t>
            </w:r>
            <w:r>
              <w:rPr>
                <w:rFonts w:ascii="仿宋_GB2312" w:hAnsi="仿宋_GB2312" w:cs="仿宋_GB2312" w:eastAsia="仿宋_GB2312"/>
                <w:sz w:val="20"/>
                <w:color w:val="000000"/>
              </w:rPr>
              <w:t>质量符合要求；</w:t>
            </w:r>
            <w:r>
              <w:rPr>
                <w:rFonts w:ascii="仿宋_GB2312" w:hAnsi="仿宋_GB2312" w:cs="仿宋_GB2312" w:eastAsia="仿宋_GB2312"/>
                <w:sz w:val="20"/>
                <w:color w:val="000000"/>
              </w:rPr>
              <w:t>有合格检疫报告，</w:t>
            </w:r>
            <w:r>
              <w:rPr>
                <w:rFonts w:ascii="仿宋_GB2312" w:hAnsi="仿宋_GB2312" w:cs="仿宋_GB2312" w:eastAsia="仿宋_GB2312"/>
                <w:sz w:val="20"/>
                <w:color w:val="000000"/>
              </w:rPr>
              <w:t>外观的⾊泽、</w:t>
            </w:r>
            <w:r>
              <w:rPr>
                <w:rFonts w:ascii="仿宋_GB2312" w:hAnsi="仿宋_GB2312" w:cs="仿宋_GB2312" w:eastAsia="仿宋_GB2312"/>
                <w:sz w:val="20"/>
                <w:color w:val="000000"/>
              </w:rPr>
              <w:t>透明度、</w:t>
            </w:r>
            <w:r>
              <w:rPr>
                <w:rFonts w:ascii="仿宋_GB2312" w:hAnsi="仿宋_GB2312" w:cs="仿宋_GB2312" w:eastAsia="仿宋_GB2312"/>
                <w:sz w:val="20"/>
                <w:color w:val="000000"/>
              </w:rPr>
              <w:t>⽓味滋味等⽆异常；</w:t>
            </w:r>
            <w:r>
              <w:rPr>
                <w:rFonts w:ascii="仿宋_GB2312" w:hAnsi="仿宋_GB2312" w:cs="仿宋_GB2312" w:eastAsia="仿宋_GB2312"/>
                <w:sz w:val="20"/>
                <w:color w:val="000000"/>
              </w:rPr>
              <w:t>定型包装。</w:t>
            </w:r>
            <w:r>
              <w:rPr>
                <w:rFonts w:ascii="仿宋_GB2312" w:hAnsi="仿宋_GB2312" w:cs="仿宋_GB2312" w:eastAsia="仿宋_GB2312"/>
                <w:sz w:val="20"/>
                <w:color w:val="000000"/>
              </w:rPr>
              <w:t>批量粮、油到货后，必须抽样打开包装仔细检查，要求供方产品不掺假、不过期、不变质、不变味、无杂质、无毒害，货物净重量须与外包装标明的重量一致，符合国家食品行业的标准产品。</w:t>
            </w:r>
          </w:p>
          <w:p>
            <w:pPr>
              <w:pStyle w:val="null3"/>
              <w:ind w:firstLine="600"/>
              <w:jc w:val="left"/>
            </w:pPr>
            <w:r>
              <w:rPr>
                <w:rFonts w:ascii="仿宋_GB2312" w:hAnsi="仿宋_GB2312" w:cs="仿宋_GB2312" w:eastAsia="仿宋_GB2312"/>
                <w:sz w:val="20"/>
                <w:color w:val="000000"/>
              </w:rPr>
              <w:t>2.7水产品类须保证鲜活、大小基本统一，水产类净菜须保证处理干净。</w:t>
            </w:r>
          </w:p>
          <w:p>
            <w:pPr>
              <w:pStyle w:val="null3"/>
              <w:jc w:val="left"/>
            </w:pP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2.8冻品外包装需完整，无破损，无不封口现象，有生产日期。干货类须保证配送种类、品牌、规格，质量完全符合招标方要求，生产日期须在保质期二分之一天之内，包装完整、无任何破损、无挤压、无破碎、无异味、无任何表面附着物或衍生物。</w:t>
            </w:r>
          </w:p>
          <w:p>
            <w:pPr>
              <w:pStyle w:val="null3"/>
              <w:jc w:val="left"/>
            </w:pP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2.9调料类须保证色泽正常，具有该品种固有的香味，滋味无异味，油酱均匀的酱体或无结块的粉状固体，封口平整，无破包，夹包，漏包，无污染</w:t>
            </w:r>
          </w:p>
          <w:p>
            <w:pPr>
              <w:pStyle w:val="null3"/>
              <w:ind w:firstLine="600"/>
              <w:jc w:val="left"/>
            </w:pPr>
            <w:r>
              <w:rPr>
                <w:rFonts w:ascii="仿宋_GB2312" w:hAnsi="仿宋_GB2312" w:cs="仿宋_GB2312" w:eastAsia="仿宋_GB2312"/>
                <w:sz w:val="20"/>
                <w:color w:val="000000"/>
              </w:rPr>
              <w:t>2.10副食及其他须保证食材干净、不含非食品用化学物质、按统一标准加工、码放整齐、无须二次处理可以直接进行熟加工。牛奶，小食品，须保证规格品种完全符合采购人要求，大小包装规格齐全、生产日期须在保质期二分之一天之内，凭出厂合格证与检验员章确认质量。</w:t>
            </w:r>
          </w:p>
          <w:p>
            <w:pPr>
              <w:pStyle w:val="null3"/>
              <w:ind w:firstLine="402"/>
              <w:jc w:val="left"/>
            </w:pPr>
            <w:r>
              <w:rPr>
                <w:rFonts w:ascii="仿宋_GB2312" w:hAnsi="仿宋_GB2312" w:cs="仿宋_GB2312" w:eastAsia="仿宋_GB2312"/>
                <w:sz w:val="20"/>
                <w:b/>
                <w:color w:val="000000"/>
              </w:rPr>
              <w:t>五、供应责任</w:t>
            </w:r>
          </w:p>
          <w:p>
            <w:pPr>
              <w:pStyle w:val="null3"/>
              <w:jc w:val="left"/>
            </w:pP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原材料</w:t>
            </w:r>
            <w:r>
              <w:rPr>
                <w:rFonts w:ascii="仿宋_GB2312" w:hAnsi="仿宋_GB2312" w:cs="仿宋_GB2312" w:eastAsia="仿宋_GB2312"/>
                <w:sz w:val="20"/>
                <w:color w:val="000000"/>
              </w:rPr>
              <w:t>供应商</w:t>
            </w:r>
            <w:r>
              <w:rPr>
                <w:rFonts w:ascii="仿宋_GB2312" w:hAnsi="仿宋_GB2312" w:cs="仿宋_GB2312" w:eastAsia="仿宋_GB2312"/>
                <w:sz w:val="20"/>
                <w:color w:val="000000"/>
              </w:rPr>
              <w:t>须保证所供原材料均为符合国家卫生、质量检验标准的正规产品，保证配送品种完全满足采购人要求，所有原材料每日均留存样品一份，保存时间为</w:t>
            </w:r>
            <w:r>
              <w:rPr>
                <w:rFonts w:ascii="仿宋_GB2312" w:hAnsi="仿宋_GB2312" w:cs="仿宋_GB2312" w:eastAsia="仿宋_GB2312"/>
                <w:sz w:val="20"/>
                <w:color w:val="000000"/>
              </w:rPr>
              <w:t>36小时，确认期间无任何食品安全问题后丢弃。</w:t>
            </w:r>
          </w:p>
          <w:p>
            <w:pPr>
              <w:pStyle w:val="null3"/>
              <w:jc w:val="left"/>
            </w:pP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1.原材料没有按时按要求配送到位，影响采购人员工餐厅正常开餐的，以当日需求计划总量两倍价款赔付当日损失，同时采购人将对责任原材料</w:t>
            </w:r>
            <w:r>
              <w:rPr>
                <w:rFonts w:ascii="仿宋_GB2312" w:hAnsi="仿宋_GB2312" w:cs="仿宋_GB2312" w:eastAsia="仿宋_GB2312"/>
                <w:sz w:val="20"/>
                <w:color w:val="000000"/>
              </w:rPr>
              <w:t>供应商</w:t>
            </w:r>
            <w:r>
              <w:rPr>
                <w:rFonts w:ascii="仿宋_GB2312" w:hAnsi="仿宋_GB2312" w:cs="仿宋_GB2312" w:eastAsia="仿宋_GB2312"/>
                <w:sz w:val="20"/>
                <w:color w:val="000000"/>
              </w:rPr>
              <w:t>进行处罚。</w:t>
            </w:r>
          </w:p>
          <w:p>
            <w:pPr>
              <w:pStyle w:val="null3"/>
              <w:jc w:val="left"/>
            </w:pP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2.原材料在验收时有不符合要求的，一律退回，</w:t>
            </w:r>
            <w:r>
              <w:rPr>
                <w:rFonts w:ascii="仿宋_GB2312" w:hAnsi="仿宋_GB2312" w:cs="仿宋_GB2312" w:eastAsia="仿宋_GB2312"/>
                <w:sz w:val="20"/>
                <w:color w:val="000000"/>
              </w:rPr>
              <w:t>供应商</w:t>
            </w:r>
            <w:r>
              <w:rPr>
                <w:rFonts w:ascii="仿宋_GB2312" w:hAnsi="仿宋_GB2312" w:cs="仿宋_GB2312" w:eastAsia="仿宋_GB2312"/>
                <w:sz w:val="20"/>
                <w:color w:val="000000"/>
              </w:rPr>
              <w:t>无条件重新更换配送货物，更换后仍然不符合标准的采购人有权对</w:t>
            </w:r>
            <w:r>
              <w:rPr>
                <w:rFonts w:ascii="仿宋_GB2312" w:hAnsi="仿宋_GB2312" w:cs="仿宋_GB2312" w:eastAsia="仿宋_GB2312"/>
                <w:sz w:val="20"/>
                <w:color w:val="000000"/>
              </w:rPr>
              <w:t>供应商</w:t>
            </w:r>
            <w:r>
              <w:rPr>
                <w:rFonts w:ascii="仿宋_GB2312" w:hAnsi="仿宋_GB2312" w:cs="仿宋_GB2312" w:eastAsia="仿宋_GB2312"/>
                <w:sz w:val="20"/>
                <w:color w:val="000000"/>
              </w:rPr>
              <w:t>处以一定金额的罚款。</w:t>
            </w:r>
          </w:p>
          <w:p>
            <w:pPr>
              <w:pStyle w:val="null3"/>
              <w:jc w:val="left"/>
            </w:pP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3.任何因原材料质量问题导致的食品安全或食物中毒责任，在确认导致问题的原材料品种后，由该</w:t>
            </w:r>
            <w:r>
              <w:rPr>
                <w:rFonts w:ascii="仿宋_GB2312" w:hAnsi="仿宋_GB2312" w:cs="仿宋_GB2312" w:eastAsia="仿宋_GB2312"/>
                <w:sz w:val="20"/>
                <w:color w:val="000000"/>
              </w:rPr>
              <w:t>供应商</w:t>
            </w:r>
            <w:r>
              <w:rPr>
                <w:rFonts w:ascii="仿宋_GB2312" w:hAnsi="仿宋_GB2312" w:cs="仿宋_GB2312" w:eastAsia="仿宋_GB2312"/>
                <w:sz w:val="20"/>
                <w:color w:val="000000"/>
              </w:rPr>
              <w:t>承担全部法律责任与经济损失，除对采购人进行赔付外，采购人有权单方终止合同。</w:t>
            </w:r>
          </w:p>
          <w:p>
            <w:pPr>
              <w:pStyle w:val="null3"/>
              <w:jc w:val="left"/>
            </w:pPr>
            <w:r>
              <w:rPr>
                <w:rFonts w:ascii="仿宋_GB2312" w:hAnsi="仿宋_GB2312" w:cs="仿宋_GB2312" w:eastAsia="仿宋_GB2312"/>
                <w:sz w:val="20"/>
                <w:color w:val="000000"/>
              </w:rPr>
              <w:t>原材料供应管理。</w:t>
            </w:r>
          </w:p>
          <w:p>
            <w:pPr>
              <w:pStyle w:val="null3"/>
              <w:jc w:val="left"/>
            </w:pP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4.根据采购人要求进行必要的货源组织，提供种类明细与价格。</w:t>
            </w:r>
          </w:p>
          <w:p>
            <w:pPr>
              <w:pStyle w:val="null3"/>
              <w:jc w:val="left"/>
            </w:pP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5.为与采购人合作成立独立小组或团队、项目经理介绍与组织架构设计。</w:t>
            </w:r>
          </w:p>
          <w:p>
            <w:pPr>
              <w:pStyle w:val="null3"/>
              <w:jc w:val="left"/>
            </w:pP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6.货源组织、配货、配送、验货、会计等专业对口人员的安排与职责划分。</w:t>
            </w:r>
          </w:p>
          <w:p>
            <w:pPr>
              <w:pStyle w:val="null3"/>
              <w:jc w:val="left"/>
            </w:pP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7.确保原材料新鲜、安全、及时的各类措施或组织管理办法。</w:t>
            </w:r>
          </w:p>
          <w:p>
            <w:pPr>
              <w:pStyle w:val="null3"/>
              <w:jc w:val="left"/>
            </w:pP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8.原材料</w:t>
            </w:r>
            <w:r>
              <w:rPr>
                <w:rFonts w:ascii="仿宋_GB2312" w:hAnsi="仿宋_GB2312" w:cs="仿宋_GB2312" w:eastAsia="仿宋_GB2312"/>
                <w:sz w:val="20"/>
                <w:color w:val="000000"/>
              </w:rPr>
              <w:t>供应商</w:t>
            </w:r>
            <w:r>
              <w:rPr>
                <w:rFonts w:ascii="仿宋_GB2312" w:hAnsi="仿宋_GB2312" w:cs="仿宋_GB2312" w:eastAsia="仿宋_GB2312"/>
                <w:sz w:val="20"/>
                <w:color w:val="000000"/>
              </w:rPr>
              <w:t>对于自身原材料生产、外部原材料的采购、销售，其合格标准与检验标准。</w:t>
            </w:r>
          </w:p>
          <w:p>
            <w:pPr>
              <w:pStyle w:val="null3"/>
              <w:jc w:val="left"/>
            </w:pP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9.原材料</w:t>
            </w:r>
            <w:r>
              <w:rPr>
                <w:rFonts w:ascii="仿宋_GB2312" w:hAnsi="仿宋_GB2312" w:cs="仿宋_GB2312" w:eastAsia="仿宋_GB2312"/>
                <w:sz w:val="20"/>
                <w:color w:val="000000"/>
              </w:rPr>
              <w:t>供应商</w:t>
            </w:r>
            <w:r>
              <w:rPr>
                <w:rFonts w:ascii="仿宋_GB2312" w:hAnsi="仿宋_GB2312" w:cs="仿宋_GB2312" w:eastAsia="仿宋_GB2312"/>
                <w:sz w:val="20"/>
                <w:color w:val="000000"/>
              </w:rPr>
              <w:t>对于可能的违约责任或食品安全责任的责任承担说明。</w:t>
            </w:r>
          </w:p>
          <w:p>
            <w:pPr>
              <w:pStyle w:val="null3"/>
              <w:ind w:firstLine="402"/>
              <w:jc w:val="left"/>
            </w:pPr>
            <w:r>
              <w:rPr>
                <w:rFonts w:ascii="仿宋_GB2312" w:hAnsi="仿宋_GB2312" w:cs="仿宋_GB2312" w:eastAsia="仿宋_GB2312"/>
                <w:sz w:val="20"/>
                <w:b/>
                <w:color w:val="000000"/>
              </w:rPr>
              <w:t>六、服务期：</w:t>
            </w:r>
            <w:r>
              <w:rPr>
                <w:rFonts w:ascii="仿宋_GB2312" w:hAnsi="仿宋_GB2312" w:cs="仿宋_GB2312" w:eastAsia="仿宋_GB2312"/>
                <w:sz w:val="20"/>
                <w:b/>
                <w:color w:val="000000"/>
              </w:rPr>
              <w:t>1年或累计结算金额已达预算金额（按照采购人通知时间完成该批次供货任务）</w:t>
            </w:r>
          </w:p>
          <w:p>
            <w:pPr>
              <w:pStyle w:val="null3"/>
              <w:ind w:firstLine="402"/>
              <w:jc w:val="left"/>
            </w:pPr>
            <w:r>
              <w:rPr>
                <w:rFonts w:ascii="仿宋_GB2312" w:hAnsi="仿宋_GB2312" w:cs="仿宋_GB2312" w:eastAsia="仿宋_GB2312"/>
                <w:sz w:val="20"/>
                <w:b/>
                <w:color w:val="000000"/>
              </w:rPr>
              <w:t>七、商务要求</w:t>
            </w:r>
          </w:p>
          <w:p>
            <w:pPr>
              <w:pStyle w:val="null3"/>
              <w:ind w:firstLine="402"/>
              <w:jc w:val="left"/>
            </w:pPr>
            <w:r>
              <w:rPr>
                <w:rFonts w:ascii="仿宋_GB2312" w:hAnsi="仿宋_GB2312" w:cs="仿宋_GB2312" w:eastAsia="仿宋_GB2312"/>
                <w:sz w:val="20"/>
                <w:b/>
                <w:color w:val="000000"/>
              </w:rPr>
              <w:t>（一）配送及结算要求：</w:t>
            </w:r>
          </w:p>
          <w:p>
            <w:pPr>
              <w:pStyle w:val="null3"/>
              <w:ind w:firstLine="400"/>
              <w:jc w:val="left"/>
            </w:pPr>
            <w:r>
              <w:rPr>
                <w:rFonts w:ascii="仿宋_GB2312" w:hAnsi="仿宋_GB2312" w:cs="仿宋_GB2312" w:eastAsia="仿宋_GB2312"/>
                <w:sz w:val="20"/>
                <w:color w:val="000000"/>
              </w:rPr>
              <w:t>1.具体配送种类以采购人前一天的采购单为准，食材到达现场后使用单位根据采购单及配送单进行食材验收，并在验收单上签字留存。</w:t>
            </w:r>
          </w:p>
          <w:p>
            <w:pPr>
              <w:pStyle w:val="null3"/>
              <w:ind w:firstLine="400"/>
              <w:jc w:val="both"/>
            </w:pPr>
            <w:r>
              <w:rPr>
                <w:rFonts w:ascii="仿宋_GB2312" w:hAnsi="仿宋_GB2312" w:cs="仿宋_GB2312" w:eastAsia="仿宋_GB2312"/>
                <w:sz w:val="20"/>
                <w:color w:val="000000"/>
              </w:rPr>
              <w:t>2.款项结算：</w:t>
            </w:r>
            <w:r>
              <w:rPr>
                <w:rFonts w:ascii="仿宋_GB2312" w:hAnsi="仿宋_GB2312" w:cs="仿宋_GB2312" w:eastAsia="仿宋_GB2312"/>
                <w:sz w:val="20"/>
                <w:color w:val="000000"/>
              </w:rPr>
              <w:t>成交人</w:t>
            </w:r>
            <w:r>
              <w:rPr>
                <w:rFonts w:ascii="仿宋_GB2312" w:hAnsi="仿宋_GB2312" w:cs="仿宋_GB2312" w:eastAsia="仿宋_GB2312"/>
                <w:sz w:val="20"/>
                <w:color w:val="000000"/>
              </w:rPr>
              <w:t>在接受采购人的订货后，凭送货凭证每月与采购人结算。</w:t>
            </w:r>
            <w:r>
              <w:rPr>
                <w:rFonts w:ascii="仿宋_GB2312" w:hAnsi="仿宋_GB2312" w:cs="仿宋_GB2312" w:eastAsia="仿宋_GB2312"/>
                <w:sz w:val="20"/>
                <w:color w:val="000000"/>
              </w:rPr>
              <w:t>若当月其中单品价格涨幅超过</w:t>
            </w:r>
            <w:r>
              <w:rPr>
                <w:rFonts w:ascii="仿宋_GB2312" w:hAnsi="仿宋_GB2312" w:cs="仿宋_GB2312" w:eastAsia="仿宋_GB2312"/>
                <w:sz w:val="20"/>
                <w:color w:val="000000"/>
              </w:rPr>
              <w:t>20%，成交人有权（每月2次）要求价格调整（成交人申请并经采购人确认），结算时，按调整后的单价计算。</w:t>
            </w:r>
            <w:r>
              <w:rPr>
                <w:rFonts w:ascii="仿宋_GB2312" w:hAnsi="仿宋_GB2312" w:cs="仿宋_GB2312" w:eastAsia="仿宋_GB2312"/>
                <w:sz w:val="20"/>
                <w:color w:val="000000"/>
              </w:rPr>
              <w:t>按照</w:t>
            </w:r>
            <w:r>
              <w:rPr>
                <w:rFonts w:ascii="仿宋_GB2312" w:hAnsi="仿宋_GB2312" w:cs="仿宋_GB2312" w:eastAsia="仿宋_GB2312"/>
                <w:sz w:val="20"/>
                <w:color w:val="000000"/>
              </w:rPr>
              <w:t>成交</w:t>
            </w:r>
            <w:r>
              <w:rPr>
                <w:rFonts w:ascii="仿宋_GB2312" w:hAnsi="仿宋_GB2312" w:cs="仿宋_GB2312" w:eastAsia="仿宋_GB2312"/>
                <w:sz w:val="20"/>
                <w:color w:val="000000"/>
              </w:rPr>
              <w:t>人在接受采购人的每一笔付款前，应向采购人提供结算清单并开具相应金额的商业发票。</w:t>
            </w:r>
          </w:p>
          <w:p>
            <w:pPr>
              <w:pStyle w:val="null3"/>
              <w:ind w:firstLine="400"/>
              <w:jc w:val="left"/>
            </w:pPr>
            <w:r>
              <w:rPr>
                <w:rFonts w:ascii="仿宋_GB2312" w:hAnsi="仿宋_GB2312" w:cs="仿宋_GB2312" w:eastAsia="仿宋_GB2312"/>
                <w:sz w:val="20"/>
                <w:color w:val="000000"/>
              </w:rPr>
              <w:t>（二）报价要求：</w:t>
            </w:r>
          </w:p>
          <w:p>
            <w:pPr>
              <w:pStyle w:val="null3"/>
              <w:ind w:firstLine="400"/>
              <w:jc w:val="both"/>
            </w:pPr>
            <w:r>
              <w:rPr>
                <w:rFonts w:ascii="仿宋_GB2312" w:hAnsi="仿宋_GB2312" w:cs="仿宋_GB2312" w:eastAsia="仿宋_GB2312"/>
                <w:sz w:val="20"/>
                <w:color w:val="000000"/>
              </w:rPr>
              <w:t>蔬菜水果、米面油、肉蛋奶、水产、冻品、调料、副食等的报价各</w:t>
            </w:r>
            <w:r>
              <w:rPr>
                <w:rFonts w:ascii="仿宋_GB2312" w:hAnsi="仿宋_GB2312" w:cs="仿宋_GB2312" w:eastAsia="仿宋_GB2312"/>
                <w:sz w:val="20"/>
                <w:color w:val="000000"/>
              </w:rPr>
              <w:t>供应商</w:t>
            </w:r>
            <w:r>
              <w:rPr>
                <w:rFonts w:ascii="仿宋_GB2312" w:hAnsi="仿宋_GB2312" w:cs="仿宋_GB2312" w:eastAsia="仿宋_GB2312"/>
                <w:sz w:val="20"/>
                <w:color w:val="000000"/>
              </w:rPr>
              <w:t>按照当月三大超市（华润、永辉、沃尔玛）为基础报费率，合同签订以后，费率不得随意调整，如成交</w:t>
            </w:r>
            <w:r>
              <w:rPr>
                <w:rFonts w:ascii="仿宋_GB2312" w:hAnsi="仿宋_GB2312" w:cs="仿宋_GB2312" w:eastAsia="仿宋_GB2312"/>
                <w:sz w:val="20"/>
                <w:color w:val="000000"/>
              </w:rPr>
              <w:t>人</w:t>
            </w:r>
            <w:r>
              <w:rPr>
                <w:rFonts w:ascii="仿宋_GB2312" w:hAnsi="仿宋_GB2312" w:cs="仿宋_GB2312" w:eastAsia="仿宋_GB2312"/>
                <w:sz w:val="20"/>
                <w:color w:val="000000"/>
              </w:rPr>
              <w:t>无法按合同约定的费率供货，视为违约。</w:t>
            </w:r>
          </w:p>
          <w:p>
            <w:pPr>
              <w:pStyle w:val="null3"/>
              <w:ind w:firstLine="402"/>
              <w:jc w:val="left"/>
            </w:pPr>
            <w:r>
              <w:rPr>
                <w:rFonts w:ascii="仿宋_GB2312" w:hAnsi="仿宋_GB2312" w:cs="仿宋_GB2312" w:eastAsia="仿宋_GB2312"/>
                <w:sz w:val="20"/>
                <w:b/>
                <w:color w:val="000000"/>
              </w:rPr>
              <w:t>八．其他要求</w:t>
            </w:r>
          </w:p>
          <w:p>
            <w:pPr>
              <w:pStyle w:val="null3"/>
              <w:ind w:firstLine="400"/>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1）原材料</w:t>
            </w:r>
            <w:r>
              <w:rPr>
                <w:rFonts w:ascii="仿宋_GB2312" w:hAnsi="仿宋_GB2312" w:cs="仿宋_GB2312" w:eastAsia="仿宋_GB2312"/>
                <w:sz w:val="20"/>
                <w:color w:val="000000"/>
              </w:rPr>
              <w:t>供应商</w:t>
            </w:r>
            <w:r>
              <w:rPr>
                <w:rFonts w:ascii="仿宋_GB2312" w:hAnsi="仿宋_GB2312" w:cs="仿宋_GB2312" w:eastAsia="仿宋_GB2312"/>
                <w:sz w:val="20"/>
                <w:color w:val="000000"/>
              </w:rPr>
              <w:t>应严格遵守《中华人民共和国食品安全法》、《动物检疫法》、《食品安全国家标准</w:t>
            </w:r>
            <w:r>
              <w:rPr>
                <w:rFonts w:ascii="仿宋_GB2312" w:hAnsi="仿宋_GB2312" w:cs="仿宋_GB2312" w:eastAsia="仿宋_GB2312"/>
                <w:sz w:val="20"/>
                <w:color w:val="000000"/>
              </w:rPr>
              <w:t>食品添加剂使用标准》</w:t>
            </w:r>
            <w:r>
              <w:rPr>
                <w:rFonts w:ascii="仿宋_GB2312" w:hAnsi="仿宋_GB2312" w:cs="仿宋_GB2312" w:eastAsia="仿宋_GB2312"/>
                <w:sz w:val="20"/>
                <w:color w:val="000000"/>
              </w:rPr>
              <w:t>等相关规定，一经发现供应以下食品，除全部退货外，将取消供货单位的供货资格，并由供货商承担由此造成的经济责任和法律责任：</w:t>
            </w:r>
          </w:p>
          <w:p>
            <w:pPr>
              <w:pStyle w:val="null3"/>
              <w:ind w:firstLine="400"/>
              <w:jc w:val="left"/>
            </w:pPr>
            <w:r>
              <w:rPr>
                <w:rFonts w:ascii="仿宋_GB2312" w:hAnsi="仿宋_GB2312" w:cs="仿宋_GB2312" w:eastAsia="仿宋_GB2312"/>
                <w:sz w:val="20"/>
                <w:color w:val="000000"/>
              </w:rPr>
              <w:t>① 腐败变质，油脂酸败，霉变，生虫，污秽不洁，混有异物或者其他感官性状异常，含有毒，有害物质污染，可能对人体健康有害的食品；</w:t>
            </w:r>
          </w:p>
          <w:p>
            <w:pPr>
              <w:pStyle w:val="null3"/>
              <w:ind w:firstLine="400"/>
              <w:jc w:val="left"/>
            </w:pPr>
            <w:r>
              <w:rPr>
                <w:rFonts w:ascii="仿宋_GB2312" w:hAnsi="仿宋_GB2312" w:cs="仿宋_GB2312" w:eastAsia="仿宋_GB2312"/>
                <w:sz w:val="20"/>
                <w:color w:val="000000"/>
              </w:rPr>
              <w:t>② 含有毒、有害物质或者被有害物质污染，对人体健康有害的；</w:t>
            </w:r>
          </w:p>
          <w:p>
            <w:pPr>
              <w:pStyle w:val="null3"/>
              <w:ind w:firstLine="400"/>
              <w:jc w:val="left"/>
            </w:pPr>
            <w:r>
              <w:rPr>
                <w:rFonts w:ascii="仿宋_GB2312" w:hAnsi="仿宋_GB2312" w:cs="仿宋_GB2312" w:eastAsia="仿宋_GB2312"/>
                <w:sz w:val="20"/>
                <w:color w:val="000000"/>
              </w:rPr>
              <w:t>③ 含有致病性寄生虫、微生物或者微生物含量超过国家限定标准的；</w:t>
            </w:r>
          </w:p>
          <w:p>
            <w:pPr>
              <w:pStyle w:val="null3"/>
              <w:ind w:firstLine="400"/>
              <w:jc w:val="left"/>
            </w:pPr>
            <w:r>
              <w:rPr>
                <w:rFonts w:ascii="仿宋_GB2312" w:hAnsi="仿宋_GB2312" w:cs="仿宋_GB2312" w:eastAsia="仿宋_GB2312"/>
                <w:sz w:val="20"/>
                <w:color w:val="000000"/>
              </w:rPr>
              <w:t>④ 未经动物检疫部门检疫、检验或者检疫、检验不合格的肉类及其制品；</w:t>
            </w:r>
          </w:p>
          <w:p>
            <w:pPr>
              <w:pStyle w:val="null3"/>
              <w:ind w:firstLine="400"/>
              <w:jc w:val="left"/>
            </w:pPr>
            <w:r>
              <w:rPr>
                <w:rFonts w:ascii="仿宋_GB2312" w:hAnsi="仿宋_GB2312" w:cs="仿宋_GB2312" w:eastAsia="仿宋_GB2312"/>
                <w:sz w:val="20"/>
                <w:color w:val="000000"/>
              </w:rPr>
              <w:t>⑤ 掺假、掺杂、以次充好，影响营养、卫生的；</w:t>
            </w:r>
          </w:p>
          <w:p>
            <w:pPr>
              <w:pStyle w:val="null3"/>
              <w:ind w:firstLine="400"/>
              <w:jc w:val="left"/>
            </w:pPr>
            <w:r>
              <w:rPr>
                <w:rFonts w:ascii="仿宋_GB2312" w:hAnsi="仿宋_GB2312" w:cs="仿宋_GB2312" w:eastAsia="仿宋_GB2312"/>
                <w:sz w:val="20"/>
                <w:color w:val="000000"/>
              </w:rPr>
              <w:t>⑥ 用非食品原料加工的，加入非食品用化学物质。</w:t>
            </w:r>
          </w:p>
          <w:p>
            <w:pPr>
              <w:pStyle w:val="null3"/>
              <w:ind w:firstLine="400"/>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成交</w:t>
            </w:r>
            <w:r>
              <w:rPr>
                <w:rFonts w:ascii="仿宋_GB2312" w:hAnsi="仿宋_GB2312" w:cs="仿宋_GB2312" w:eastAsia="仿宋_GB2312"/>
                <w:sz w:val="20"/>
                <w:color w:val="000000"/>
              </w:rPr>
              <w:t>人在供货时不得提供以下产品，一经发现采购人有权取消该供货商供货资格。</w:t>
            </w:r>
          </w:p>
          <w:p>
            <w:pPr>
              <w:pStyle w:val="null3"/>
              <w:ind w:firstLine="400"/>
              <w:jc w:val="left"/>
            </w:pPr>
            <w:r>
              <w:rPr>
                <w:rFonts w:ascii="仿宋_GB2312" w:hAnsi="仿宋_GB2312" w:cs="仿宋_GB2312" w:eastAsia="仿宋_GB2312"/>
                <w:sz w:val="20"/>
                <w:color w:val="000000"/>
              </w:rPr>
              <w:t>① 无品名、产地、厂名，生产日期，保质期及中文标识及原料说明的定型包装食品。</w:t>
            </w:r>
          </w:p>
          <w:p>
            <w:pPr>
              <w:pStyle w:val="null3"/>
              <w:ind w:firstLine="400"/>
              <w:jc w:val="left"/>
            </w:pPr>
            <w:r>
              <w:rPr>
                <w:rFonts w:ascii="仿宋_GB2312" w:hAnsi="仿宋_GB2312" w:cs="仿宋_GB2312" w:eastAsia="仿宋_GB2312"/>
                <w:sz w:val="20"/>
                <w:color w:val="000000"/>
              </w:rPr>
              <w:t>② 超过保质期限或不符合食品标签规定的定型包装食品。</w:t>
            </w:r>
          </w:p>
          <w:p>
            <w:pPr>
              <w:pStyle w:val="null3"/>
              <w:ind w:firstLine="400"/>
              <w:jc w:val="left"/>
            </w:pPr>
            <w:r>
              <w:rPr>
                <w:rFonts w:ascii="仿宋_GB2312" w:hAnsi="仿宋_GB2312" w:cs="仿宋_GB2312" w:eastAsia="仿宋_GB2312"/>
                <w:sz w:val="20"/>
                <w:color w:val="000000"/>
              </w:rPr>
              <w:t>③ 病死或者死因不明的水产品，畜，禽及其制品，劣质食用油，不合格调味品，工业用盐，非食品原料和滥用食品添加剂，农药残留超标的蔬菜等。</w:t>
            </w:r>
          </w:p>
          <w:p>
            <w:pPr>
              <w:pStyle w:val="null3"/>
            </w:pPr>
            <w:r>
              <w:rPr>
                <w:rFonts w:ascii="仿宋_GB2312" w:hAnsi="仿宋_GB2312" w:cs="仿宋_GB2312" w:eastAsia="仿宋_GB2312"/>
                <w:sz w:val="20"/>
              </w:rPr>
              <w:t xml:space="preserve">   ⑥ 其他不符合食品卫生标准和要求的食品。</w:t>
            </w:r>
          </w:p>
          <w:p>
            <w:pPr>
              <w:pStyle w:val="null3"/>
            </w:pPr>
            <w:r>
              <w:rPr>
                <w:rFonts w:ascii="仿宋_GB2312" w:hAnsi="仿宋_GB2312" w:cs="仿宋_GB2312" w:eastAsia="仿宋_GB2312"/>
                <w:sz w:val="24"/>
                <w:b/>
              </w:rPr>
              <w:t>备注：款项结算</w:t>
            </w:r>
          </w:p>
          <w:p>
            <w:pPr>
              <w:pStyle w:val="null3"/>
            </w:pPr>
            <w:r>
              <w:rPr>
                <w:rFonts w:ascii="仿宋_GB2312" w:hAnsi="仿宋_GB2312" w:cs="仿宋_GB2312" w:eastAsia="仿宋_GB2312"/>
                <w:sz w:val="24"/>
                <w:b/>
              </w:rPr>
              <w:t>因系统设置原因，以下3.3.5支付约定无法准确表述支付方式，实际支付方式如下:</w:t>
            </w:r>
          </w:p>
          <w:p>
            <w:pPr>
              <w:pStyle w:val="null3"/>
            </w:pPr>
            <w:r>
              <w:rPr>
                <w:rFonts w:ascii="仿宋_GB2312" w:hAnsi="仿宋_GB2312" w:cs="仿宋_GB2312" w:eastAsia="仿宋_GB2312"/>
                <w:sz w:val="24"/>
              </w:rPr>
              <w:t>成交人在接受采购人的订货后，凭送货凭证每月与采购人结算。若当月其中单品价格涨幅超过20%，成交人有权（每月2次）要求价格调整（成交人申请并经采购人确认），结算时，按调整后的单价计算。按照成交人在接受采购人的每一笔付款前，应向采购人提供结算清单并开具相应金额的商业发票。</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1年或累计结算金额已达预算金额（按照采购人通知时间完成该批次供货任务）</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西安市强制隔离戒毒所民警职工食堂</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符合国家标准、行业标准以及有关技术规范要求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进度款，项目实施后 ，达到付款条件起30个工作日内，支付合同总金额的50.0%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 服务期满，，达到付款条件起30个工作日内，支付合同总金额的50.0%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凡因本合同引起的或与本合同有关的争议，双方应友好协商解决。协商不成时，双方均同意采用以下第（1）种争议解决方式：（1）甲、乙双方均同意向（甲方所在地人民法院）提起诉讼。（2）甲、乙双方均同意向（仲裁委员会）提起仲裁。</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1、采购标的对应的中小企业划分标准所属行业为其他未列明行业。 2、需要落实的政府采购政策：（1）《国务院办公厅关于建立政府强制采购节能产品制度的通知》（国办发〔2007〕51号）；（2）《财政部 司法部关于政府采购支持监狱企业发展有关问题的通知》（财库〔2014〕68号）；（3）《三部门联合发布关于促进残疾人就业政府采购政策的通知》（财库〔2017〕141号）；（4）《财政部 发展改革委 生态环境部 市场监管总局关于调整优化节能产品、环境标志产品政府采购执行机制的通知》（财库〔2019〕9号）；（5）《关于运用政府采购政策支持乡村产业振兴的通知》（财库〔2021〕19号）；（6）《政府采购促进中小企业发展管理办法》（财库〔2020〕46号）；（7）陕西省财政厅关于印发《陕西省中小企业政府采购信用融资办法》（陕财办采〔2018〕23号）；（8）《关于进一步加大政府采购支持中小企业力度的通知》（财库〔2022〕19号）；（9）《关于扩大政府采购支持绿色建材促进建筑品质提升政策实施范围的通知》（财库〔2022〕35号）；（10）《国务院办公厅关于在政府采购中实施本国产品标准及相关政策的通知》（国办发〔2025〕34号）。3、定标：（1）采购代理机构应在评审结束后一个工作日内，将评审报告送采购人定标；（2）采购人在收到评审报告后四个工作日内，根据评审报告对评审过程及结果进行严格审核后确定成交人，复函采购代理机构；（3）采购代理机构在接到采购人的“定标”复函后一个工作日内，在财政部门指定的政府采购信息发布媒体上公告，公告期限为一个工作日，并向成交人发“成交通知书”。4、采购⼈应在成交通知书发出之⽇起25⽇内与成交供应商签订采购合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中小企业声明函 残疾人福利性单位声明函 响应文件格式.docx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中小企业声明函 残疾人福利性单位声明函 响应文件格式.docx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中小企业声明函 残疾人福利性单位声明函 响应文件格式.docx 标的清单 报价表 响应函 监狱企业的证明文件</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响应文件格式.docx 标的清单 报价表 响应函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法人需提供合法有效的营业执照，其他组织需提供合法有效的营业执照等证明资料，自然人须提供身份证明。供应商需在项目电子化交易系统中按要求上传相应证明文件并进行电子签章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中小企业声明函 残疾人福利性单位声明函 响应文件格式.docx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供应商应提供《食品经营许可证》，供应商需在项目电子化交易系统中按要求上传相应证明文件并进行电子签章。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中小企业声明函 残疾人福利性单位声明函 响应文件格式.docx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税收缴纳凭证及社会保险缴纳的凭证</w:t>
            </w:r>
          </w:p>
        </w:tc>
        <w:tc>
          <w:tcPr>
            <w:tcW w:type="dxa" w:w="3322"/>
          </w:tcPr>
          <w:p>
            <w:pPr>
              <w:pStyle w:val="null3"/>
            </w:pPr>
            <w:r>
              <w:rPr>
                <w:rFonts w:ascii="仿宋_GB2312" w:hAnsi="仿宋_GB2312" w:cs="仿宋_GB2312" w:eastAsia="仿宋_GB2312"/>
              </w:rPr>
              <w:t>供应商在本项目磋商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w:t>
            </w:r>
          </w:p>
        </w:tc>
        <w:tc>
          <w:tcPr>
            <w:tcW w:type="dxa" w:w="1661"/>
          </w:tcPr>
          <w:p>
            <w:pPr>
              <w:pStyle w:val="null3"/>
            </w:pPr>
            <w:r>
              <w:rPr>
                <w:rFonts w:ascii="仿宋_GB2312" w:hAnsi="仿宋_GB2312" w:cs="仿宋_GB2312" w:eastAsia="仿宋_GB2312"/>
              </w:rPr>
              <w:t>中小企业声明函 残疾人福利性单位声明函 响应文件格式.docx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2025年经审计的财务报告（事业法人可提供部门决算报告）或基本开户银行出具的资信证明或专业担保机构出具的投标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中小企业声明函 残疾人福利性单位声明函 响应文件格式.docx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重大违法记录是指供应商因违法经营受到刑事处罚或者责令停产停业、吊销许可证或者执照、较大数额罚款等行政处罚。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中小企业声明函 残疾人福利性单位声明函 响应文件格式.docx 标的清单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履行合同所必需的设备和专业技术能力书面声明函</w:t>
            </w:r>
          </w:p>
        </w:tc>
        <w:tc>
          <w:tcPr>
            <w:tcW w:type="dxa" w:w="3322"/>
          </w:tcPr>
          <w:p>
            <w:pPr>
              <w:pStyle w:val="null3"/>
            </w:pPr>
            <w:r>
              <w:rPr>
                <w:rFonts w:ascii="仿宋_GB2312" w:hAnsi="仿宋_GB2312" w:cs="仿宋_GB2312" w:eastAsia="仿宋_GB2312"/>
              </w:rPr>
              <w:t>供应商应提供履行合同所必需的设备和专业技术能力书面声明函，供应商需在项目电子化交易系统中按要求上传相应证明文件并进行电子签章。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中小企业声明函 残疾人福利性单位声明函 响应文件格式.docx 标的清单 报价表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信用状况</w:t>
            </w:r>
          </w:p>
        </w:tc>
        <w:tc>
          <w:tcPr>
            <w:tcW w:type="dxa" w:w="3322"/>
          </w:tcPr>
          <w:p>
            <w:pPr>
              <w:pStyle w:val="null3"/>
            </w:pPr>
            <w:r>
              <w:rPr>
                <w:rFonts w:ascii="仿宋_GB2312" w:hAnsi="仿宋_GB2312" w:cs="仿宋_GB2312" w:eastAsia="仿宋_GB2312"/>
              </w:rPr>
              <w:t>供应商未被列入《信用中国》失信被执行人、重大税收违法失信主体、政府采购严重违法失信行为记录名单和《中国政府采购网》政府采购严重违法失信行为记录名单。以响应文件上传截止时间后当日内采购人或采购代理机构的查询结果为准。</w:t>
            </w:r>
          </w:p>
        </w:tc>
        <w:tc>
          <w:tcPr>
            <w:tcW w:type="dxa" w:w="1661"/>
          </w:tcPr>
          <w:p>
            <w:pPr>
              <w:pStyle w:val="null3"/>
            </w:pPr>
            <w:r>
              <w:rPr>
                <w:rFonts w:ascii="仿宋_GB2312" w:hAnsi="仿宋_GB2312" w:cs="仿宋_GB2312" w:eastAsia="仿宋_GB2312"/>
              </w:rPr>
              <w:t>中小企业声明函 残疾人福利性单位声明函 响应文件格式.docx 标的清单 报价表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本项目为专门面向小微企业的采购</w:t>
            </w:r>
          </w:p>
        </w:tc>
        <w:tc>
          <w:tcPr>
            <w:tcW w:type="dxa" w:w="3322"/>
          </w:tcPr>
          <w:p>
            <w:pPr>
              <w:pStyle w:val="null3"/>
            </w:pPr>
            <w:r>
              <w:rPr>
                <w:rFonts w:ascii="仿宋_GB2312" w:hAnsi="仿宋_GB2312" w:cs="仿宋_GB2312" w:eastAsia="仿宋_GB2312"/>
              </w:rPr>
              <w:t>本项目专门面向小微企业采购（残疾人福利性单位、监狱企业视同小型、微型企业），需提供《中小企业声明函》或《监狱企业的证明文件》或《残疾人福利性单位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中小企业声明函 残疾人福利性单位声明函 响应文件格式.docx 标的清单 报价表 响应函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中小企业声明函 残疾人福利性单位声明函 响应文件格式.docx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w:t>
            </w:r>
          </w:p>
        </w:tc>
        <w:tc>
          <w:tcPr>
            <w:tcW w:type="dxa" w:w="3322"/>
          </w:tcPr>
          <w:p>
            <w:pPr>
              <w:pStyle w:val="null3"/>
            </w:pPr>
            <w:r>
              <w:rPr>
                <w:rFonts w:ascii="仿宋_GB2312" w:hAnsi="仿宋_GB2312" w:cs="仿宋_GB2312" w:eastAsia="仿宋_GB2312"/>
              </w:rPr>
              <w:t>1、磋商响应文件完整性：磋商响应文件构成完整无缺项，按照磋商文件要求编写响应文件。2、磋商响应文件报价：内容无重大缺漏项，报价唯一。3、磋商响应文件有效性：磋商响应文件的签署、加盖印章合格、有效；提供的各种证明文件、数据、资料真实、有效。4、磋商有效期：符合竞争性磋商文件要求。5、授权委托书：符合竞争性磋商文件要求。6.服务期限：符合竞争性磋商文件要求。</w:t>
            </w:r>
          </w:p>
        </w:tc>
        <w:tc>
          <w:tcPr>
            <w:tcW w:type="dxa" w:w="1661"/>
          </w:tcPr>
          <w:p>
            <w:pPr>
              <w:pStyle w:val="null3"/>
            </w:pPr>
            <w:r>
              <w:rPr>
                <w:rFonts w:ascii="仿宋_GB2312" w:hAnsi="仿宋_GB2312" w:cs="仿宋_GB2312" w:eastAsia="仿宋_GB2312"/>
              </w:rPr>
              <w:t>中小企业声明函 残疾人福利性单位声明函 响应文件格式.docx 标的清单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①整体供应计划方案②详细的专职配送队伍安排③质量管理④食材数量及总类管理⑤采购计划单及安全管理⑥验货标准⑦供货进度及时效保证措施，按时配送，保证准时送达措施。 评审标准：方案各部分内容全面详细、阐述条理清晰详尽、符合本项目采购需求得 21 分；方案①-⑦项每有一项缺项扣3 分，每有一处内容存在缺陷，扣 1 分，扣完为止。（缺陷是指：内容粗略不够全面、不够合理、与项目特点不匹配、逻辑混乱、套用其他项目方案、存在不可能实现的夸大情形或存在不适用项目实际情况的情形）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响应文件格式.docx</w:t>
            </w:r>
          </w:p>
        </w:tc>
      </w:tr>
      <w:tr>
        <w:tc>
          <w:tcPr>
            <w:tcW w:type="dxa" w:w="831"/>
            <w:vMerge/>
          </w:tcPr>
          <w:p/>
        </w:tc>
        <w:tc>
          <w:tcPr>
            <w:tcW w:type="dxa" w:w="1661"/>
          </w:tcPr>
          <w:p>
            <w:pPr>
              <w:pStyle w:val="null3"/>
            </w:pPr>
            <w:r>
              <w:rPr>
                <w:rFonts w:ascii="仿宋_GB2312" w:hAnsi="仿宋_GB2312" w:cs="仿宋_GB2312" w:eastAsia="仿宋_GB2312"/>
              </w:rPr>
              <w:t>质量控制方案</w:t>
            </w:r>
          </w:p>
        </w:tc>
        <w:tc>
          <w:tcPr>
            <w:tcW w:type="dxa" w:w="2492"/>
          </w:tcPr>
          <w:p>
            <w:pPr>
              <w:pStyle w:val="null3"/>
            </w:pPr>
            <w:r>
              <w:rPr>
                <w:rFonts w:ascii="仿宋_GB2312" w:hAnsi="仿宋_GB2312" w:cs="仿宋_GB2312" w:eastAsia="仿宋_GB2312"/>
              </w:rPr>
              <w:t>①原材料的来源②厂商的选定③选材标准④运输途中及送达采购人指定地后的质量控制方案⑤内部质量管理控制制度。 评审标准：方案各部分内容全面详细、阐述条理清晰详尽、符合本项目采购需求得 10 分；方案①-⑤项每有一项缺项扣2分，每有一处内容存在缺陷，扣 1 分，扣完为止。（缺陷是指：内容粗略不够全面、不够合理、与项目特点不匹配、逻辑混乱、套用其他项目方案、存在不可能实现的夸大情形或存在不适用项目实际情况的情形）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响应文件格式.docx</w:t>
            </w:r>
          </w:p>
        </w:tc>
      </w:tr>
      <w:tr>
        <w:tc>
          <w:tcPr>
            <w:tcW w:type="dxa" w:w="831"/>
            <w:vMerge/>
          </w:tcPr>
          <w:p/>
        </w:tc>
        <w:tc>
          <w:tcPr>
            <w:tcW w:type="dxa" w:w="1661"/>
          </w:tcPr>
          <w:p>
            <w:pPr>
              <w:pStyle w:val="null3"/>
            </w:pPr>
            <w:r>
              <w:rPr>
                <w:rFonts w:ascii="仿宋_GB2312" w:hAnsi="仿宋_GB2312" w:cs="仿宋_GB2312" w:eastAsia="仿宋_GB2312"/>
              </w:rPr>
              <w:t>安全管理方案</w:t>
            </w:r>
          </w:p>
        </w:tc>
        <w:tc>
          <w:tcPr>
            <w:tcW w:type="dxa" w:w="2492"/>
          </w:tcPr>
          <w:p>
            <w:pPr>
              <w:pStyle w:val="null3"/>
            </w:pPr>
            <w:r>
              <w:rPr>
                <w:rFonts w:ascii="仿宋_GB2312" w:hAnsi="仿宋_GB2312" w:cs="仿宋_GB2312" w:eastAsia="仿宋_GB2312"/>
              </w:rPr>
              <w:t>①安全责任划分标准；②安全事故的应对措施；③食材安全预防措施。 评审标准：方案各部分内容全面详细、阐述条理清晰详尽。方案①-③项每有一项缺项扣3 分，每有一处内容存在缺陷，扣 1 分，扣完为止。（缺陷是指：内容粗略不够全面、不够合理、与项目特点不匹配、逻辑混乱、套用其他项目方案、存在不可能实现的夸大情形或存在不适用项目实际情况的情形）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响应文件格式.docx</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符合安全运输标准的专用车辆等相关配送设备，配备车辆 2 辆得5分，不满足得0分； 备注：运输配送车辆是企业自有车辆或租赁车辆，企业自有车辆提供机动车登记证书、车辆行驶证；租赁车辆提供租赁合同及相对应的机动车登记证书、车辆行驶证，磋商响应文件中提供加盖公章的复印件。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响应文件格式.docx</w:t>
            </w:r>
          </w:p>
        </w:tc>
      </w:tr>
      <w:tr>
        <w:tc>
          <w:tcPr>
            <w:tcW w:type="dxa" w:w="831"/>
            <w:vMerge/>
          </w:tcPr>
          <w:p/>
        </w:tc>
        <w:tc>
          <w:tcPr>
            <w:tcW w:type="dxa" w:w="1661"/>
          </w:tcPr>
          <w:p>
            <w:pPr>
              <w:pStyle w:val="null3"/>
            </w:pPr>
            <w:r>
              <w:rPr>
                <w:rFonts w:ascii="仿宋_GB2312" w:hAnsi="仿宋_GB2312" w:cs="仿宋_GB2312" w:eastAsia="仿宋_GB2312"/>
              </w:rPr>
              <w:t>硬件设施</w:t>
            </w:r>
          </w:p>
        </w:tc>
        <w:tc>
          <w:tcPr>
            <w:tcW w:type="dxa" w:w="2492"/>
          </w:tcPr>
          <w:p>
            <w:pPr>
              <w:pStyle w:val="null3"/>
            </w:pPr>
            <w:r>
              <w:rPr>
                <w:rFonts w:ascii="仿宋_GB2312" w:hAnsi="仿宋_GB2312" w:cs="仿宋_GB2312" w:eastAsia="仿宋_GB2312"/>
              </w:rPr>
              <w:t>供应商具有可靠的产品储藏、保鲜体系和储存场所，空间能够保证空气良好的流通性、适宜的储藏的温度等，要定期检查维护，提供相关证明文件，满足要求得10分。 内容不全或未提供不得分。 注：固定食材仓储库房为自有的，提供产权证明材料及场所内外部照片并加盖公章；固定食材仓储库房为租赁的，提供租赁合同及场所内外部照片并加盖公章。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响应文件格式.docx</w:t>
            </w:r>
          </w:p>
        </w:tc>
      </w:tr>
      <w:tr>
        <w:tc>
          <w:tcPr>
            <w:tcW w:type="dxa" w:w="831"/>
            <w:vMerge/>
          </w:tcPr>
          <w:p/>
        </w:tc>
        <w:tc>
          <w:tcPr>
            <w:tcW w:type="dxa" w:w="1661"/>
          </w:tcPr>
          <w:p>
            <w:pPr>
              <w:pStyle w:val="null3"/>
            </w:pPr>
            <w:r>
              <w:rPr>
                <w:rFonts w:ascii="仿宋_GB2312" w:hAnsi="仿宋_GB2312" w:cs="仿宋_GB2312" w:eastAsia="仿宋_GB2312"/>
              </w:rPr>
              <w:t>服务人员</w:t>
            </w:r>
          </w:p>
        </w:tc>
        <w:tc>
          <w:tcPr>
            <w:tcW w:type="dxa" w:w="2492"/>
          </w:tcPr>
          <w:p>
            <w:pPr>
              <w:pStyle w:val="null3"/>
            </w:pPr>
            <w:r>
              <w:rPr>
                <w:rFonts w:ascii="仿宋_GB2312" w:hAnsi="仿宋_GB2312" w:cs="仿宋_GB2312" w:eastAsia="仿宋_GB2312"/>
              </w:rPr>
              <w:t>常驻的配送人员不得少于2人（含2人） 拟为本项目提供服务人员4人及以上的，得10分； 拟为本项目提供服务人数3人的，得5分； 拟为本项目提供服务人数少于3人的，不得分。 注：提供公司常驻配送团队中拟为本项目服务的人员。</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响应文件格式.docx</w:t>
            </w:r>
          </w:p>
        </w:tc>
      </w:tr>
      <w:tr>
        <w:tc>
          <w:tcPr>
            <w:tcW w:type="dxa" w:w="831"/>
            <w:vMerge/>
          </w:tcPr>
          <w:p/>
        </w:tc>
        <w:tc>
          <w:tcPr>
            <w:tcW w:type="dxa" w:w="1661"/>
          </w:tcPr>
          <w:p>
            <w:pPr>
              <w:pStyle w:val="null3"/>
            </w:pPr>
            <w:r>
              <w:rPr>
                <w:rFonts w:ascii="仿宋_GB2312" w:hAnsi="仿宋_GB2312" w:cs="仿宋_GB2312" w:eastAsia="仿宋_GB2312"/>
              </w:rPr>
              <w:t>食品安全</w:t>
            </w:r>
          </w:p>
        </w:tc>
        <w:tc>
          <w:tcPr>
            <w:tcW w:type="dxa" w:w="2492"/>
          </w:tcPr>
          <w:p>
            <w:pPr>
              <w:pStyle w:val="null3"/>
            </w:pPr>
            <w:r>
              <w:rPr>
                <w:rFonts w:ascii="仿宋_GB2312" w:hAnsi="仿宋_GB2312" w:cs="仿宋_GB2312" w:eastAsia="仿宋_GB2312"/>
              </w:rPr>
              <w:t>供应商配有专业检测人员与食品安全人员情况进行评分： 1、供应商出具近3年无市场监管部门食品安全处罚记录承诺得2分，无承诺或存在处罚记录得0分。 2、供应商出具近3年无食品安全事故承诺得2分，无承诺或存在安全事故得0分。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响应文件格式.docx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①质量保证承诺和客户回访措施②退换措施③售后人员职能安排措施。 二、评审标准 每提供一项措施得3分，满分9分。每项内容不全或未提供该项不得分。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响应文件格式.docx</w:t>
            </w:r>
          </w:p>
        </w:tc>
      </w:tr>
      <w:tr>
        <w:tc>
          <w:tcPr>
            <w:tcW w:type="dxa" w:w="831"/>
            <w:vMerge/>
          </w:tcPr>
          <w:p/>
        </w:tc>
        <w:tc>
          <w:tcPr>
            <w:tcW w:type="dxa" w:w="1661"/>
          </w:tcPr>
          <w:p>
            <w:pPr>
              <w:pStyle w:val="null3"/>
            </w:pPr>
            <w:r>
              <w:rPr>
                <w:rFonts w:ascii="仿宋_GB2312" w:hAnsi="仿宋_GB2312" w:cs="仿宋_GB2312" w:eastAsia="仿宋_GB2312"/>
              </w:rPr>
              <w:t>突发事件处理方案</w:t>
            </w:r>
          </w:p>
        </w:tc>
        <w:tc>
          <w:tcPr>
            <w:tcW w:type="dxa" w:w="2492"/>
          </w:tcPr>
          <w:p>
            <w:pPr>
              <w:pStyle w:val="null3"/>
            </w:pPr>
            <w:r>
              <w:rPr>
                <w:rFonts w:ascii="仿宋_GB2312" w:hAnsi="仿宋_GB2312" w:cs="仿宋_GB2312" w:eastAsia="仿宋_GB2312"/>
              </w:rPr>
              <w:t>供应商针对本项目制定突发事件处理方案（包括①针对恶劣天气影响、②问题食材更换等特殊情况、③针对运输车辆临时故障、④原定配送人员缺勤）。 评审标准：每提供一项得3分，满分12分。每项内容不全或未提供该项不得分。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响应文件格式.docx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注：按优惠率/下浮率报价，投标（响应）报价应按（1-投标（响应）报价）来计算。 （2）投标（响应）报价低于通过符合性审查且报价次低供应商投标（响应）报价50%的，即投标（响应）报价&lt;通过符合性审查且报价次低供应商投标（响应）报价×50%。 注：按优惠率/下浮率报价，投标（响应）报价应按（1-投标（响应）报价）来计算。 （3）投标（响应）报价低于最高限价45%的，即投标（响应）报价&lt;最高限价×45%。 注：按优惠率/下浮率报价，投标（响应）报价应按（1-投标（响应）报价）来计算。 （4）评标委员会认为供应商的报价明显低于其他通过符合性审查投标人的报价（数量报价下，供应商的报价明显高于其他通过符合性审查供应商的报价），有可能影响产品质量或者不能诚信履约的，应当要求其在评标现场合理的时间内提供书面说明，必要时提交相关证明材料；供应商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响应文件格式.docx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最终报价得分＝（评标基准价/最终报价）×价格评审值（注：满足磋商文件要求且最终价格最高的报价为评审基准价。）最高报价不是成交的唯一依据。【注：满足磋商文件要求且报价最高（相当于最终价格最低）的为评审基准价。 如：磋商报价60%为报价最高，评审基准价为 1-60%=40%，得满分 10 分；有磋商报价为 50%，磋商报价为 1-50%=50%；以此类推。】</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响应文件格式.docx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详见附件：响应文件格式.docx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