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版本号：JJX-2026-06720260813001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渭南市零碳园区潜力调查和建设发展方案编制采购项目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JJX-2026-067</w:t>
      </w:r>
      <w:r>
        <w:br/>
      </w:r>
      <w:r>
        <w:br/>
      </w:r>
      <w:r>
        <w:br/>
      </w:r>
    </w:p>
    <w:p>
      <w:pPr>
        <w:pStyle w:val="null3"/>
        <w:jc w:val="center"/>
        <w:outlineLvl w:val="2"/>
      </w:pPr>
      <w:r>
        <w:rPr>
          <w:rFonts w:ascii="仿宋_GB2312" w:hAnsi="仿宋_GB2312" w:cs="仿宋_GB2312" w:eastAsia="仿宋_GB2312"/>
          <w:sz w:val="28"/>
          <w:b/>
        </w:rPr>
        <w:t>渭南市发展和改革委员会</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渭南市发展和改革委员会</w:t>
      </w:r>
      <w:r>
        <w:rPr>
          <w:rFonts w:ascii="仿宋_GB2312" w:hAnsi="仿宋_GB2312" w:cs="仿宋_GB2312" w:eastAsia="仿宋_GB2312"/>
        </w:rPr>
        <w:t>委托，拟对</w:t>
      </w:r>
      <w:r>
        <w:rPr>
          <w:rFonts w:ascii="仿宋_GB2312" w:hAnsi="仿宋_GB2312" w:cs="仿宋_GB2312" w:eastAsia="仿宋_GB2312"/>
        </w:rPr>
        <w:t>渭南市零碳园区潜力调查和建设发展方案编制采购项目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JJX-2026-067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渭南市零碳园区潜力调查和建设发展方案编制采购项目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渭南市零碳园区潜力调查和建设发展方案编制采购项目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3、项目负责人：项目负责人需具备环境工程相关专业高级及以上职称。</w:t>
      </w:r>
    </w:p>
    <w:p>
      <w:pPr>
        <w:pStyle w:val="null3"/>
      </w:pPr>
      <w:r>
        <w:rPr>
          <w:rFonts w:ascii="仿宋_GB2312" w:hAnsi="仿宋_GB2312" w:cs="仿宋_GB2312" w:eastAsia="仿宋_GB2312"/>
        </w:rPr>
        <w:t>4、磋商保证金：磋商保证金缴纳资料。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渭南市车雷大街69号市民服务中心12楼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高攀峰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0913-2930917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开户名称：陕西金吉翔项目管理有限公司</w:t>
            </w:r>
          </w:p>
          <w:p>
            <w:pPr>
              <w:pStyle w:val="null3"/>
            </w:pPr>
            <w:r>
              <w:rPr>
                <w:rFonts w:ascii="仿宋_GB2312" w:hAnsi="仿宋_GB2312" w:cs="仿宋_GB2312" w:eastAsia="仿宋_GB2312"/>
              </w:rPr>
              <w:t>开户银行：中国农业银行股份有限公司西安政通路支行</w:t>
            </w:r>
          </w:p>
          <w:p>
            <w:pPr>
              <w:pStyle w:val="null3"/>
            </w:pPr>
            <w:r>
              <w:rPr>
                <w:rFonts w:ascii="仿宋_GB2312" w:hAnsi="仿宋_GB2312" w:cs="仿宋_GB2312" w:eastAsia="仿宋_GB2312"/>
              </w:rPr>
              <w:t>银行账号：26140401040014376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渭南市发展和改革委员会</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本项目不涉及知识产权约束，保证采购人正常实施项目不会受到任何限制与影响。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渭南市零碳园区潜力调查和建设发展方案编制采购项目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渭南市零碳园区潜力调查和建设发展方案编制采购项目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标的名称：渭南市零碳园区潜力调查和建设发展方案编制采购项目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本项目围绕渭南市零碳园区建设需求，紧扣中省部署和渭南市发展实际，系统开展园区碳排放底数核查、建设潜力评估及发展路径研究，为全市零碳园区科学规划和有序推进提供技术支撑。主要服务内容如下：</w:t>
            </w:r>
            <w:r>
              <w:br/>
            </w:r>
            <w:r>
              <w:rPr>
                <w:rFonts w:ascii="仿宋_GB2312" w:hAnsi="仿宋_GB2312" w:cs="仿宋_GB2312" w:eastAsia="仿宋_GB2312"/>
              </w:rPr>
              <w:t xml:space="preserve"> 1、全面核查园区产业结构、能源消费、重点用能设备及碳排放情况，建立园区碳排放台账；</w:t>
            </w:r>
            <w:r>
              <w:br/>
            </w:r>
            <w:r>
              <w:rPr>
                <w:rFonts w:ascii="仿宋_GB2312" w:hAnsi="仿宋_GB2312" w:cs="仿宋_GB2312" w:eastAsia="仿宋_GB2312"/>
              </w:rPr>
              <w:t xml:space="preserve"> 2、对标零碳园区评价指标体系，科学确定总体目标、阶段任务和推进时序；</w:t>
            </w:r>
            <w:r>
              <w:br/>
            </w:r>
            <w:r>
              <w:rPr>
                <w:rFonts w:ascii="仿宋_GB2312" w:hAnsi="仿宋_GB2312" w:cs="仿宋_GB2312" w:eastAsia="仿宋_GB2312"/>
              </w:rPr>
              <w:t xml:space="preserve"> 3、按照“一园一策、分类指导”原则，制定差异化低碳发展路径；</w:t>
            </w:r>
            <w:r>
              <w:br/>
            </w:r>
            <w:r>
              <w:rPr>
                <w:rFonts w:ascii="仿宋_GB2312" w:hAnsi="仿宋_GB2312" w:cs="仿宋_GB2312" w:eastAsia="仿宋_GB2312"/>
              </w:rPr>
              <w:t xml:space="preserve"> 4、编制全市零碳园区潜力调查报告与建设发展方案，明确实施路径、责任分工及保障措施。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其他，项目完成经采购人验收合格后，达到付款条件起10个工作日内，支付合同总金额的60.0%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成交供应商在结果公示结束后，需提供系统签章后的磋商响应文件，双面打印三套，封皮加盖单位鲜章，送至采购代理机构。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有依法缴纳税收和社会保障资金的良好记录：提供2025年8月1日至磋商截止之日前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磋商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项目负责人需具备环境工程相关专业高级及以上职称。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磋商保证金缴纳资料。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供应商名称和公章、营业执照的相关资料一致。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合同签订后90天完成所有内容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供应商针对本项目提供具体可行的总体方案，包含①确定研究目标、范围和边界②总体工作思路③总体工作计划④具体工作目标及内容⑤成果提交措施等内容。 二、评审标准： 根据完整性：内容必须全面，对评审内容中的各项要求有详细描述；可实施性：切合本项目实际情况，提出清晰、合理的内容；针对性：内容能够紧扣项目实际情况，内容科学合理提供相应方案，以上5项内容无缺项、无漏项且无缺陷的得10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供应商针对本项目提供具体可行的分析方案，包含①对相关政策解读和基本情况分析②对项目背景的研判③专业资料的搜集与内容梳理④实地调研与考察方案⑤对发展现状认识等内容。 二、评审标准： 根据完整性：内容必须全面，对评审内容中的各项要求有详细描述；可实施性：切合本项目实际情况，提出清晰、合理的内容；针对性：内容能够紧扣项目实际情况，内容科学合理提供相应方案，以上5项内容无缺项、无漏项且无缺陷的得10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一、评审内容： 供应商针对本项目提供具体可行的项目进度计划及保证措施，包含①各阶段进度控制措施；②进度计划及保障措施等内容。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供应商针对本项目提供具体可行的质量保证措施，包含①质量保障措施②质量管控要求等内容。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应急预案及保密措施</w:t>
            </w:r>
          </w:p>
        </w:tc>
        <w:tc>
          <w:tcPr>
            <w:tcW w:type="dxa" w:w="2492"/>
          </w:tcPr>
          <w:p>
            <w:pPr>
              <w:pStyle w:val="null3"/>
            </w:pPr>
            <w:r>
              <w:rPr>
                <w:rFonts w:ascii="仿宋_GB2312" w:hAnsi="仿宋_GB2312" w:cs="仿宋_GB2312" w:eastAsia="仿宋_GB2312"/>
              </w:rPr>
              <w:t>一、评审内容： 供应商针对本项目提供具体可行的应急预案及保密措施，包含①应急方案及措施、②保密措施等内容。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项目组人员配备（项目负责人除外）</w:t>
            </w:r>
          </w:p>
        </w:tc>
        <w:tc>
          <w:tcPr>
            <w:tcW w:type="dxa" w:w="2492"/>
          </w:tcPr>
          <w:p>
            <w:pPr>
              <w:pStyle w:val="null3"/>
            </w:pPr>
            <w:r>
              <w:rPr>
                <w:rFonts w:ascii="仿宋_GB2312" w:hAnsi="仿宋_GB2312" w:cs="仿宋_GB2312" w:eastAsia="仿宋_GB2312"/>
              </w:rPr>
              <w:t>项⽬团队其他⼈员每一人同时具有环境⼯程相关专业⾼级及以上职称和注册环境影响评价⼯程师证书的得2分；仅具有环境⼯程相关专业⾼级及以上职称或注册环境影响评价⼯程师证书的得1分。本项最高得16分。响应文件中需提供对应人员身份证、相关证书复印件及磋商前半年内（磋商当月不计入在内）任意一个月的社保缴纳证明或有效的劳动合同。未提供或提供不全的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1.服务质量目标承诺（2分）：供应商提供针对本项目的服务质量管控标准、质量目标、质量验收、整改保障等专项承诺，承诺完整并加盖公章得2分，未提供或不完整不得分。 2.服务进度目标承诺（2分）：供应商提供针对本项目的服务期限节点、进度管控、进度保障、逾期补救措施等专项承诺，承诺完整并加盖公章得2分，未提供或不完整不得分。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供应商提供2023年8月1日至今具有类似项目业绩；响应文件中需附合同复印件并加盖公章，以合同签订时间为准。每提供1个得2分，满分10分。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