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版本号：【KRDL】K4-260611120260729001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计算机国产化根技术融合创新实验室AI应用方向建设项目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【KRDL】K4-2606111</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计算机国产化根技术融合创新实验室AI应用方向建设项目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【KRDL】K4-2606111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计算机国产化根技术融合创新实验室AI应用方向建设项目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邮电大学计算机国产化根技术融合创新实验室AI应用方向建设项目，本项目遵循“算力适配教学与科研、配置兼顾性价比”的原则，核心配置为2台高性能国产AI服务器构建分布式算力集群，40台国产开发终端供师生日常开发实践，搭配国产人工智能计算框架及配套软件、网络环境、机房辅助设备，实现国产化人工智能技术的实践教学，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说明：1.成交供应商在签订合同前5个工作日内，向采购人缴纳合同总价5%的履约保证金；2.合同如期履约完成，采购人免息原缴费账户退还履约保证金全款。</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 中华人民共和国国家发展和改革委员会办公厅颁发的《关于招标代理服务收费有关问题的通知》（发改办价格[2003] 857号）的有关规定标准下浮20%计取，向采购代理机构一次付清代理服务费。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采购人在中华人民共和国境内使用供应商提供工程或货物或服务时免受第三方提出的侵犯其专利权或其它知识产权的起诉。如果第三方提出侵权指控，成交供应商应承担由此而引起的一切法律责任和费用。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邮电大学计算机国产化根技术融合创新实验室AI应用方向建设项目，本项目遵循“算力适配教学与科研、配置兼顾性价比”的原则，核心配置为2台高性能国产AI服务器构建分布式算力集群，40台国产开发终端供师生日常开发实践，搭配国产人工智能计算框架及配套软件、网络环境、机房辅助设备，实现国产化人工智能技术的实践教学，具体采购内容及要求详见本项目竞争性谈判文件、答疑文件等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计算机国产化根技术融合创新实验室AI应用方向建设项目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标的名称：计算机国产化根技术融合创新实验室AI应用方向建设项目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color w:val="0000FF"/>
              </w:rPr>
              <w:t>一、项目概况</w:t>
            </w:r>
          </w:p>
          <w:p>
            <w:pPr>
              <w:pStyle w:val="null3"/>
              <w:ind w:firstLine="480"/>
            </w:pPr>
            <w:r>
              <w:rPr>
                <w:rFonts w:ascii="仿宋_GB2312" w:hAnsi="仿宋_GB2312" w:cs="仿宋_GB2312" w:eastAsia="仿宋_GB2312"/>
                <w:sz w:val="24"/>
                <w:color w:val="0000FF"/>
              </w:rPr>
              <w:t>西安邮电大学计算机国产化根技术融合创新实验室</w:t>
            </w:r>
            <w:r>
              <w:rPr>
                <w:rFonts w:ascii="仿宋_GB2312" w:hAnsi="仿宋_GB2312" w:cs="仿宋_GB2312" w:eastAsia="仿宋_GB2312"/>
                <w:sz w:val="24"/>
                <w:color w:val="0000FF"/>
              </w:rPr>
              <w:t>AI应用方向建设项目，本项目遵循“算力适配教学与科研、配置兼顾性价比”的原则，核心配置为2台高性能国产AI服务器构建分布式算力集群，40台国产开发终端供师生日常开发实践，搭配国产人工智能计算框架及配套软件、网络环境、机房辅助设备，实现国产化人工智能技术的实践教学。</w:t>
            </w:r>
          </w:p>
          <w:p>
            <w:pPr>
              <w:pStyle w:val="null3"/>
              <w:ind w:firstLine="482"/>
            </w:pPr>
            <w:r>
              <w:rPr>
                <w:rFonts w:ascii="仿宋_GB2312" w:hAnsi="仿宋_GB2312" w:cs="仿宋_GB2312" w:eastAsia="仿宋_GB2312"/>
                <w:sz w:val="24"/>
                <w:b/>
                <w:color w:val="0000FF"/>
              </w:rPr>
              <w:t>二、采购清单</w:t>
            </w:r>
          </w:p>
          <w:tbl>
            <w:tblPr>
              <w:tblBorders>
                <w:top w:val="none" w:color="000000" w:sz="4"/>
                <w:left w:val="none" w:color="000000" w:sz="4"/>
                <w:bottom w:val="none" w:color="000000" w:sz="4"/>
                <w:right w:val="none" w:color="000000" w:sz="4"/>
                <w:insideH w:val="none"/>
                <w:insideV w:val="none"/>
              </w:tblBorders>
            </w:tblPr>
            <w:tblGrid>
              <w:gridCol w:w="331"/>
              <w:gridCol w:w="1020"/>
              <w:gridCol w:w="652"/>
              <w:gridCol w:w="539"/>
            </w:tblGrid>
            <w:tr>
              <w:tc>
                <w:tcPr>
                  <w:tcW w:type="dxa" w:w="33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序号</w:t>
                  </w:r>
                </w:p>
              </w:tc>
              <w:tc>
                <w:tcPr>
                  <w:tcW w:type="dxa" w:w="1020"/>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品目名称</w:t>
                  </w:r>
                </w:p>
              </w:tc>
              <w:tc>
                <w:tcPr>
                  <w:tcW w:type="dxa" w:w="652"/>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数量</w:t>
                  </w:r>
                </w:p>
              </w:tc>
              <w:tc>
                <w:tcPr>
                  <w:tcW w:type="dxa" w:w="539"/>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单位</w:t>
                  </w:r>
                </w:p>
              </w:tc>
            </w:tr>
            <w:tr>
              <w:tc>
                <w:tcPr>
                  <w:tcW w:type="dxa" w:w="33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1</w:t>
                  </w:r>
                </w:p>
              </w:tc>
              <w:tc>
                <w:tcPr>
                  <w:tcW w:type="dxa" w:w="102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服务器【核心产品】</w:t>
                  </w:r>
                </w:p>
              </w:tc>
              <w:tc>
                <w:tcPr>
                  <w:tcW w:type="dxa" w:w="652"/>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2</w:t>
                  </w:r>
                </w:p>
              </w:tc>
              <w:tc>
                <w:tcPr>
                  <w:tcW w:type="dxa" w:w="53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台</w:t>
                  </w:r>
                </w:p>
              </w:tc>
            </w:tr>
            <w:tr>
              <w:tc>
                <w:tcPr>
                  <w:tcW w:type="dxa" w:w="33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2</w:t>
                  </w:r>
                </w:p>
              </w:tc>
              <w:tc>
                <w:tcPr>
                  <w:tcW w:type="dxa" w:w="102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工作站</w:t>
                  </w:r>
                </w:p>
              </w:tc>
              <w:tc>
                <w:tcPr>
                  <w:tcW w:type="dxa" w:w="652"/>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40</w:t>
                  </w:r>
                </w:p>
              </w:tc>
              <w:tc>
                <w:tcPr>
                  <w:tcW w:type="dxa" w:w="53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台</w:t>
                  </w:r>
                </w:p>
              </w:tc>
            </w:tr>
            <w:tr>
              <w:tc>
                <w:tcPr>
                  <w:tcW w:type="dxa" w:w="33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3</w:t>
                  </w:r>
                </w:p>
              </w:tc>
              <w:tc>
                <w:tcPr>
                  <w:tcW w:type="dxa" w:w="102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网络通信设备及配件</w:t>
                  </w:r>
                </w:p>
              </w:tc>
              <w:tc>
                <w:tcPr>
                  <w:tcW w:type="dxa" w:w="652"/>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1</w:t>
                  </w:r>
                </w:p>
              </w:tc>
              <w:tc>
                <w:tcPr>
                  <w:tcW w:type="dxa" w:w="53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批</w:t>
                  </w:r>
                </w:p>
              </w:tc>
            </w:tr>
            <w:tr>
              <w:tc>
                <w:tcPr>
                  <w:tcW w:type="dxa" w:w="33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4</w:t>
                  </w:r>
                </w:p>
              </w:tc>
              <w:tc>
                <w:tcPr>
                  <w:tcW w:type="dxa" w:w="102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教学案例</w:t>
                  </w:r>
                </w:p>
              </w:tc>
              <w:tc>
                <w:tcPr>
                  <w:tcW w:type="dxa" w:w="652"/>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1</w:t>
                  </w:r>
                </w:p>
              </w:tc>
              <w:tc>
                <w:tcPr>
                  <w:tcW w:type="dxa" w:w="53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color w:val="0000FF"/>
                    </w:rPr>
                    <w:t>套</w:t>
                  </w:r>
                </w:p>
              </w:tc>
            </w:tr>
          </w:tbl>
          <w:p>
            <w:pPr>
              <w:pStyle w:val="null3"/>
              <w:ind w:firstLine="482"/>
            </w:pPr>
            <w:r>
              <w:rPr>
                <w:rFonts w:ascii="仿宋_GB2312" w:hAnsi="仿宋_GB2312" w:cs="仿宋_GB2312" w:eastAsia="仿宋_GB2312"/>
                <w:sz w:val="24"/>
                <w:b/>
                <w:color w:val="0000FF"/>
              </w:rPr>
              <w:t>三、设备具体参数与功能要求</w:t>
            </w:r>
          </w:p>
          <w:p>
            <w:pPr>
              <w:pStyle w:val="null3"/>
              <w:ind w:firstLine="482"/>
            </w:pPr>
            <w:r>
              <w:rPr>
                <w:rFonts w:ascii="仿宋_GB2312" w:hAnsi="仿宋_GB2312" w:cs="仿宋_GB2312" w:eastAsia="仿宋_GB2312"/>
                <w:sz w:val="24"/>
                <w:b/>
                <w:color w:val="0000FF"/>
              </w:rPr>
              <w:t>（一）服务器</w:t>
            </w:r>
          </w:p>
          <w:p>
            <w:pPr>
              <w:pStyle w:val="null3"/>
              <w:ind w:firstLine="480"/>
            </w:pPr>
            <w:r>
              <w:rPr>
                <w:rFonts w:ascii="仿宋_GB2312" w:hAnsi="仿宋_GB2312" w:cs="仿宋_GB2312" w:eastAsia="仿宋_GB2312"/>
                <w:sz w:val="24"/>
                <w:color w:val="0000FF"/>
              </w:rPr>
              <w:t>▲1.控制模块：配置不少于2颗国产ARM架构通用处理器，单颗处理器不少于64核，工作速率不低于2.6GHz；</w:t>
            </w:r>
          </w:p>
          <w:p>
            <w:pPr>
              <w:pStyle w:val="null3"/>
              <w:ind w:firstLine="480"/>
            </w:pPr>
            <w:r>
              <w:rPr>
                <w:rFonts w:ascii="仿宋_GB2312" w:hAnsi="仿宋_GB2312" w:cs="仿宋_GB2312" w:eastAsia="仿宋_GB2312"/>
                <w:sz w:val="24"/>
                <w:color w:val="0000FF"/>
              </w:rPr>
              <w:t>▲2.内存模块：总容量不少于256GB，规格不低于DDR4 3200MHz，支持内存扩展，设备内存插槽不少于32个，可满足多任务并行处理的内存需求；</w:t>
            </w:r>
          </w:p>
          <w:p>
            <w:pPr>
              <w:pStyle w:val="null3"/>
              <w:ind w:firstLine="480"/>
            </w:pPr>
            <w:r>
              <w:rPr>
                <w:rFonts w:ascii="仿宋_GB2312" w:hAnsi="仿宋_GB2312" w:cs="仿宋_GB2312" w:eastAsia="仿宋_GB2312"/>
                <w:sz w:val="24"/>
                <w:color w:val="0000FF"/>
              </w:rPr>
              <w:t>3.</w:t>
            </w:r>
            <w:r>
              <w:rPr>
                <w:rFonts w:ascii="仿宋_GB2312" w:hAnsi="仿宋_GB2312" w:cs="仿宋_GB2312" w:eastAsia="仿宋_GB2312"/>
                <w:sz w:val="24"/>
                <w:color w:val="0000FF"/>
              </w:rPr>
              <w:t>智能加速模块：配置不少于</w:t>
            </w:r>
            <w:r>
              <w:rPr>
                <w:rFonts w:ascii="仿宋_GB2312" w:hAnsi="仿宋_GB2312" w:cs="仿宋_GB2312" w:eastAsia="仿宋_GB2312"/>
                <w:sz w:val="24"/>
                <w:color w:val="0000FF"/>
              </w:rPr>
              <w:t>8张高性能智算推理卡，支持FP16算力，单张智算推理卡的高速显存不少于96GB，显存带宽不低于408GB/s，计算性能不低于140TFLOPS @FP16；支持7B/32B/70B大模型本地部署</w:t>
            </w:r>
            <w:r>
              <w:rPr>
                <w:rFonts w:ascii="仿宋_GB2312" w:hAnsi="仿宋_GB2312" w:cs="仿宋_GB2312" w:eastAsia="仿宋_GB2312"/>
                <w:sz w:val="24"/>
                <w:color w:val="0000FF"/>
              </w:rPr>
              <w:t>；</w:t>
            </w:r>
          </w:p>
          <w:p>
            <w:pPr>
              <w:pStyle w:val="null3"/>
              <w:ind w:firstLine="480"/>
            </w:pPr>
            <w:r>
              <w:rPr>
                <w:rFonts w:ascii="仿宋_GB2312" w:hAnsi="仿宋_GB2312" w:cs="仿宋_GB2312" w:eastAsia="仿宋_GB2312"/>
                <w:sz w:val="24"/>
                <w:color w:val="0000FF"/>
              </w:rPr>
              <w:t>4.</w:t>
            </w:r>
            <w:r>
              <w:rPr>
                <w:rFonts w:ascii="仿宋_GB2312" w:hAnsi="仿宋_GB2312" w:cs="仿宋_GB2312" w:eastAsia="仿宋_GB2312"/>
                <w:sz w:val="24"/>
                <w:color w:val="0000FF"/>
              </w:rPr>
              <w:t>4.存储模块：配置不少于2块960GB固态硬盘，不少于3块1.92TB 固态硬盘；阵列控制器支持0/1/5/6/10，缓存≥4GB；</w:t>
            </w:r>
          </w:p>
          <w:p>
            <w:pPr>
              <w:pStyle w:val="null3"/>
              <w:ind w:firstLine="480"/>
            </w:pPr>
            <w:r>
              <w:rPr>
                <w:rFonts w:ascii="仿宋_GB2312" w:hAnsi="仿宋_GB2312" w:cs="仿宋_GB2312" w:eastAsia="仿宋_GB2312"/>
                <w:sz w:val="24"/>
                <w:color w:val="0000FF"/>
              </w:rPr>
              <w:t>5.网络模块：配置不少于2个10GE SFP+光口，不少于2个GE端口，支持高速网络互联，构建分布式算力集群；</w:t>
            </w:r>
          </w:p>
          <w:p>
            <w:pPr>
              <w:pStyle w:val="null3"/>
              <w:ind w:firstLine="480"/>
            </w:pPr>
            <w:r>
              <w:rPr>
                <w:rFonts w:ascii="仿宋_GB2312" w:hAnsi="仿宋_GB2312" w:cs="仿宋_GB2312" w:eastAsia="仿宋_GB2312"/>
                <w:sz w:val="24"/>
                <w:color w:val="0000FF"/>
              </w:rPr>
              <w:t>6.系统要求：预装国产操作系统，适配国产人工智能框架，支持算力调度工具；</w:t>
            </w:r>
          </w:p>
          <w:p>
            <w:pPr>
              <w:pStyle w:val="null3"/>
              <w:ind w:firstLine="480"/>
            </w:pPr>
            <w:r>
              <w:rPr>
                <w:rFonts w:ascii="仿宋_GB2312" w:hAnsi="仿宋_GB2312" w:cs="仿宋_GB2312" w:eastAsia="仿宋_GB2312"/>
                <w:sz w:val="24"/>
                <w:color w:val="0000FF"/>
              </w:rPr>
              <w:t>▲7.为保证设备满足政府采购要求，需提供有效期内的产品3C认证证书及节能认证证书。</w:t>
            </w:r>
          </w:p>
          <w:p>
            <w:pPr>
              <w:pStyle w:val="null3"/>
              <w:ind w:firstLine="482"/>
            </w:pPr>
            <w:r>
              <w:rPr>
                <w:rFonts w:ascii="仿宋_GB2312" w:hAnsi="仿宋_GB2312" w:cs="仿宋_GB2312" w:eastAsia="仿宋_GB2312"/>
                <w:sz w:val="24"/>
                <w:b/>
                <w:color w:val="0000FF"/>
              </w:rPr>
              <w:t>（二）工作站</w:t>
            </w:r>
          </w:p>
          <w:p>
            <w:pPr>
              <w:pStyle w:val="null3"/>
              <w:ind w:firstLine="480"/>
            </w:pPr>
            <w:r>
              <w:rPr>
                <w:rFonts w:ascii="仿宋_GB2312" w:hAnsi="仿宋_GB2312" w:cs="仿宋_GB2312" w:eastAsia="仿宋_GB2312"/>
                <w:sz w:val="24"/>
                <w:color w:val="0000FF"/>
              </w:rPr>
              <w:t>1.处理器：国产通用处理器，不少于8核，工作频率不低于2.8GHz，适配国产AI生态及框架，低功耗高稳定性；</w:t>
            </w:r>
          </w:p>
          <w:p>
            <w:pPr>
              <w:pStyle w:val="null3"/>
              <w:ind w:firstLine="480"/>
            </w:pPr>
            <w:r>
              <w:rPr>
                <w:rFonts w:ascii="仿宋_GB2312" w:hAnsi="仿宋_GB2312" w:cs="仿宋_GB2312" w:eastAsia="仿宋_GB2312"/>
                <w:sz w:val="24"/>
                <w:color w:val="0000FF"/>
              </w:rPr>
              <w:t>2.内存：不少于16GB，规格不低于DDR4 3200MHz，满足多任务并行，支持代码编译、数据集处理；</w:t>
            </w:r>
          </w:p>
          <w:p>
            <w:pPr>
              <w:pStyle w:val="null3"/>
              <w:ind w:left="480"/>
            </w:pPr>
            <w:r>
              <w:rPr>
                <w:rFonts w:ascii="仿宋_GB2312" w:hAnsi="仿宋_GB2312" w:cs="仿宋_GB2312" w:eastAsia="仿宋_GB2312"/>
                <w:sz w:val="24"/>
                <w:color w:val="0000FF"/>
              </w:rPr>
              <w:t>3.存储：不少于512GB固态硬盘，用于系统安装；不少于1TB SATA硬盘</w:t>
            </w:r>
            <w:r>
              <w:rPr>
                <w:rFonts w:ascii="仿宋_GB2312" w:hAnsi="仿宋_GB2312" w:cs="仿宋_GB2312" w:eastAsia="仿宋_GB2312"/>
                <w:sz w:val="24"/>
                <w:color w:val="0000FF"/>
              </w:rPr>
              <w:t>；</w:t>
            </w:r>
            <w:r>
              <w:rPr>
                <w:rFonts w:ascii="仿宋_GB2312" w:hAnsi="仿宋_GB2312" w:cs="仿宋_GB2312" w:eastAsia="仿宋_GB2312"/>
                <w:sz w:val="24"/>
                <w:color w:val="0000FF"/>
              </w:rPr>
              <w:t>4.显示器：不少于23.8英寸IPS屏，分辨率不低于1920*1080，支持多窗</w:t>
            </w:r>
          </w:p>
          <w:p>
            <w:pPr>
              <w:pStyle w:val="null3"/>
            </w:pPr>
            <w:r>
              <w:rPr>
                <w:rFonts w:ascii="仿宋_GB2312" w:hAnsi="仿宋_GB2312" w:cs="仿宋_GB2312" w:eastAsia="仿宋_GB2312"/>
                <w:sz w:val="24"/>
                <w:color w:val="0000FF"/>
              </w:rPr>
              <w:t>口操作；配置不少于</w:t>
            </w:r>
            <w:r>
              <w:rPr>
                <w:rFonts w:ascii="仿宋_GB2312" w:hAnsi="仿宋_GB2312" w:cs="仿宋_GB2312" w:eastAsia="仿宋_GB2312"/>
                <w:sz w:val="24"/>
                <w:color w:val="0000FF"/>
              </w:rPr>
              <w:t>2个HDMI接口，不少于1个DP接口；</w:t>
            </w:r>
          </w:p>
          <w:p>
            <w:pPr>
              <w:pStyle w:val="null3"/>
              <w:ind w:firstLine="480"/>
            </w:pPr>
            <w:r>
              <w:rPr>
                <w:rFonts w:ascii="仿宋_GB2312" w:hAnsi="仿宋_GB2312" w:cs="仿宋_GB2312" w:eastAsia="仿宋_GB2312"/>
                <w:sz w:val="24"/>
                <w:color w:val="0000FF"/>
              </w:rPr>
              <w:t>5.操作系统：需适配国产处理器，兼容国产人工智能框架、驱动及AI开发工具，实现与服务器端操作系统的无缝协同；</w:t>
            </w:r>
          </w:p>
          <w:p>
            <w:pPr>
              <w:pStyle w:val="null3"/>
              <w:ind w:firstLine="480"/>
            </w:pPr>
            <w:r>
              <w:rPr>
                <w:rFonts w:ascii="仿宋_GB2312" w:hAnsi="仿宋_GB2312" w:cs="仿宋_GB2312" w:eastAsia="仿宋_GB2312"/>
                <w:sz w:val="24"/>
                <w:color w:val="0000FF"/>
              </w:rPr>
              <w:t>6.配置云管理软件，其服务端采用全栈国产化适配架构，原生支持飞腾、海光、龙芯、申威等国内主流自主可控 CPU 硬件，全面兼容银河麒麟、统信 UOS、中科方德、Loongnix-Server 等国产服务器操作系统，实现从硬件到系统的全链路自主可控，无境外技术依赖风险，适配过程无需二次开发、无需第三方中间件。满足无盘、VOI等统一平台管理，满足终端（X86、ARM、C86、龙芯等架构）统一管理与交付。</w:t>
            </w:r>
          </w:p>
          <w:p>
            <w:pPr>
              <w:pStyle w:val="null3"/>
              <w:ind w:firstLine="480"/>
            </w:pPr>
            <w:r>
              <w:rPr>
                <w:rFonts w:ascii="仿宋_GB2312" w:hAnsi="仿宋_GB2312" w:cs="仿宋_GB2312" w:eastAsia="仿宋_GB2312"/>
                <w:sz w:val="24"/>
                <w:color w:val="0000FF"/>
              </w:rPr>
              <w:t>6.1管理平台支持在虚拟机、物理PC、物理服务器等各类硬件环境中部署，兼容 x86 架构与国产化架构，适配性广泛且运行可靠</w:t>
            </w:r>
            <w:r>
              <w:rPr>
                <w:rFonts w:ascii="仿宋_GB2312" w:hAnsi="仿宋_GB2312" w:cs="仿宋_GB2312" w:eastAsia="仿宋_GB2312"/>
                <w:sz w:val="24"/>
                <w:color w:val="FF0000"/>
              </w:rPr>
              <w:t>；</w:t>
            </w:r>
          </w:p>
          <w:p>
            <w:pPr>
              <w:pStyle w:val="null3"/>
              <w:ind w:firstLine="480"/>
            </w:pPr>
            <w:r>
              <w:rPr>
                <w:rFonts w:ascii="仿宋_GB2312" w:hAnsi="仿宋_GB2312" w:cs="仿宋_GB2312" w:eastAsia="仿宋_GB2312"/>
                <w:sz w:val="24"/>
                <w:color w:val="0000FF"/>
              </w:rPr>
              <w:t>6.2支持对服务主机 CPU（型号、核数、使用率）、内存（总容量、可用容量、使用率）、磁盘（总容量、可用容量、使用率）、网络（上传速率、下载速率）实时监控；支持在线终端活跃度监控，可选择小时、天、月进行历史数据回溯查询；</w:t>
            </w:r>
          </w:p>
          <w:p>
            <w:pPr>
              <w:pStyle w:val="null3"/>
              <w:ind w:firstLine="480"/>
            </w:pPr>
            <w:r>
              <w:rPr>
                <w:rFonts w:ascii="仿宋_GB2312" w:hAnsi="仿宋_GB2312" w:cs="仿宋_GB2312" w:eastAsia="仿宋_GB2312"/>
                <w:sz w:val="24"/>
                <w:color w:val="0000FF"/>
              </w:rPr>
              <w:t>6.3管理平台采用纯 B/S 架构，无需安装专用客户端；平台具备中 / 英文界面切换、字体大小调整功能，支持账号密码、动态口令多种登录方式，支持忘记密码重置管理员密码；</w:t>
            </w:r>
          </w:p>
          <w:p>
            <w:pPr>
              <w:pStyle w:val="null3"/>
              <w:ind w:firstLine="476"/>
            </w:pPr>
            <w:r>
              <w:rPr>
                <w:rFonts w:ascii="仿宋_GB2312" w:hAnsi="仿宋_GB2312" w:cs="仿宋_GB2312" w:eastAsia="仿宋_GB2312"/>
                <w:sz w:val="24"/>
                <w:color w:val="0000FF"/>
              </w:rPr>
              <w:t>▲</w:t>
            </w:r>
            <w:r>
              <w:rPr>
                <w:rFonts w:ascii="仿宋_GB2312" w:hAnsi="仿宋_GB2312" w:cs="仿宋_GB2312" w:eastAsia="仿宋_GB2312"/>
                <w:sz w:val="24"/>
                <w:color w:val="0000FF"/>
              </w:rPr>
              <w:t>6.4平台服务管理，包括启动、重启、停止、定时重启及调试日志下载；支持服务器操作系统版本显示，服务器系统重启、关机及定时重启设置；支持健康检测（服务器、端口、终端、数据库、文件系统、SSD 硬盘性能），可生成检测报告并支持下载检测报告、一键修复；支持服务器系统时间设置、NTP 服务器设置，动态口令有效时长设置；</w:t>
            </w:r>
          </w:p>
          <w:p>
            <w:pPr>
              <w:pStyle w:val="null3"/>
              <w:ind w:firstLine="476"/>
            </w:pPr>
            <w:r>
              <w:rPr>
                <w:rFonts w:ascii="仿宋_GB2312" w:hAnsi="仿宋_GB2312" w:cs="仿宋_GB2312" w:eastAsia="仿宋_GB2312"/>
                <w:sz w:val="24"/>
                <w:color w:val="0000FF"/>
              </w:rPr>
              <w:t>▲</w:t>
            </w:r>
            <w:r>
              <w:rPr>
                <w:rFonts w:ascii="仿宋_GB2312" w:hAnsi="仿宋_GB2312" w:cs="仿宋_GB2312" w:eastAsia="仿宋_GB2312"/>
                <w:sz w:val="24"/>
                <w:color w:val="0000FF"/>
              </w:rPr>
              <w:t>6.5支持基础镜像加子镜像模式，可灵活创建多个子镜像分支，每个子镜像分支支持独立快照管理，支持快照数量不少于50个；每个快照有日期时间、占用大小、备注信息，支持快照删除、应用、合并到默认、修改备注；支持快照任意前进与后退操作，切换过程中快照数据完整保留不丢失；支持镜像下载，镜像扩容，镜像检测（检测到问题自动修复，并显示检测进度）；</w:t>
            </w:r>
          </w:p>
          <w:p>
            <w:pPr>
              <w:pStyle w:val="null3"/>
              <w:ind w:firstLine="480"/>
            </w:pPr>
            <w:r>
              <w:rPr>
                <w:rFonts w:ascii="仿宋_GB2312" w:hAnsi="仿宋_GB2312" w:cs="仿宋_GB2312" w:eastAsia="仿宋_GB2312"/>
                <w:sz w:val="24"/>
                <w:color w:val="0000FF"/>
              </w:rPr>
              <w:t>6.6支持实时查看终端状态信息：终端名称、状态、MAC地址、IP地址、操作系统、当前桌面、实时流量、汇总流量、网卡速率（低于 1000Mbps 时自动提示）、时长、同步状态、更新量速度、备注等；支持查看终端硬件信息，包括显示器、鼠标、键盘、摄像头、主板、内存、CPU 等设备信息；支持终端存储信息已占用可视化统计，支持对终端批量执行远程开机、关机、重启操作；</w:t>
            </w:r>
          </w:p>
          <w:p>
            <w:pPr>
              <w:pStyle w:val="null3"/>
              <w:ind w:firstLine="476"/>
            </w:pPr>
            <w:r>
              <w:rPr>
                <w:rFonts w:ascii="仿宋_GB2312" w:hAnsi="仿宋_GB2312" w:cs="仿宋_GB2312" w:eastAsia="仿宋_GB2312"/>
                <w:sz w:val="24"/>
                <w:color w:val="0000FF"/>
              </w:rPr>
              <w:t>▲</w:t>
            </w:r>
            <w:r>
              <w:rPr>
                <w:rFonts w:ascii="仿宋_GB2312" w:hAnsi="仿宋_GB2312" w:cs="仿宋_GB2312" w:eastAsia="仿宋_GB2312"/>
                <w:sz w:val="24"/>
                <w:color w:val="0000FF"/>
              </w:rPr>
              <w:t>6.7支持两种远程协助方式：窗口程序远程协助与浏览器 Web 远程协助。同时，云桌面管理平台支持远程截屏、文件传输、远程对话、查看模式、SSH连接、Ping测试、Telnet连接等操作。支持在终端同步过程中进行远程协助，可实时查看同步进度、更新量、网卡速率（低于 1000Mbps 时自动提示）及速度。支持通过快捷键打开帮助、日志、任务管理器等常用功能，以提升远程运维便捷性；</w:t>
            </w:r>
          </w:p>
          <w:p>
            <w:pPr>
              <w:pStyle w:val="null3"/>
              <w:ind w:firstLine="480"/>
            </w:pPr>
            <w:r>
              <w:rPr>
                <w:rFonts w:ascii="仿宋_GB2312" w:hAnsi="仿宋_GB2312" w:cs="仿宋_GB2312" w:eastAsia="仿宋_GB2312"/>
                <w:sz w:val="24"/>
                <w:color w:val="0000FF"/>
              </w:rPr>
              <w:t>6.8支持向终端发送远程命令，命令类型涵盖 Windows命令、Linux命令及自定义命令，内置常用远程命令不少于10种，可直接调用无需重复输入；</w:t>
            </w:r>
          </w:p>
          <w:p>
            <w:pPr>
              <w:pStyle w:val="null3"/>
              <w:ind w:firstLine="480"/>
            </w:pPr>
            <w:r>
              <w:rPr>
                <w:rFonts w:ascii="仿宋_GB2312" w:hAnsi="仿宋_GB2312" w:cs="仿宋_GB2312" w:eastAsia="仿宋_GB2312"/>
                <w:sz w:val="24"/>
                <w:color w:val="0000FF"/>
              </w:rPr>
              <w:t>6.9可对每个分组监控终端总数量、启动数量、终端更新数量，分组操作修改IP段、清空分区等；</w:t>
            </w:r>
          </w:p>
          <w:p>
            <w:pPr>
              <w:pStyle w:val="null3"/>
              <w:ind w:firstLine="480"/>
            </w:pPr>
            <w:r>
              <w:rPr>
                <w:rFonts w:ascii="仿宋_GB2312" w:hAnsi="仿宋_GB2312" w:cs="仿宋_GB2312" w:eastAsia="仿宋_GB2312"/>
                <w:sz w:val="24"/>
                <w:color w:val="0000FF"/>
              </w:rPr>
              <w:t>6.10支持无盘、有盘两种启动方式，两种模式均可配置系统还原/不还原属性；</w:t>
            </w:r>
          </w:p>
          <w:p>
            <w:pPr>
              <w:pStyle w:val="null3"/>
              <w:ind w:firstLine="480"/>
            </w:pPr>
            <w:r>
              <w:rPr>
                <w:rFonts w:ascii="仿宋_GB2312" w:hAnsi="仿宋_GB2312" w:cs="仿宋_GB2312" w:eastAsia="仿宋_GB2312"/>
                <w:sz w:val="24"/>
                <w:color w:val="0000FF"/>
              </w:rPr>
              <w:t>6.11新设备支持通过PXE或U盘引导，自动加入或选择机器名加入云桌面管理平台；</w:t>
            </w:r>
          </w:p>
          <w:p>
            <w:pPr>
              <w:pStyle w:val="null3"/>
              <w:ind w:firstLine="476"/>
            </w:pPr>
            <w:r>
              <w:rPr>
                <w:rFonts w:ascii="仿宋_GB2312" w:hAnsi="仿宋_GB2312" w:cs="仿宋_GB2312" w:eastAsia="仿宋_GB2312"/>
                <w:sz w:val="24"/>
                <w:color w:val="0000FF"/>
              </w:rPr>
              <w:t>▲</w:t>
            </w:r>
            <w:r>
              <w:rPr>
                <w:rFonts w:ascii="仿宋_GB2312" w:hAnsi="仿宋_GB2312" w:cs="仿宋_GB2312" w:eastAsia="仿宋_GB2312"/>
                <w:sz w:val="24"/>
                <w:color w:val="0000FF"/>
              </w:rPr>
              <w:t>6.12支持硬盘引导与PXE引导配置，可自定义设置服务器及终端本地IP地址，以实现硬盘引导无盘系统启动；</w:t>
            </w:r>
          </w:p>
          <w:p>
            <w:pPr>
              <w:pStyle w:val="null3"/>
              <w:ind w:firstLine="480"/>
            </w:pPr>
            <w:r>
              <w:rPr>
                <w:rFonts w:ascii="仿宋_GB2312" w:hAnsi="仿宋_GB2312" w:cs="仿宋_GB2312" w:eastAsia="仿宋_GB2312"/>
                <w:sz w:val="24"/>
                <w:color w:val="0000FF"/>
              </w:rPr>
              <w:t>6.13支持多种模板更新模式，包括PXE更新（无盘系统）、本地更新上传、网络镜像映射；终端系统在“还原”及“不还原”模式下均可实现本地更新上传，并支持生成新的快照或写入上一次快照</w:t>
            </w:r>
            <w:r>
              <w:rPr>
                <w:rFonts w:ascii="仿宋_GB2312" w:hAnsi="仿宋_GB2312" w:cs="仿宋_GB2312" w:eastAsia="仿宋_GB2312"/>
                <w:sz w:val="24"/>
                <w:color w:val="0000FF"/>
              </w:rPr>
              <w:t>两种方案</w:t>
            </w:r>
            <w:r>
              <w:rPr>
                <w:rFonts w:ascii="仿宋_GB2312" w:hAnsi="仿宋_GB2312" w:cs="仿宋_GB2312" w:eastAsia="仿宋_GB2312"/>
                <w:sz w:val="24"/>
                <w:color w:val="0000FF"/>
              </w:rPr>
              <w:t>；</w:t>
            </w:r>
          </w:p>
          <w:p>
            <w:pPr>
              <w:pStyle w:val="null3"/>
              <w:ind w:firstLine="480"/>
            </w:pPr>
            <w:r>
              <w:rPr>
                <w:rFonts w:ascii="仿宋_GB2312" w:hAnsi="仿宋_GB2312" w:cs="仿宋_GB2312" w:eastAsia="仿宋_GB2312"/>
                <w:sz w:val="24"/>
                <w:color w:val="0000FF"/>
              </w:rPr>
              <w:t>6.14.终端支持设置独立保护模式</w:t>
            </w:r>
            <w:r>
              <w:rPr>
                <w:rFonts w:ascii="仿宋_GB2312" w:hAnsi="仿宋_GB2312" w:cs="仿宋_GB2312" w:eastAsia="仿宋_GB2312"/>
                <w:sz w:val="24"/>
                <w:color w:val="0000FF"/>
              </w:rPr>
              <w:t>客户端</w:t>
            </w:r>
            <w:r>
              <w:rPr>
                <w:rFonts w:ascii="仿宋_GB2312" w:hAnsi="仿宋_GB2312" w:cs="仿宋_GB2312" w:eastAsia="仿宋_GB2312"/>
                <w:sz w:val="24"/>
                <w:color w:val="0000FF"/>
              </w:rPr>
              <w:t>，并可切换</w:t>
            </w:r>
            <w:r>
              <w:rPr>
                <w:rFonts w:ascii="仿宋_GB2312" w:hAnsi="仿宋_GB2312" w:cs="仿宋_GB2312" w:eastAsia="仿宋_GB2312"/>
                <w:sz w:val="24"/>
                <w:color w:val="0000FF"/>
              </w:rPr>
              <w:t>“</w:t>
            </w:r>
            <w:r>
              <w:rPr>
                <w:rFonts w:ascii="仿宋_GB2312" w:hAnsi="仿宋_GB2312" w:cs="仿宋_GB2312" w:eastAsia="仿宋_GB2312"/>
                <w:sz w:val="24"/>
                <w:color w:val="0000FF"/>
              </w:rPr>
              <w:t>保护模式</w:t>
            </w:r>
            <w:r>
              <w:rPr>
                <w:rFonts w:ascii="仿宋_GB2312" w:hAnsi="仿宋_GB2312" w:cs="仿宋_GB2312" w:eastAsia="仿宋_GB2312"/>
                <w:sz w:val="24"/>
                <w:color w:val="0000FF"/>
              </w:rPr>
              <w:t>”“不还原”模式，可在本地系统单独安装软件或驱动，且不影响其他终端系统与服务器镜像；</w:t>
            </w:r>
          </w:p>
          <w:p>
            <w:pPr>
              <w:pStyle w:val="null3"/>
              <w:ind w:firstLine="476"/>
            </w:pPr>
            <w:r>
              <w:rPr>
                <w:rFonts w:ascii="仿宋_GB2312" w:hAnsi="仿宋_GB2312" w:cs="仿宋_GB2312" w:eastAsia="仿宋_GB2312"/>
                <w:sz w:val="24"/>
                <w:color w:val="0000FF"/>
              </w:rPr>
              <w:t>▲</w:t>
            </w:r>
            <w:r>
              <w:rPr>
                <w:rFonts w:ascii="仿宋_GB2312" w:hAnsi="仿宋_GB2312" w:cs="仿宋_GB2312" w:eastAsia="仿宋_GB2312"/>
                <w:sz w:val="24"/>
                <w:color w:val="0000FF"/>
              </w:rPr>
              <w:t>6.15支持PXE同步、BOOT同步、灰度同步等多种同步方式；同步过程实时显示进度条、更新量及更新速度；</w:t>
            </w:r>
          </w:p>
          <w:p>
            <w:pPr>
              <w:pStyle w:val="null3"/>
              <w:ind w:firstLine="480"/>
            </w:pPr>
            <w:r>
              <w:rPr>
                <w:rFonts w:ascii="仿宋_GB2312" w:hAnsi="仿宋_GB2312" w:cs="仿宋_GB2312" w:eastAsia="仿宋_GB2312"/>
                <w:sz w:val="24"/>
                <w:color w:val="0000FF"/>
              </w:rPr>
              <w:t>6.16快照更新后终端在PXE同步时，终端启动更新后的操作系统及应用，并同步最新的快照到终端硬盘；</w:t>
            </w:r>
          </w:p>
          <w:p>
            <w:pPr>
              <w:pStyle w:val="null3"/>
              <w:ind w:firstLine="480"/>
            </w:pPr>
            <w:r>
              <w:rPr>
                <w:rFonts w:ascii="仿宋_GB2312" w:hAnsi="仿宋_GB2312" w:cs="仿宋_GB2312" w:eastAsia="仿宋_GB2312"/>
                <w:sz w:val="24"/>
                <w:color w:val="0000FF"/>
              </w:rPr>
              <w:t>6.17快照更新后终端在BOOT PE系统同步时，管理平台可以远程控制终端桌面，支持查看日志、结束同步、网络配置、修改服务器IP等；</w:t>
            </w:r>
          </w:p>
          <w:p>
            <w:pPr>
              <w:pStyle w:val="null3"/>
              <w:ind w:firstLine="476"/>
            </w:pPr>
            <w:r>
              <w:rPr>
                <w:rFonts w:ascii="仿宋_GB2312" w:hAnsi="仿宋_GB2312" w:cs="仿宋_GB2312" w:eastAsia="仿宋_GB2312"/>
                <w:sz w:val="24"/>
                <w:color w:val="0000FF"/>
              </w:rPr>
              <w:t>▲</w:t>
            </w:r>
            <w:r>
              <w:rPr>
                <w:rFonts w:ascii="仿宋_GB2312" w:hAnsi="仿宋_GB2312" w:cs="仿宋_GB2312" w:eastAsia="仿宋_GB2312"/>
                <w:sz w:val="24"/>
                <w:color w:val="0000FF"/>
              </w:rPr>
              <w:t>6.18快照更新后终端在灰度同步时，终端进入旧系统，不影响正常使用，同时下载新的快照，客户端及管理平台显示同步进度及完成情况；</w:t>
            </w:r>
          </w:p>
          <w:p>
            <w:pPr>
              <w:pStyle w:val="null3"/>
              <w:ind w:firstLine="480"/>
            </w:pPr>
            <w:r>
              <w:rPr>
                <w:rFonts w:ascii="仿宋_GB2312" w:hAnsi="仿宋_GB2312" w:cs="仿宋_GB2312" w:eastAsia="仿宋_GB2312"/>
                <w:sz w:val="24"/>
                <w:color w:val="0000FF"/>
              </w:rPr>
              <w:t>6.19支持终端创建多个数据盘，分区数量不少于4个，确保系统切换或系统恢复时数据盘内容不丢失；</w:t>
            </w:r>
          </w:p>
          <w:p>
            <w:pPr>
              <w:pStyle w:val="null3"/>
              <w:ind w:firstLine="480"/>
            </w:pPr>
            <w:r>
              <w:rPr>
                <w:rFonts w:ascii="仿宋_GB2312" w:hAnsi="仿宋_GB2312" w:cs="仿宋_GB2312" w:eastAsia="仿宋_GB2312"/>
                <w:sz w:val="24"/>
                <w:color w:val="0000FF"/>
              </w:rPr>
              <w:t>6.20支持每个系统分配独立的数据盘与共享数据盘等多种方案，支持每个系统之间的数据盘相互独立；</w:t>
            </w:r>
          </w:p>
          <w:p>
            <w:pPr>
              <w:pStyle w:val="null3"/>
              <w:ind w:firstLine="480"/>
            </w:pPr>
            <w:r>
              <w:rPr>
                <w:rFonts w:ascii="仿宋_GB2312" w:hAnsi="仿宋_GB2312" w:cs="仿宋_GB2312" w:eastAsia="仿宋_GB2312"/>
                <w:sz w:val="24"/>
                <w:color w:val="0000FF"/>
              </w:rPr>
              <w:t>6.21支持对已部署的桌面系统开启PXE、BOOT代理服务，支持跨VLAN批量PXE部署桌面系统；</w:t>
            </w:r>
          </w:p>
          <w:p>
            <w:pPr>
              <w:pStyle w:val="null3"/>
              <w:ind w:firstLine="480"/>
            </w:pPr>
            <w:r>
              <w:rPr>
                <w:rFonts w:ascii="仿宋_GB2312" w:hAnsi="仿宋_GB2312" w:cs="仿宋_GB2312" w:eastAsia="仿宋_GB2312"/>
                <w:sz w:val="24"/>
                <w:color w:val="0000FF"/>
              </w:rPr>
              <w:t>6.22支持终端资产明细全量查询，查询范围涵盖终端名称、终端IP、MAC地址、操作系统、CPU、内存（大小及名称）、硬盘（容量及SN号）、分区、显示器、键盘、鼠标、摄像头、主板、显卡、声卡、网卡、打印、BIOS、最后更新时间等；支持模糊搜索功能，可快速定位目标终端资产；支持按CPU、主板、操作系统维度进行图形化统计，直观展示资产类型占比；支持资产明细导出Excel表格等；</w:t>
            </w:r>
          </w:p>
          <w:p>
            <w:pPr>
              <w:pStyle w:val="null3"/>
              <w:ind w:firstLine="480"/>
            </w:pPr>
            <w:r>
              <w:rPr>
                <w:rFonts w:ascii="仿宋_GB2312" w:hAnsi="仿宋_GB2312" w:cs="仿宋_GB2312" w:eastAsia="仿宋_GB2312"/>
                <w:sz w:val="24"/>
                <w:color w:val="0000FF"/>
              </w:rPr>
              <w:t>6.23支持实时监测终端资产运行状态，包括CPU使用率、CPU温度、CPU风扇转速、主板温度、内存使用率、硬盘使用率、硬盘温度、显卡温度等；支持自定义设置告警阈值，超出阈值时自动告警，包含告警名称、状态、告警内容、持续时长、触发时间；管理员可对告警信息进行确认，并标记为已处理状态；</w:t>
            </w:r>
          </w:p>
          <w:p>
            <w:pPr>
              <w:pStyle w:val="null3"/>
              <w:ind w:firstLine="480"/>
            </w:pPr>
            <w:r>
              <w:rPr>
                <w:rFonts w:ascii="仿宋_GB2312" w:hAnsi="仿宋_GB2312" w:cs="仿宋_GB2312" w:eastAsia="仿宋_GB2312"/>
                <w:sz w:val="24"/>
                <w:color w:val="0000FF"/>
              </w:rPr>
              <w:t>6.24支持桌面信息显示：机器名、IP地址、MAC地址、分组名、同时支持添加多个自定义字段名称与值；支持公告文字显示；支持壁纸修改并预览；</w:t>
            </w:r>
          </w:p>
          <w:p>
            <w:pPr>
              <w:pStyle w:val="null3"/>
              <w:ind w:firstLine="480"/>
            </w:pPr>
            <w:r>
              <w:rPr>
                <w:rFonts w:ascii="仿宋_GB2312" w:hAnsi="仿宋_GB2312" w:cs="仿宋_GB2312" w:eastAsia="仿宋_GB2312"/>
                <w:sz w:val="24"/>
                <w:color w:val="0000FF"/>
              </w:rPr>
              <w:t>6.25 P2P同步支持镜像空数据过滤及压缩同步，1000M网络终端同步速度≧180MB/s，优化终端P2P同步速度。</w:t>
            </w:r>
          </w:p>
          <w:p>
            <w:pPr>
              <w:pStyle w:val="null3"/>
              <w:ind w:firstLine="482"/>
            </w:pPr>
            <w:r>
              <w:rPr>
                <w:rFonts w:ascii="仿宋_GB2312" w:hAnsi="仿宋_GB2312" w:cs="仿宋_GB2312" w:eastAsia="仿宋_GB2312"/>
                <w:sz w:val="24"/>
                <w:b/>
                <w:color w:val="0000FF"/>
              </w:rPr>
              <w:t>（</w:t>
            </w:r>
            <w:r>
              <w:rPr>
                <w:rFonts w:ascii="仿宋_GB2312" w:hAnsi="仿宋_GB2312" w:cs="仿宋_GB2312" w:eastAsia="仿宋_GB2312"/>
                <w:sz w:val="24"/>
                <w:b/>
                <w:color w:val="0000FF"/>
              </w:rPr>
              <w:t>7）需配置云课堂互动管理系统，满足多媒体教学场景要求，具体技术要求如下：</w:t>
            </w:r>
          </w:p>
          <w:p>
            <w:pPr>
              <w:pStyle w:val="null3"/>
              <w:ind w:firstLine="476"/>
            </w:pPr>
            <w:r>
              <w:rPr>
                <w:rFonts w:ascii="仿宋_GB2312" w:hAnsi="仿宋_GB2312" w:cs="仿宋_GB2312" w:eastAsia="仿宋_GB2312"/>
                <w:sz w:val="24"/>
                <w:color w:val="0000FF"/>
              </w:rPr>
              <w:t>▲</w:t>
            </w:r>
            <w:r>
              <w:rPr>
                <w:rFonts w:ascii="仿宋_GB2312" w:hAnsi="仿宋_GB2312" w:cs="仿宋_GB2312" w:eastAsia="仿宋_GB2312"/>
                <w:sz w:val="24"/>
                <w:color w:val="0000FF"/>
              </w:rPr>
              <w:t>7.1 融合技术：支持教师端、学生端软件安装在一个镜像中，指定教师机只能运行教师端云课堂互动管理软件，其他学生机运行学生端；</w:t>
            </w:r>
          </w:p>
          <w:p>
            <w:pPr>
              <w:pStyle w:val="null3"/>
              <w:ind w:firstLine="480"/>
            </w:pPr>
            <w:r>
              <w:rPr>
                <w:rFonts w:ascii="仿宋_GB2312" w:hAnsi="仿宋_GB2312" w:cs="仿宋_GB2312" w:eastAsia="仿宋_GB2312"/>
                <w:sz w:val="24"/>
                <w:color w:val="0000FF"/>
              </w:rPr>
              <w:t>7.2 广播教学：支持老师端屏幕分享、示范转播、电子白板功能，屏幕分享具备时移功能；屏幕分享可同时分享摄像头画面；屏幕转播时提供选择客户端列表进行转播，转播时可以转播客户端电脑声音；</w:t>
            </w:r>
          </w:p>
          <w:p>
            <w:pPr>
              <w:pStyle w:val="null3"/>
              <w:ind w:firstLine="480"/>
            </w:pPr>
            <w:r>
              <w:rPr>
                <w:rFonts w:ascii="仿宋_GB2312" w:hAnsi="仿宋_GB2312" w:cs="仿宋_GB2312" w:eastAsia="仿宋_GB2312"/>
                <w:sz w:val="24"/>
                <w:color w:val="0000FF"/>
              </w:rPr>
              <w:t>7.3 文件下发：管理端文件上传、指定学生端目录，批量下发，学生端支持文件上传；</w:t>
            </w:r>
          </w:p>
          <w:p>
            <w:pPr>
              <w:pStyle w:val="null3"/>
              <w:ind w:firstLine="476"/>
            </w:pPr>
            <w:r>
              <w:rPr>
                <w:rFonts w:ascii="仿宋_GB2312" w:hAnsi="仿宋_GB2312" w:cs="仿宋_GB2312" w:eastAsia="仿宋_GB2312"/>
                <w:sz w:val="24"/>
                <w:color w:val="0000FF"/>
              </w:rPr>
              <w:t>▲</w:t>
            </w:r>
            <w:r>
              <w:rPr>
                <w:rFonts w:ascii="仿宋_GB2312" w:hAnsi="仿宋_GB2312" w:cs="仿宋_GB2312" w:eastAsia="仿宋_GB2312"/>
                <w:sz w:val="24"/>
                <w:color w:val="0000FF"/>
              </w:rPr>
              <w:t>7.4 远程监控：可同时监看多个客户端电脑画面，支持不少于64个客户端同时监看；可进行远程遥控，支持全体遥控，可同时操作执行所有在线客户端电脑；</w:t>
            </w:r>
          </w:p>
          <w:p>
            <w:pPr>
              <w:pStyle w:val="null3"/>
              <w:ind w:firstLine="480"/>
            </w:pPr>
            <w:r>
              <w:rPr>
                <w:rFonts w:ascii="仿宋_GB2312" w:hAnsi="仿宋_GB2312" w:cs="仿宋_GB2312" w:eastAsia="仿宋_GB2312"/>
                <w:sz w:val="24"/>
                <w:color w:val="0000FF"/>
              </w:rPr>
              <w:t>7.5 学生账户管理：电子点名功能可统计客户端登录时间、登录姓名、登录学号等，可导出保存到excel等多种格式；支持机房上机管理，选择管理模式，客户端进入系统后显示登录界面，学生需要输入账号和密码，认证通过后才能进入系统；机房用户管理，支持和批量用户导入，账户信息包括账号、密码、姓名、班级、电话和证件等；</w:t>
            </w:r>
          </w:p>
          <w:p>
            <w:pPr>
              <w:pStyle w:val="null3"/>
              <w:ind w:firstLine="480"/>
            </w:pPr>
            <w:r>
              <w:rPr>
                <w:rFonts w:ascii="仿宋_GB2312" w:hAnsi="仿宋_GB2312" w:cs="仿宋_GB2312" w:eastAsia="仿宋_GB2312"/>
                <w:sz w:val="24"/>
                <w:color w:val="0000FF"/>
              </w:rPr>
              <w:t>7.6 硬件监控：资产信息模块可盘点所有终端设备的硬件信息和软件信息，硬件信息包括电脑型号、BIOS信息、CPU、内存、硬盘、网卡、声卡、显卡、显示器、键盘、鼠标、光驱、打印机、摄像头等，软件信息包括当前终端设备安装的所有软件名称；资产统计模块可统计软硬件安装的台数，在软硬件变化时会自动产生变动日志记录；提供资产导出功能，可导出Excel格式表格；</w:t>
            </w:r>
          </w:p>
          <w:p>
            <w:pPr>
              <w:pStyle w:val="null3"/>
              <w:ind w:firstLine="480"/>
            </w:pPr>
            <w:r>
              <w:rPr>
                <w:rFonts w:ascii="仿宋_GB2312" w:hAnsi="仿宋_GB2312" w:cs="仿宋_GB2312" w:eastAsia="仿宋_GB2312"/>
                <w:sz w:val="24"/>
                <w:color w:val="0000FF"/>
              </w:rPr>
              <w:t>7.7 教学互动：支持弹幕，教师机开启弹幕后，教师机和学生机可发送弹幕信息；</w:t>
            </w:r>
          </w:p>
          <w:p>
            <w:pPr>
              <w:pStyle w:val="null3"/>
              <w:ind w:firstLine="480"/>
            </w:pPr>
            <w:r>
              <w:rPr>
                <w:rFonts w:ascii="仿宋_GB2312" w:hAnsi="仿宋_GB2312" w:cs="仿宋_GB2312" w:eastAsia="仿宋_GB2312"/>
                <w:sz w:val="24"/>
                <w:color w:val="0000FF"/>
              </w:rPr>
              <w:t>7.8 安全策略：设备管理包括外网控制、U盘控制、锁定键鼠、负载监控；外网控制用于设置客户端是否可以上Internet，U盘控制可设置允许、只读和禁用U盘设备。同步支持网络搜索关键字屏蔽功能，教师预设禁用关键词后，学生机通过浏览器搜索时将被及时拦截；</w:t>
            </w:r>
          </w:p>
          <w:p>
            <w:pPr>
              <w:pStyle w:val="null3"/>
              <w:ind w:firstLine="480"/>
            </w:pPr>
            <w:r>
              <w:rPr>
                <w:rFonts w:ascii="仿宋_GB2312" w:hAnsi="仿宋_GB2312" w:cs="仿宋_GB2312" w:eastAsia="仿宋_GB2312"/>
                <w:sz w:val="24"/>
                <w:color w:val="0000FF"/>
              </w:rPr>
              <w:t>7.9 题库管理：支持题库支持学科分类、支持知识点分类，添加题库支持编辑题目添加和批量导入添加；试卷管理包括组卷、浏览试卷、删除试卷，组卷方式支持按策略随机抽题组卷和自选题目组卷，可设置试卷属性包括考试时间、总分、及格分、支持提前交卷、提交试卷后立即显示分数、提交试卷后可查看考生试卷评析等；</w:t>
            </w:r>
          </w:p>
          <w:p>
            <w:pPr>
              <w:pStyle w:val="null3"/>
              <w:ind w:firstLine="480"/>
            </w:pPr>
            <w:r>
              <w:rPr>
                <w:rFonts w:ascii="仿宋_GB2312" w:hAnsi="仿宋_GB2312" w:cs="仿宋_GB2312" w:eastAsia="仿宋_GB2312"/>
                <w:sz w:val="24"/>
                <w:color w:val="0000FF"/>
              </w:rPr>
              <w:t>7.10 AI教学：AI资源库中心，包括AI主流模型、AI教学工具、AI学习资源等不少于12个AI分类资源；具有AI桌面端功能</w:t>
            </w:r>
            <w:r>
              <w:rPr>
                <w:rFonts w:ascii="仿宋_GB2312" w:hAnsi="仿宋_GB2312" w:cs="仿宋_GB2312" w:eastAsia="仿宋_GB2312"/>
                <w:sz w:val="24"/>
                <w:color w:val="0000FF"/>
              </w:rPr>
              <w:t>；</w:t>
            </w:r>
          </w:p>
          <w:p>
            <w:pPr>
              <w:pStyle w:val="null3"/>
              <w:ind w:firstLine="480"/>
            </w:pPr>
            <w:r>
              <w:rPr>
                <w:rFonts w:ascii="仿宋_GB2312" w:hAnsi="仿宋_GB2312" w:cs="仿宋_GB2312" w:eastAsia="仿宋_GB2312"/>
                <w:sz w:val="24"/>
                <w:color w:val="0000FF"/>
              </w:rPr>
              <w:t>7.11桌面配置：支持服务器配置，批量切换学生端操作系统，支持教师端批量重启学生机。</w:t>
            </w:r>
          </w:p>
          <w:p>
            <w:pPr>
              <w:pStyle w:val="null3"/>
              <w:ind w:firstLine="480"/>
            </w:pPr>
            <w:r>
              <w:rPr>
                <w:rFonts w:ascii="仿宋_GB2312" w:hAnsi="仿宋_GB2312" w:cs="仿宋_GB2312" w:eastAsia="仿宋_GB2312"/>
                <w:sz w:val="24"/>
                <w:color w:val="0000FF"/>
              </w:rPr>
              <w:t>7.12 为保证教学使用效果，要求云管理软件和云课堂互动管理系统为同一品牌。</w:t>
            </w:r>
          </w:p>
          <w:p>
            <w:pPr>
              <w:pStyle w:val="null3"/>
              <w:ind w:firstLine="482"/>
            </w:pPr>
            <w:r>
              <w:rPr>
                <w:rFonts w:ascii="仿宋_GB2312" w:hAnsi="仿宋_GB2312" w:cs="仿宋_GB2312" w:eastAsia="仿宋_GB2312"/>
                <w:sz w:val="24"/>
                <w:b/>
                <w:color w:val="0000FF"/>
              </w:rPr>
              <w:t>（三）网络通信设备及配件</w:t>
            </w:r>
          </w:p>
          <w:p>
            <w:pPr>
              <w:pStyle w:val="null3"/>
              <w:ind w:firstLine="480"/>
            </w:pPr>
            <w:r>
              <w:rPr>
                <w:rFonts w:ascii="仿宋_GB2312" w:hAnsi="仿宋_GB2312" w:cs="仿宋_GB2312" w:eastAsia="仿宋_GB2312"/>
                <w:sz w:val="24"/>
                <w:color w:val="0000FF"/>
              </w:rPr>
              <w:t>1.网络汇聚节点1个</w:t>
            </w:r>
          </w:p>
          <w:p>
            <w:pPr>
              <w:pStyle w:val="null3"/>
              <w:ind w:firstLine="480"/>
            </w:pPr>
            <w:r>
              <w:rPr>
                <w:rFonts w:ascii="仿宋_GB2312" w:hAnsi="仿宋_GB2312" w:cs="仿宋_GB2312" w:eastAsia="仿宋_GB2312"/>
                <w:sz w:val="24"/>
                <w:color w:val="0000FF"/>
              </w:rPr>
              <w:t>▲1.1要求配置不少于24个下行高速端口，端口速率不低于10G；</w:t>
            </w:r>
          </w:p>
          <w:p>
            <w:pPr>
              <w:pStyle w:val="null3"/>
              <w:ind w:firstLine="480"/>
            </w:pPr>
            <w:r>
              <w:rPr>
                <w:rFonts w:ascii="仿宋_GB2312" w:hAnsi="仿宋_GB2312" w:cs="仿宋_GB2312" w:eastAsia="仿宋_GB2312"/>
                <w:sz w:val="24"/>
                <w:color w:val="0000FF"/>
              </w:rPr>
              <w:t>1.2上行不少于4个高速端口，速率不低于40G；</w:t>
            </w:r>
          </w:p>
          <w:p>
            <w:pPr>
              <w:pStyle w:val="null3"/>
              <w:ind w:firstLine="480"/>
            </w:pPr>
            <w:r>
              <w:rPr>
                <w:rFonts w:ascii="仿宋_GB2312" w:hAnsi="仿宋_GB2312" w:cs="仿宋_GB2312" w:eastAsia="仿宋_GB2312"/>
                <w:sz w:val="24"/>
                <w:color w:val="0000FF"/>
              </w:rPr>
              <w:t>1.3整个节点交换容量不低于2Tbps，包转发率不低于900Mpps，支持常见的VLAN、OSPF V3、ISIS、BGP、QoS等协议，支持Web管理；</w:t>
            </w:r>
          </w:p>
          <w:p>
            <w:pPr>
              <w:pStyle w:val="null3"/>
              <w:ind w:firstLine="480"/>
            </w:pPr>
            <w:r>
              <w:rPr>
                <w:rFonts w:ascii="仿宋_GB2312" w:hAnsi="仿宋_GB2312" w:cs="仿宋_GB2312" w:eastAsia="仿宋_GB2312"/>
                <w:sz w:val="24"/>
                <w:color w:val="0000FF"/>
              </w:rPr>
              <w:t>1.4节点需配置不少于4个多模万兆光模块。</w:t>
            </w:r>
          </w:p>
          <w:p>
            <w:pPr>
              <w:pStyle w:val="null3"/>
              <w:ind w:firstLine="480"/>
            </w:pPr>
            <w:r>
              <w:rPr>
                <w:rFonts w:ascii="仿宋_GB2312" w:hAnsi="仿宋_GB2312" w:cs="仿宋_GB2312" w:eastAsia="仿宋_GB2312"/>
                <w:sz w:val="24"/>
                <w:color w:val="0000FF"/>
              </w:rPr>
              <w:t>2.接入节点1个</w:t>
            </w:r>
          </w:p>
          <w:p>
            <w:pPr>
              <w:pStyle w:val="null3"/>
              <w:ind w:firstLine="480"/>
            </w:pPr>
            <w:r>
              <w:rPr>
                <w:rFonts w:ascii="仿宋_GB2312" w:hAnsi="仿宋_GB2312" w:cs="仿宋_GB2312" w:eastAsia="仿宋_GB2312"/>
                <w:sz w:val="24"/>
                <w:color w:val="0000FF"/>
              </w:rPr>
              <w:t>2.1要求配置不少于48个下行端口，每个端口速率不低于1G；</w:t>
            </w:r>
          </w:p>
          <w:p>
            <w:pPr>
              <w:pStyle w:val="null3"/>
              <w:ind w:firstLine="480"/>
            </w:pPr>
            <w:r>
              <w:rPr>
                <w:rFonts w:ascii="仿宋_GB2312" w:hAnsi="仿宋_GB2312" w:cs="仿宋_GB2312" w:eastAsia="仿宋_GB2312"/>
                <w:sz w:val="24"/>
                <w:color w:val="0000FF"/>
              </w:rPr>
              <w:t>2.2上行不少于2个高速端口，速率不低于10G；</w:t>
            </w:r>
          </w:p>
          <w:p>
            <w:pPr>
              <w:pStyle w:val="null3"/>
              <w:ind w:firstLine="480"/>
            </w:pPr>
            <w:r>
              <w:rPr>
                <w:rFonts w:ascii="仿宋_GB2312" w:hAnsi="仿宋_GB2312" w:cs="仿宋_GB2312" w:eastAsia="仿宋_GB2312"/>
                <w:sz w:val="24"/>
                <w:color w:val="0000FF"/>
              </w:rPr>
              <w:t>2.3整个节点设备交换容量不低于630Gbps，包转发率不低于100Mpps，支持Web管理。</w:t>
            </w:r>
          </w:p>
          <w:p>
            <w:pPr>
              <w:pStyle w:val="null3"/>
              <w:ind w:firstLine="480"/>
            </w:pPr>
            <w:r>
              <w:rPr>
                <w:rFonts w:ascii="仿宋_GB2312" w:hAnsi="仿宋_GB2312" w:cs="仿宋_GB2312" w:eastAsia="仿宋_GB2312"/>
                <w:sz w:val="24"/>
                <w:color w:val="0000FF"/>
              </w:rPr>
              <w:t>3.其他设备1套</w:t>
            </w:r>
          </w:p>
          <w:p>
            <w:pPr>
              <w:pStyle w:val="null3"/>
              <w:ind w:firstLine="480"/>
            </w:pPr>
            <w:r>
              <w:rPr>
                <w:rFonts w:ascii="仿宋_GB2312" w:hAnsi="仿宋_GB2312" w:cs="仿宋_GB2312" w:eastAsia="仿宋_GB2312"/>
                <w:sz w:val="24"/>
                <w:color w:val="0000FF"/>
              </w:rPr>
              <w:t>不少于</w:t>
            </w:r>
            <w:r>
              <w:rPr>
                <w:rFonts w:ascii="仿宋_GB2312" w:hAnsi="仿宋_GB2312" w:cs="仿宋_GB2312" w:eastAsia="仿宋_GB2312"/>
                <w:sz w:val="24"/>
                <w:color w:val="0000FF"/>
              </w:rPr>
              <w:t>1套标准容量机柜，尺寸不小于600mm*800mm*2000mm，配置10A PDU供电单元，支持不少于8个设备接入，功率不低于4000W；散热单元不少于2个。开发终端和接入节点之间使用六类双绞线。</w:t>
            </w:r>
          </w:p>
          <w:p>
            <w:pPr>
              <w:pStyle w:val="null3"/>
              <w:ind w:firstLine="482"/>
            </w:pPr>
            <w:r>
              <w:rPr>
                <w:rFonts w:ascii="仿宋_GB2312" w:hAnsi="仿宋_GB2312" w:cs="仿宋_GB2312" w:eastAsia="仿宋_GB2312"/>
                <w:sz w:val="24"/>
                <w:b/>
                <w:color w:val="0000FF"/>
              </w:rPr>
              <w:t>（四）教学案例</w:t>
            </w:r>
          </w:p>
          <w:p>
            <w:pPr>
              <w:pStyle w:val="null3"/>
              <w:ind w:firstLine="480"/>
            </w:pPr>
            <w:r>
              <w:rPr>
                <w:rFonts w:ascii="仿宋_GB2312" w:hAnsi="仿宋_GB2312" w:cs="仿宋_GB2312" w:eastAsia="仿宋_GB2312"/>
                <w:sz w:val="24"/>
                <w:color w:val="0000FF"/>
              </w:rPr>
              <w:t>本课程需以</w:t>
            </w:r>
            <w:r>
              <w:rPr>
                <w:rFonts w:ascii="仿宋_GB2312" w:hAnsi="仿宋_GB2312" w:cs="仿宋_GB2312" w:eastAsia="仿宋_GB2312"/>
                <w:sz w:val="24"/>
                <w:color w:val="0000FF"/>
              </w:rPr>
              <w:t>MindSpore深度学习框架为核心，结合计算机视觉、自然语言处理及科学计算等领域的典型应用场景，设计一系列从基础到进阶的实践实验。课程涵盖MindSpore环境搭建、经典模型开发、工业级应用及AI4S前沿技术。帮助学员快速掌握MindSpore框架的核心能力，并具备解决实际问题的工程化思维。</w:t>
            </w:r>
          </w:p>
          <w:p>
            <w:pPr>
              <w:pStyle w:val="null3"/>
              <w:ind w:firstLine="480"/>
            </w:pPr>
            <w:r>
              <w:rPr>
                <w:rFonts w:ascii="仿宋_GB2312" w:hAnsi="仿宋_GB2312" w:cs="仿宋_GB2312" w:eastAsia="仿宋_GB2312"/>
                <w:sz w:val="24"/>
                <w:color w:val="0000FF"/>
              </w:rPr>
              <w:t>1.实验内容需包括：MindSpore环境搭建、基于Mindyolo的车辆类型识别、基于MindSpore的车牌识别与OCR、基于LeNet网络数字分类识别、图像识别接口开发、基于RNN的情感分类、偏微分方程求解、MindSpore Flow流体仿真领域套件应用、MindSpore Quantum量子计算领域套件应用。</w:t>
            </w:r>
          </w:p>
          <w:p>
            <w:pPr>
              <w:pStyle w:val="null3"/>
              <w:ind w:firstLine="480"/>
            </w:pPr>
            <w:r>
              <w:rPr>
                <w:rFonts w:ascii="仿宋_GB2312" w:hAnsi="仿宋_GB2312" w:cs="仿宋_GB2312" w:eastAsia="仿宋_GB2312"/>
                <w:sz w:val="24"/>
                <w:color w:val="0000FF"/>
              </w:rPr>
              <w:t>2.课程资源要求：需提供实验指导手册。</w:t>
            </w:r>
          </w:p>
          <w:p>
            <w:pPr>
              <w:pStyle w:val="null3"/>
              <w:outlineLvl w:val="2"/>
            </w:pPr>
            <w:r>
              <w:rPr>
                <w:rFonts w:ascii="仿宋_GB2312" w:hAnsi="仿宋_GB2312" w:cs="仿宋_GB2312" w:eastAsia="仿宋_GB2312"/>
                <w:sz w:val="24"/>
                <w:b/>
                <w:color w:val="0000FF"/>
                <w:shd w:fill="FFFFFF" w:val="clear"/>
              </w:rPr>
              <w:t>（五）其他要求</w:t>
            </w:r>
          </w:p>
          <w:p>
            <w:pPr>
              <w:pStyle w:val="null3"/>
              <w:ind w:firstLine="480"/>
            </w:pPr>
            <w:r>
              <w:rPr>
                <w:rFonts w:ascii="仿宋_GB2312" w:hAnsi="仿宋_GB2312" w:cs="仿宋_GB2312" w:eastAsia="仿宋_GB2312"/>
                <w:sz w:val="24"/>
                <w:color w:val="0000FF"/>
              </w:rPr>
              <w:t>1.供应商</w:t>
            </w:r>
            <w:r>
              <w:rPr>
                <w:rFonts w:ascii="仿宋_GB2312" w:hAnsi="仿宋_GB2312" w:cs="仿宋_GB2312" w:eastAsia="仿宋_GB2312"/>
                <w:sz w:val="24"/>
                <w:color w:val="0000FF"/>
              </w:rPr>
              <w:t>投标时需提供讲师身份证明文件、学历证明文件</w:t>
            </w:r>
            <w:r>
              <w:rPr>
                <w:rFonts w:ascii="仿宋_GB2312" w:hAnsi="仿宋_GB2312" w:cs="仿宋_GB2312" w:eastAsia="仿宋_GB2312"/>
                <w:sz w:val="24"/>
                <w:color w:val="0000FF"/>
              </w:rPr>
              <w:t>及供应商</w:t>
            </w:r>
            <w:r>
              <w:rPr>
                <w:rFonts w:ascii="仿宋_GB2312" w:hAnsi="仿宋_GB2312" w:cs="仿宋_GB2312" w:eastAsia="仿宋_GB2312"/>
                <w:sz w:val="24"/>
                <w:color w:val="0000FF"/>
              </w:rPr>
              <w:t>2026年最近三个月为其缴纳社保的证明材料、系统集成项目管理工程师（中级）资格证书或更高级别的专业技术资格认证证书扫描件；</w:t>
            </w:r>
          </w:p>
          <w:p>
            <w:pPr>
              <w:pStyle w:val="null3"/>
              <w:outlineLvl w:val="2"/>
            </w:pPr>
            <w:r>
              <w:rPr>
                <w:rFonts w:ascii="仿宋_GB2312" w:hAnsi="仿宋_GB2312" w:cs="仿宋_GB2312" w:eastAsia="仿宋_GB2312"/>
                <w:sz w:val="24"/>
                <w:b/>
                <w:color w:val="0000FF"/>
                <w:shd w:fill="FFFFFF" w:val="clear"/>
              </w:rPr>
              <w:t>2.成交供应商需在成交后3个工作日内前往采购人指定地点进行软件产品的功能演示，以确认产品功能的符合性。</w:t>
            </w:r>
            <w:r>
              <w:rPr>
                <w:rFonts w:ascii="仿宋_GB2312" w:hAnsi="仿宋_GB2312" w:cs="仿宋_GB2312" w:eastAsia="仿宋_GB2312"/>
                <w:sz w:val="24"/>
                <w:b/>
                <w:color w:val="0000FF"/>
                <w:shd w:fill="FFFFFF" w:val="clear"/>
              </w:rPr>
              <w:t>（提供承诺函，格式自拟）</w:t>
            </w:r>
          </w:p>
          <w:p>
            <w:pPr>
              <w:pStyle w:val="null3"/>
              <w:outlineLvl w:val="2"/>
            </w:pPr>
            <w:r>
              <w:rPr>
                <w:rFonts w:ascii="仿宋_GB2312" w:hAnsi="仿宋_GB2312" w:cs="仿宋_GB2312" w:eastAsia="仿宋_GB2312"/>
                <w:sz w:val="24"/>
                <w:b/>
                <w:color w:val="0000FF"/>
                <w:shd w:fill="FFFFFF" w:val="clear"/>
              </w:rPr>
              <w:t>备注：各供应商拟投的产品参数必须全部满足本项目采购需求中的技术参数，否则视为未实质性响应。其中标记</w:t>
            </w:r>
            <w:r>
              <w:rPr>
                <w:rFonts w:ascii="仿宋_GB2312" w:hAnsi="仿宋_GB2312" w:cs="仿宋_GB2312" w:eastAsia="仿宋_GB2312"/>
                <w:sz w:val="24"/>
                <w:b/>
                <w:color w:val="0000FF"/>
                <w:shd w:fill="FFFFFF" w:val="clear"/>
              </w:rPr>
              <w:t>“▲”项的技术参数必须提供佐证材料，佐证材料包括产品彩页或技术白皮书或官网截图等供应商认为可以佐证参数响应性的材料，未提供或提供不全的视为未实质响应。</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自合同签订之日起90个自然日内供货，并完成相关软硬件产品的运输、安装、调试、试运行。</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其他，验收合格后，成交供应商开具全额增值税专用发票，达到付款条件起30个工作日内，支付合同总金额的100.0%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1.采购人使用单位初验合格后提出验收申请，学校相关部门根据使用单位 技术验收结果，组织有关专家进行货物的最终验收。 2.其他要求详见合同文本。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1.质量保证期：自验收合格之日起3年，所有硬件提供3年质保保修、所有软件3年保修升级服务。 2.售后服务响应时间及维护承诺：成交供应商需提供7×12小时远程技术服务。成交供应商在接到采购人电话报修后，应在1小时内进行远程技术响应服务；如远程技术服务无法解决问题的，成交供应商需派遣技术工程师在8小时内抵达现场、24小时内完成问题的解决；如24小时内仍无法解决的，成交供应商需在48小时内提供备用件、备用设备或备用系统，保障我单位教学活动的正常进行，直至故障问题完全修复或解决。 3.培训要求 成交供应商须根据采购人要求提供系统培训服务，包括但不限于：组织不少于两轮的集中培训，培训须覆盖全部指定参训人员，直至所有应到会人员实际到场参训完毕为止。</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保证金注意事项：（1）谈判保证金须从供应商户名支付，如从个人户名或非供应商户名支付，将被拒绝，视为自动放弃投标权利（该个人是供应商的情形除外）；谈判保证金缴纳时间：开标时间之前；以保函形式交纳谈判保证金的，供应商应在投标截止时间前将保函扫描成清晰的PDF文件，发送至邮箱2973608682@qq.com（邮件命名：项目名称+项目编号+采购包名称）；供应商应在响应文件中附保函复印件。保函必须由具有开具投标保函资格的单位开具；若供应商违约，开具保函单位承担连带责任；（2）谈判保证金的提交金额、时间不满足采购文件要求的，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具体内容及要求以“第六章 谈判办法 6.4.2评分标准”为准。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响应报价是否超过竞争性谈判文件中规定的预算金额或者最高限价</w:t>
            </w:r>
          </w:p>
        </w:tc>
        <w:tc>
          <w:tcPr>
            <w:tcW w:type="dxa" w:w="3322"/>
          </w:tcPr>
          <w:p>
            <w:pPr>
              <w:pStyle w:val="null3"/>
            </w:pPr>
            <w:r>
              <w:rPr>
                <w:rFonts w:ascii="仿宋_GB2312" w:hAnsi="仿宋_GB2312" w:cs="仿宋_GB2312" w:eastAsia="仿宋_GB2312"/>
              </w:rPr>
              <w:t>每轮响应报价未超过竞争性谈判文件中规定的预算金额或者最高限价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响应文件是否按照招标文件要求签署、盖章</w:t>
            </w:r>
          </w:p>
        </w:tc>
        <w:tc>
          <w:tcPr>
            <w:tcW w:type="dxa" w:w="3322"/>
          </w:tcPr>
          <w:p>
            <w:pPr>
              <w:pStyle w:val="null3"/>
            </w:pPr>
            <w:r>
              <w:rPr>
                <w:rFonts w:ascii="仿宋_GB2312" w:hAnsi="仿宋_GB2312" w:cs="仿宋_GB2312" w:eastAsia="仿宋_GB2312"/>
              </w:rPr>
              <w:t>响应文件须按照竞争性谈判文件要求签署、盖章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法定代表人证明书及授权书.docx 商务应答表 标的清单 报价表 实施方案.docx 资格证明材料.docx 响应函 技术条款响应偏离表.docx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法定代表人证明书及授权书.docx 商务应答表 标的清单 报价表 实施方案.docx 资格证明材料.docx 响应函 技术条款响应偏离表.docx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响应文件是否响应本项目商务要求及服务内容及要求中的标记“▲”条款</w:t>
            </w:r>
          </w:p>
        </w:tc>
        <w:tc>
          <w:tcPr>
            <w:tcW w:type="dxa" w:w="3322"/>
          </w:tcPr>
          <w:p>
            <w:pPr>
              <w:pStyle w:val="null3"/>
            </w:pPr>
            <w:r>
              <w:rPr>
                <w:rFonts w:ascii="仿宋_GB2312" w:hAnsi="仿宋_GB2312" w:cs="仿宋_GB2312" w:eastAsia="仿宋_GB2312"/>
              </w:rPr>
              <w:t>响应文件完全响应本项目商务要求及采购内容及采购内容要求中的标记“▲”条款</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竞争性谈判会议的，应出具法定代表人证明书。法定代表人授权合法授权代表参加开标会议的，应出具法定代表人证明书、法定代表人授权书，同时提供截至响应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