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版本号：YXZB-2026-081320260813001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建筑外立面及地下配电室改造项目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YXZB-2026-0813</w:t>
      </w:r>
      <w:r>
        <w:br/>
      </w:r>
      <w:r>
        <w:br/>
      </w:r>
      <w:r>
        <w:br/>
      </w:r>
    </w:p>
    <w:p>
      <w:pPr>
        <w:pStyle w:val="null3"/>
        <w:jc w:val="center"/>
        <w:outlineLvl w:val="2"/>
      </w:pPr>
      <w:r>
        <w:rPr>
          <w:rFonts w:ascii="仿宋_GB2312" w:hAnsi="仿宋_GB2312" w:cs="仿宋_GB2312" w:eastAsia="仿宋_GB2312"/>
          <w:sz w:val="28"/>
          <w:b/>
        </w:rPr>
        <w:t>西安高新区第七初级中学</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西安高新区第七初级中学</w:t>
      </w:r>
      <w:r>
        <w:rPr>
          <w:rFonts w:ascii="仿宋_GB2312" w:hAnsi="仿宋_GB2312" w:cs="仿宋_GB2312" w:eastAsia="仿宋_GB2312"/>
        </w:rPr>
        <w:t>委托，拟对</w:t>
      </w:r>
      <w:r>
        <w:rPr>
          <w:rFonts w:ascii="仿宋_GB2312" w:hAnsi="仿宋_GB2312" w:cs="仿宋_GB2312" w:eastAsia="仿宋_GB2312"/>
        </w:rPr>
        <w:t>建筑外立面及地下配电室改造项目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YXZB-2026-0813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建筑外立面及地下配电室改造项目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筑外立面改造：1.建筑外立面局部有起皮、脱落的铲除原有面层至保温层，新做真石漆面层;2.建筑外立面局部保温有脱落的铲除原有面层至外墙基层，新做保温真石漆外墙面;3.拆除风雨操场屋面一圈造型处轻质石膏墙，新做轻钢龙骨防水背衬板墙体，外喷涂真石漆。 配电室改造：1.配电室更换高压变压器;2.维修电缆地沟漏水;3.更换配电室灭火器并设置警戒带;4.维修备用发电机。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采购包1（建筑外立面改造）：属于专门面向中小企业采购。</w:t>
      </w:r>
    </w:p>
    <w:p>
      <w:pPr>
        <w:pStyle w:val="null3"/>
      </w:pPr>
      <w:r>
        <w:rPr>
          <w:rFonts w:ascii="仿宋_GB2312" w:hAnsi="仿宋_GB2312" w:cs="仿宋_GB2312" w:eastAsia="仿宋_GB2312"/>
        </w:rPr>
        <w:t>采购包2（配电室改造）：属于专门面向中小企业采购。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pPr>
        <w:pStyle w:val="null3"/>
      </w:pPr>
      <w:r>
        <w:rPr>
          <w:rFonts w:ascii="仿宋_GB2312" w:hAnsi="仿宋_GB2312" w:cs="仿宋_GB2312" w:eastAsia="仿宋_GB2312"/>
        </w:rPr>
        <w:t>3、税收缴纳证明：提供投标截止时间前6个月内至少一个月的纳税证明或完税证明（任意税种），依法免税的单位应提供相关证明材料。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8、企业资质：供应商具备建设行政主管部门核发的建筑工程施工总承包三级及以上资质；且具备合格有效的安全生产许可证。</w:t>
      </w:r>
    </w:p>
    <w:p>
      <w:pPr>
        <w:pStyle w:val="null3"/>
      </w:pPr>
      <w:r>
        <w:rPr>
          <w:rFonts w:ascii="仿宋_GB2312" w:hAnsi="仿宋_GB2312" w:cs="仿宋_GB2312" w:eastAsia="仿宋_GB2312"/>
        </w:rPr>
        <w:t>9、项目经理：拟派项目经理须具有建筑工程专业二级及以上注册建造师资格，且在本单位注册，且具有有效的安全生产考核合格证（建安B证），且未担任其它在施建设工程的项目经理并无不良记录（提供无在建工程、无不良记录承诺书）。</w:t>
      </w:r>
    </w:p>
    <w:p>
      <w:pPr>
        <w:pStyle w:val="null3"/>
      </w:pPr>
      <w:r>
        <w:rPr>
          <w:rFonts w:ascii="仿宋_GB2312" w:hAnsi="仿宋_GB2312" w:cs="仿宋_GB2312" w:eastAsia="仿宋_GB2312"/>
        </w:rPr>
        <w:t>10、供应商基本信息及项目经理基本信息查询：供应商基本信息及项目经理基本信息应在“陕西省建筑市场监管与诚信信息发布平台”可查询。</w:t>
      </w:r>
    </w:p>
    <w:p>
      <w:pPr>
        <w:pStyle w:val="null3"/>
      </w:pPr>
      <w:r>
        <w:rPr>
          <w:rFonts w:ascii="仿宋_GB2312" w:hAnsi="仿宋_GB2312" w:cs="仿宋_GB2312" w:eastAsia="仿宋_GB2312"/>
        </w:rPr>
        <w:t>11、信用记录：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13、其他：为本项目提供过整体设计、规范编制或者项目管理、监理、检测等服务的供应商，不得再参加本项目采购活动。</w:t>
      </w:r>
    </w:p>
    <w:p>
      <w:pPr>
        <w:pStyle w:val="null3"/>
      </w:pPr>
      <w:r>
        <w:rPr>
          <w:rFonts w:ascii="仿宋_GB2312" w:hAnsi="仿宋_GB2312" w:cs="仿宋_GB2312" w:eastAsia="仿宋_GB2312"/>
        </w:rPr>
        <w:t>14、联合体：本项目不接受联合体磋商。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pPr>
        <w:pStyle w:val="null3"/>
      </w:pPr>
      <w:r>
        <w:rPr>
          <w:rFonts w:ascii="仿宋_GB2312" w:hAnsi="仿宋_GB2312" w:cs="仿宋_GB2312" w:eastAsia="仿宋_GB2312"/>
        </w:rPr>
        <w:t>3、税收缴纳证明：提供投标截止时间前6个月内至少一个月的纳税证明或完税证明（任意税种），依法免税的单位应提供相关证明材料。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8、企业资质：1.供应商具备建设行政主管部门核发的电力工程施工总承包三级及以上资质或输变电工程专业承包二级及以上资质；且具备合格有效的安全生产许可证；2.具备国家电力监管部门颁发的《承装（修、试）电力设施许可证》：承装类三级及以上、承修类三级及以上、承试类三级及以上；</w:t>
      </w:r>
    </w:p>
    <w:p>
      <w:pPr>
        <w:pStyle w:val="null3"/>
      </w:pPr>
      <w:r>
        <w:rPr>
          <w:rFonts w:ascii="仿宋_GB2312" w:hAnsi="仿宋_GB2312" w:cs="仿宋_GB2312" w:eastAsia="仿宋_GB2312"/>
        </w:rPr>
        <w:t>9、项目经理：拟派项目经理须具有机电工程专业二级及以上注册建造师资格，且在本单位注册，且具有有效的安全生产考核合格证（建安B证），且未担任其它在施建设工程的项目经理并无不良记录（提供无在建工程、无不良记录承诺书）。</w:t>
      </w:r>
    </w:p>
    <w:p>
      <w:pPr>
        <w:pStyle w:val="null3"/>
      </w:pPr>
      <w:r>
        <w:rPr>
          <w:rFonts w:ascii="仿宋_GB2312" w:hAnsi="仿宋_GB2312" w:cs="仿宋_GB2312" w:eastAsia="仿宋_GB2312"/>
        </w:rPr>
        <w:t>10、供应商基本信息及项目经理基本信息查询：供应商基本信息及项目经理基本信息应在“陕西省建筑市场监管与诚信信息发布平台”可查询。</w:t>
      </w:r>
    </w:p>
    <w:p>
      <w:pPr>
        <w:pStyle w:val="null3"/>
      </w:pPr>
      <w:r>
        <w:rPr>
          <w:rFonts w:ascii="仿宋_GB2312" w:hAnsi="仿宋_GB2312" w:cs="仿宋_GB2312" w:eastAsia="仿宋_GB2312"/>
        </w:rPr>
        <w:t>11、信用记录：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pPr>
        <w:pStyle w:val="null3"/>
      </w:pPr>
      <w:r>
        <w:rPr>
          <w:rFonts w:ascii="仿宋_GB2312" w:hAnsi="仿宋_GB2312" w:cs="仿宋_GB2312" w:eastAsia="仿宋_GB2312"/>
        </w:rPr>
        <w:t>12、控股管理关系：单位负责人为同一人或者存在直接控股、管理关系的供应商，不得参加同一合同下的政府采购活动。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13、其他：为本项目提供过整体设计、规范编制或者项目管理、监理、检测等服务的供应商，不得再参加本项目采购活动。</w:t>
      </w:r>
    </w:p>
    <w:p>
      <w:pPr>
        <w:pStyle w:val="null3"/>
      </w:pPr>
      <w:r>
        <w:rPr>
          <w:rFonts w:ascii="仿宋_GB2312" w:hAnsi="仿宋_GB2312" w:cs="仿宋_GB2312" w:eastAsia="仿宋_GB2312"/>
        </w:rPr>
        <w:t>14、联合体：本项目不接受联合体磋商。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西安高新区第七初级中学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西安高新技术产业开发区灵韵二路与灵秀一路西北角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029-89250371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陕西省西安市⾼新区丈⼋⼀路泰维智链中⼼1期B栋2楼202室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029-81109103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采购包1：1,237,215.62元</w:t>
            </w:r>
          </w:p>
          <w:p>
            <w:pPr>
              <w:pStyle w:val="null3"/>
            </w:pPr>
            <w:r>
              <w:rPr>
                <w:rFonts w:ascii="仿宋_GB2312" w:hAnsi="仿宋_GB2312" w:cs="仿宋_GB2312" w:eastAsia="仿宋_GB2312"/>
              </w:rPr>
              <w:t>采购包2：638,866.48元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考国家计委颁布的《招标代理服务收费管理暂行办法》（计价格[2002]1980号）和（发改办价格[2003]857号）文收费标准计取，此服务费应计入磋商报价中，但不需要单独开列。不足5000.00元，按5000.00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西安高新区第七初级中学</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西安高新区第七初级中学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西安高新区第七初级中学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（一）质量验收标准或规范 1、国家现行有关法律、法规、环保和技术指标； 2、本项目施工合同； 3、经批准的设计文件及工程变更文件； 4、有关政府部门的规定。 （二）验收依据 1、合同、磋商文件、磋商响应文件及承诺。 2、国家相关标准、规范及有关技术文件。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（一）质量验收标准或规范 1、国家现行有关法律、法规、环保和技术指标； 2、本项目施工合同； 3、经批准的设计文件及工程变更文件； 4、有关政府部门的规定。 （二）验收依据 1、合同、磋商文件、磋商响应文件及承诺。 2、国家相关标准、规范及有关技术文件。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联系人：孙工</w:t>
      </w:r>
    </w:p>
    <w:p>
      <w:pPr>
        <w:pStyle w:val="null3"/>
      </w:pPr>
      <w:r>
        <w:rPr>
          <w:rFonts w:ascii="仿宋_GB2312" w:hAnsi="仿宋_GB2312" w:cs="仿宋_GB2312" w:eastAsia="仿宋_GB2312"/>
        </w:rPr>
        <w:t>联系电话：029-81109103</w:t>
      </w:r>
    </w:p>
    <w:p>
      <w:pPr>
        <w:pStyle w:val="null3"/>
      </w:pPr>
      <w:r>
        <w:rPr>
          <w:rFonts w:ascii="仿宋_GB2312" w:hAnsi="仿宋_GB2312" w:cs="仿宋_GB2312" w:eastAsia="仿宋_GB2312"/>
        </w:rPr>
        <w:t>地址：陕西省西安市⾼新区丈⼋⼀路泰维智链中⼼1期B栋2楼202室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1,237,215.62</w:t>
      </w:r>
    </w:p>
    <w:p>
      <w:pPr>
        <w:pStyle w:val="null3"/>
      </w:pPr>
      <w:r>
        <w:rPr>
          <w:rFonts w:ascii="仿宋_GB2312" w:hAnsi="仿宋_GB2312" w:cs="仿宋_GB2312" w:eastAsia="仿宋_GB2312"/>
        </w:rPr>
        <w:t>采购包最高限价（元）: 1,237,215.62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建筑外立面改造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1,237,215.62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638,866.48</w:t>
      </w:r>
    </w:p>
    <w:p>
      <w:pPr>
        <w:pStyle w:val="null3"/>
      </w:pPr>
      <w:r>
        <w:rPr>
          <w:rFonts w:ascii="仿宋_GB2312" w:hAnsi="仿宋_GB2312" w:cs="仿宋_GB2312" w:eastAsia="仿宋_GB2312"/>
        </w:rPr>
        <w:t>采购包最高限价（元）: 638,866.48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配电室改造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638,866.48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标的名称：建筑外立面改造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建筑外立面改造：</w:t>
            </w:r>
          </w:p>
          <w:p>
            <w:pPr>
              <w:pStyle w:val="null3"/>
            </w:pPr>
            <w:r>
              <w:rPr>
                <w:rFonts w:ascii="仿宋_GB2312" w:hAnsi="仿宋_GB2312" w:cs="仿宋_GB2312" w:eastAsia="仿宋_GB2312"/>
              </w:rPr>
              <w:t>1.建筑外立面局部有起皮、脱落的铲除原有面层至保温层，新做真石漆面层；</w:t>
            </w:r>
          </w:p>
          <w:p>
            <w:pPr>
              <w:pStyle w:val="null3"/>
            </w:pPr>
            <w:r>
              <w:rPr>
                <w:rFonts w:ascii="仿宋_GB2312" w:hAnsi="仿宋_GB2312" w:cs="仿宋_GB2312" w:eastAsia="仿宋_GB2312"/>
              </w:rPr>
              <w:t>2.建筑外立面局部保温有脱落的铲除原有面层至外墙基层，新做保温真石漆外墙面；</w:t>
            </w:r>
          </w:p>
          <w:p>
            <w:pPr>
              <w:pStyle w:val="null3"/>
            </w:pPr>
            <w:r>
              <w:rPr>
                <w:rFonts w:ascii="仿宋_GB2312" w:hAnsi="仿宋_GB2312" w:cs="仿宋_GB2312" w:eastAsia="仿宋_GB2312"/>
              </w:rPr>
              <w:t>3.拆除风雨操场屋面一圈造型处轻质石膏墙，新做轻钢龙骨防水背衬板墙体，外喷涂真石漆。</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1.工期：自合同签订之日起20日历天；</w:t>
            </w:r>
          </w:p>
          <w:p>
            <w:pPr>
              <w:pStyle w:val="null3"/>
            </w:pPr>
            <w:r>
              <w:rPr>
                <w:rFonts w:ascii="仿宋_GB2312" w:hAnsi="仿宋_GB2312" w:cs="仿宋_GB2312" w:eastAsia="仿宋_GB2312"/>
              </w:rPr>
              <w:t>2.质保期：自竣工验收合格之日起1年；</w:t>
            </w:r>
          </w:p>
          <w:p>
            <w:pPr>
              <w:pStyle w:val="null3"/>
            </w:pPr>
            <w:r>
              <w:rPr>
                <w:rFonts w:ascii="仿宋_GB2312" w:hAnsi="仿宋_GB2312" w:cs="仿宋_GB2312" w:eastAsia="仿宋_GB2312"/>
              </w:rPr>
              <w:t>3.缺陷责任期：自竣工验收合格之日起1年；</w:t>
            </w:r>
          </w:p>
          <w:p>
            <w:pPr>
              <w:pStyle w:val="null3"/>
            </w:pPr>
            <w:r>
              <w:rPr>
                <w:rFonts w:ascii="仿宋_GB2312" w:hAnsi="仿宋_GB2312" w:cs="仿宋_GB2312" w:eastAsia="仿宋_GB2312"/>
              </w:rPr>
              <w:t>4.质量标准：符合国家现行有关施工质量验收规范“合格”标准。</w:t>
            </w:r>
          </w:p>
          <w:p>
            <w:pPr>
              <w:pStyle w:val="null3"/>
            </w:pPr>
            <w:r>
              <w:rPr>
                <w:rFonts w:ascii="仿宋_GB2312" w:hAnsi="仿宋_GB2312" w:cs="仿宋_GB2312" w:eastAsia="仿宋_GB2312"/>
              </w:rPr>
              <w:t>5.付款方式：1、甲方对乙方已完成且验收合格工程量进行核算，在达到付款条件的30个工作日内，进度款支付至核定已完工程量的80%。因专项资金尚未下达导致资金未到位的，甲方可顺延支付进度款； 2、项目按照合同约定条件全部竣工验收合格，并完成结算审计后，依据市资金指标到位情况，在达到付款条件的30个工作日内支付至审定结算总价款的100%； 3、具体支付方式以合同约定为准。</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1.设计图纸；</w:t>
            </w:r>
          </w:p>
          <w:p>
            <w:pPr>
              <w:pStyle w:val="null3"/>
            </w:pPr>
            <w:r>
              <w:rPr>
                <w:rFonts w:ascii="仿宋_GB2312" w:hAnsi="仿宋_GB2312" w:cs="仿宋_GB2312" w:eastAsia="仿宋_GB2312"/>
              </w:rPr>
              <w:t>2.《陕西省建设工程费用规则》（2025）；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4.《陕西省房屋建筑与装饰工程消耗量定额》（2025）；</w:t>
            </w:r>
          </w:p>
          <w:p>
            <w:pPr>
              <w:pStyle w:val="null3"/>
            </w:pPr>
            <w:r>
              <w:rPr>
                <w:rFonts w:ascii="仿宋_GB2312" w:hAnsi="仿宋_GB2312" w:cs="仿宋_GB2312" w:eastAsia="仿宋_GB2312"/>
              </w:rPr>
              <w:t>5.《陕西省建设工程施工机械台班费用定额》（2025）及相关配套文件；</w:t>
            </w:r>
          </w:p>
          <w:p>
            <w:pPr>
              <w:pStyle w:val="null3"/>
            </w:pPr>
            <w:r>
              <w:rPr>
                <w:rFonts w:ascii="仿宋_GB2312" w:hAnsi="仿宋_GB2312" w:cs="仿宋_GB2312" w:eastAsia="仿宋_GB2312"/>
              </w:rPr>
              <w:t>6.建设工程项目有关的标准、规范、图集、技术资料；</w:t>
            </w:r>
          </w:p>
          <w:p>
            <w:pPr>
              <w:pStyle w:val="null3"/>
            </w:pPr>
            <w:r>
              <w:rPr>
                <w:rFonts w:ascii="仿宋_GB2312" w:hAnsi="仿宋_GB2312" w:cs="仿宋_GB2312" w:eastAsia="仿宋_GB2312"/>
              </w:rPr>
              <w:t>7.主要材料价格执行《陕西工程造价管理信息》2026年第五期信息价及市场价。</w:t>
            </w:r>
          </w:p>
          <w:p>
            <w:pPr>
              <w:pStyle w:val="null3"/>
            </w:pPr>
            <w:r>
              <w:rPr>
                <w:rFonts w:ascii="仿宋_GB2312" w:hAnsi="仿宋_GB2312" w:cs="仿宋_GB2312" w:eastAsia="仿宋_GB2312"/>
              </w:rPr>
              <w:t>四、其他</w:t>
            </w:r>
          </w:p>
          <w:p>
            <w:pPr>
              <w:pStyle w:val="null3"/>
            </w:pPr>
            <w:r>
              <w:rPr>
                <w:rFonts w:ascii="仿宋_GB2312" w:hAnsi="仿宋_GB2312" w:cs="仿宋_GB2312" w:eastAsia="仿宋_GB2312"/>
              </w:rPr>
              <w:t>1.版本号：陕西省广联达计价软件GBQ7.7.5000.23.3。</w:t>
            </w:r>
          </w:p>
          <w:p>
            <w:pPr>
              <w:pStyle w:val="null3"/>
            </w:pPr>
            <w:r>
              <w:rPr>
                <w:rFonts w:ascii="仿宋_GB2312" w:hAnsi="仿宋_GB2312" w:cs="仿宋_GB2312" w:eastAsia="仿宋_GB2312"/>
              </w:rPr>
              <w:t>2.在施工期间，中标供应商必须注意人员安全，加强安全措施，并对施工人员进行安全教育。施工人员必须持证上岗。</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标的名称：配电室改造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配电室改造：</w:t>
            </w:r>
          </w:p>
          <w:p>
            <w:pPr>
              <w:pStyle w:val="null3"/>
            </w:pPr>
            <w:r>
              <w:rPr>
                <w:rFonts w:ascii="仿宋_GB2312" w:hAnsi="仿宋_GB2312" w:cs="仿宋_GB2312" w:eastAsia="仿宋_GB2312"/>
              </w:rPr>
              <w:t>1.配电室更换高压变压器;</w:t>
            </w:r>
          </w:p>
          <w:p>
            <w:pPr>
              <w:pStyle w:val="null3"/>
            </w:pPr>
            <w:r>
              <w:rPr>
                <w:rFonts w:ascii="仿宋_GB2312" w:hAnsi="仿宋_GB2312" w:cs="仿宋_GB2312" w:eastAsia="仿宋_GB2312"/>
              </w:rPr>
              <w:t>2.维修电缆地沟漏水;</w:t>
            </w:r>
          </w:p>
          <w:p>
            <w:pPr>
              <w:pStyle w:val="null3"/>
            </w:pPr>
            <w:r>
              <w:rPr>
                <w:rFonts w:ascii="仿宋_GB2312" w:hAnsi="仿宋_GB2312" w:cs="仿宋_GB2312" w:eastAsia="仿宋_GB2312"/>
              </w:rPr>
              <w:t>3.更换配电室灭火器并设置警戒带;</w:t>
            </w:r>
          </w:p>
          <w:p>
            <w:pPr>
              <w:pStyle w:val="null3"/>
            </w:pPr>
            <w:r>
              <w:rPr>
                <w:rFonts w:ascii="仿宋_GB2312" w:hAnsi="仿宋_GB2312" w:cs="仿宋_GB2312" w:eastAsia="仿宋_GB2312"/>
              </w:rPr>
              <w:t>4.维修备用发电机。</w:t>
            </w:r>
          </w:p>
          <w:p>
            <w:pPr>
              <w:pStyle w:val="null3"/>
            </w:pPr>
            <w:r>
              <w:rPr>
                <w:rFonts w:ascii="仿宋_GB2312" w:hAnsi="仿宋_GB2312" w:cs="仿宋_GB2312" w:eastAsia="仿宋_GB2312"/>
              </w:rPr>
              <w:t>二、商务要求</w:t>
            </w:r>
          </w:p>
          <w:p>
            <w:pPr>
              <w:pStyle w:val="null3"/>
            </w:pPr>
            <w:r>
              <w:rPr>
                <w:rFonts w:ascii="仿宋_GB2312" w:hAnsi="仿宋_GB2312" w:cs="仿宋_GB2312" w:eastAsia="仿宋_GB2312"/>
              </w:rPr>
              <w:t>1.工期：自合同签订之日起30日历天；</w:t>
            </w:r>
          </w:p>
          <w:p>
            <w:pPr>
              <w:pStyle w:val="null3"/>
            </w:pPr>
            <w:r>
              <w:rPr>
                <w:rFonts w:ascii="仿宋_GB2312" w:hAnsi="仿宋_GB2312" w:cs="仿宋_GB2312" w:eastAsia="仿宋_GB2312"/>
              </w:rPr>
              <w:t>2.质保期：自竣工验收合格之日起1年；</w:t>
            </w:r>
          </w:p>
          <w:p>
            <w:pPr>
              <w:pStyle w:val="null3"/>
            </w:pPr>
            <w:r>
              <w:rPr>
                <w:rFonts w:ascii="仿宋_GB2312" w:hAnsi="仿宋_GB2312" w:cs="仿宋_GB2312" w:eastAsia="仿宋_GB2312"/>
              </w:rPr>
              <w:t>3.缺陷责任期：自竣工验收合格之日起1年；</w:t>
            </w:r>
          </w:p>
          <w:p>
            <w:pPr>
              <w:pStyle w:val="null3"/>
            </w:pPr>
            <w:r>
              <w:rPr>
                <w:rFonts w:ascii="仿宋_GB2312" w:hAnsi="仿宋_GB2312" w:cs="仿宋_GB2312" w:eastAsia="仿宋_GB2312"/>
              </w:rPr>
              <w:t>4.质量标准：符合国家现行有关施工质量验收规范“合格”标准。</w:t>
            </w:r>
          </w:p>
          <w:p>
            <w:pPr>
              <w:pStyle w:val="null3"/>
            </w:pPr>
            <w:r>
              <w:rPr>
                <w:rFonts w:ascii="仿宋_GB2312" w:hAnsi="仿宋_GB2312" w:cs="仿宋_GB2312" w:eastAsia="仿宋_GB2312"/>
              </w:rPr>
              <w:t>5.付款方式：1、甲方对乙方已完成且验收合格工程量进行核算，在达到付款条件的30个工作日内，进度款支付至核定已完工程量的80%。因专项资金尚未下达导致资金未到位的，甲方可顺延支付进度款； 2、项目按照合同约定条件全部竣工验收合格，并完成结算审计后，依据市资金指标到位情况，在达到付款条件的30个工作日内支付至审定结算总价款的100%； 3、具体支付方式以合同约定为准。</w:t>
            </w:r>
          </w:p>
          <w:p>
            <w:pPr>
              <w:pStyle w:val="null3"/>
            </w:pPr>
            <w:r>
              <w:rPr>
                <w:rFonts w:ascii="仿宋_GB2312" w:hAnsi="仿宋_GB2312" w:cs="仿宋_GB2312" w:eastAsia="仿宋_GB2312"/>
              </w:rPr>
              <w:t>三、编制依据</w:t>
            </w:r>
          </w:p>
          <w:p>
            <w:pPr>
              <w:pStyle w:val="null3"/>
            </w:pPr>
            <w:r>
              <w:rPr>
                <w:rFonts w:ascii="仿宋_GB2312" w:hAnsi="仿宋_GB2312" w:cs="仿宋_GB2312" w:eastAsia="仿宋_GB2312"/>
              </w:rPr>
              <w:t>1.设计图纸；</w:t>
            </w:r>
          </w:p>
          <w:p>
            <w:pPr>
              <w:pStyle w:val="null3"/>
            </w:pPr>
            <w:r>
              <w:rPr>
                <w:rFonts w:ascii="仿宋_GB2312" w:hAnsi="仿宋_GB2312" w:cs="仿宋_GB2312" w:eastAsia="仿宋_GB2312"/>
              </w:rPr>
              <w:t>2.《陕西省建设工程费用规则》（2025）；</w:t>
            </w:r>
          </w:p>
          <w:p>
            <w:pPr>
              <w:pStyle w:val="null3"/>
            </w:pPr>
            <w:r>
              <w:rPr>
                <w:rFonts w:ascii="仿宋_GB2312" w:hAnsi="仿宋_GB2312" w:cs="仿宋_GB2312" w:eastAsia="仿宋_GB2312"/>
              </w:rPr>
              <w:t>3.《陕西省房屋建筑与装饰工程基价表》（2025）；</w:t>
            </w:r>
          </w:p>
          <w:p>
            <w:pPr>
              <w:pStyle w:val="null3"/>
            </w:pPr>
            <w:r>
              <w:rPr>
                <w:rFonts w:ascii="仿宋_GB2312" w:hAnsi="仿宋_GB2312" w:cs="仿宋_GB2312" w:eastAsia="仿宋_GB2312"/>
              </w:rPr>
              <w:t>4.《陕西省通用安装工程基价表》（2025）；</w:t>
            </w:r>
          </w:p>
          <w:p>
            <w:pPr>
              <w:pStyle w:val="null3"/>
            </w:pPr>
            <w:r>
              <w:rPr>
                <w:rFonts w:ascii="仿宋_GB2312" w:hAnsi="仿宋_GB2312" w:cs="仿宋_GB2312" w:eastAsia="仿宋_GB2312"/>
              </w:rPr>
              <w:t>5.《陕西省房屋建筑与装饰工程消耗量定额》（2025）；</w:t>
            </w:r>
          </w:p>
          <w:p>
            <w:pPr>
              <w:pStyle w:val="null3"/>
            </w:pPr>
            <w:r>
              <w:rPr>
                <w:rFonts w:ascii="仿宋_GB2312" w:hAnsi="仿宋_GB2312" w:cs="仿宋_GB2312" w:eastAsia="仿宋_GB2312"/>
              </w:rPr>
              <w:t>6.《陕西省通用安装工程消耗量定额》（2025）；</w:t>
            </w:r>
          </w:p>
          <w:p>
            <w:pPr>
              <w:pStyle w:val="null3"/>
            </w:pPr>
            <w:r>
              <w:rPr>
                <w:rFonts w:ascii="仿宋_GB2312" w:hAnsi="仿宋_GB2312" w:cs="仿宋_GB2312" w:eastAsia="仿宋_GB2312"/>
              </w:rPr>
              <w:t>7.《陕西省建设工程施工机械台班费用定额》（2025）及相关配套文件；</w:t>
            </w:r>
          </w:p>
          <w:p>
            <w:pPr>
              <w:pStyle w:val="null3"/>
            </w:pPr>
            <w:r>
              <w:rPr>
                <w:rFonts w:ascii="仿宋_GB2312" w:hAnsi="仿宋_GB2312" w:cs="仿宋_GB2312" w:eastAsia="仿宋_GB2312"/>
              </w:rPr>
              <w:t>8.建设工程项目有关的标准、规范、图集、技术资料；</w:t>
            </w:r>
          </w:p>
          <w:p>
            <w:pPr>
              <w:pStyle w:val="null3"/>
            </w:pPr>
            <w:r>
              <w:rPr>
                <w:rFonts w:ascii="仿宋_GB2312" w:hAnsi="仿宋_GB2312" w:cs="仿宋_GB2312" w:eastAsia="仿宋_GB2312"/>
              </w:rPr>
              <w:t>9.主要材料价格执行《陕西工程造价管理信息》2026年第五期信息价及市场价。</w:t>
            </w:r>
          </w:p>
          <w:p>
            <w:pPr>
              <w:pStyle w:val="null3"/>
            </w:pPr>
            <w:r>
              <w:rPr>
                <w:rFonts w:ascii="仿宋_GB2312" w:hAnsi="仿宋_GB2312" w:cs="仿宋_GB2312" w:eastAsia="仿宋_GB2312"/>
              </w:rPr>
              <w:t>四、其他</w:t>
            </w:r>
          </w:p>
          <w:p>
            <w:pPr>
              <w:pStyle w:val="null3"/>
            </w:pPr>
            <w:r>
              <w:rPr>
                <w:rFonts w:ascii="仿宋_GB2312" w:hAnsi="仿宋_GB2312" w:cs="仿宋_GB2312" w:eastAsia="仿宋_GB2312"/>
              </w:rPr>
              <w:t>1.版本号：陕西省广联达计价软件GBQ7.7.5000.23.3。</w:t>
            </w:r>
          </w:p>
          <w:p>
            <w:pPr>
              <w:pStyle w:val="null3"/>
            </w:pPr>
            <w:r>
              <w:rPr>
                <w:rFonts w:ascii="仿宋_GB2312" w:hAnsi="仿宋_GB2312" w:cs="仿宋_GB2312" w:eastAsia="仿宋_GB2312"/>
              </w:rPr>
              <w:t>2.在施工期间，中标供应商必须注意人员安全，加强安全措施，并对施工人员进行安全教育。施工人员必须持证上岗。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工程质量符合国家现行有关施工质量验收规范“合格”标准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在施工期间，中标供应商必须注意人员安全，加强安全措施，并对施工人员进行安全教育。施工人员必须持证上岗。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时须向采购代理机构提交响应文件正本一份，副本二份，电子文件(U盘：签章盖章PDF版)一份。提交的纸质响应文件须与网上上传的电子响应文件内容一致，若不一致导致的一切后果由供应商自负。正本和副本的封面上应清楚的标记“正本”或“副本”的字样。响应文件的正本与副本均应采用 A4 纸印刷，分别各自胶装成册并编制目录和页码，不得采用活页装订。 如未按照竞争性磋商文件要求编制、签署、上传电子响应文件，将可能导致磋商无效，其后果由供应商自负。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1包：供应商应提交的相关资格证明材料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2包：供应商应提交的相关资格证明材料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供应商具备建设行政主管部门核发的建筑工程施工总承包三级及以上资质；且具备合格有效的安全生产许可证。</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资格，且在本单位注册，且具有有效的安全生产考核合格证（建安B证），且未担任其它在施建设工程的项目经理并无不良记录（提供无在建工程、无不良记录承诺书）。</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供应商基本信息及项目经理基本信息应在“陕西省建筑市场监管与诚信信息发布平台”可查询。</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1包：供应商应提交的相关资格证明材料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1包：供应商应提交的相关资格证明材料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1.供应商具备建设行政主管部门核发的电力工程施工总承包三级及以上资质或输变电工程专业承包二级及以上资质；且具备合格有效的安全生产许可证；2.具备国家电力监管部门颁发的《承装（修、试）电力设施许可证》：承装类三级及以上、承修类三级及以上、承试类三级及以上；</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机电工程专业二级及以上注册建造师资格，且在本单位注册，且具有有效的安全生产考核合格证（建安B证），且未担任其它在施建设工程的项目经理并无不良记录（提供无在建工程、无不良记录承诺书）。</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供应商基本信息及项目经理基本信息查询</w:t>
            </w:r>
          </w:p>
        </w:tc>
        <w:tc>
          <w:tcPr>
            <w:tcW w:type="dxa" w:w="3322"/>
          </w:tcPr>
          <w:p>
            <w:pPr>
              <w:pStyle w:val="null3"/>
            </w:pPr>
            <w:r>
              <w:rPr>
                <w:rFonts w:ascii="仿宋_GB2312" w:hAnsi="仿宋_GB2312" w:cs="仿宋_GB2312" w:eastAsia="仿宋_GB2312"/>
              </w:rPr>
              <w:t>供应商基本信息及项目经理基本信息应在“陕西省建筑市场监管与诚信信息发布平台”可查询。</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2包：供应商应提交的相关资格证明材料</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2包：供应商应提交的相关资格证明材料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签署盖章符合磋商文件要求，且无遗漏</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响应文件内容齐全、无遗漏（除评标因素外）</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工期、质保期、质量标准、付款方式</w:t>
            </w:r>
          </w:p>
        </w:tc>
        <w:tc>
          <w:tcPr>
            <w:tcW w:type="dxa" w:w="3322"/>
          </w:tcPr>
          <w:p>
            <w:pPr>
              <w:pStyle w:val="null3"/>
            </w:pPr>
            <w:r>
              <w:rPr>
                <w:rFonts w:ascii="仿宋_GB2312" w:hAnsi="仿宋_GB2312" w:cs="仿宋_GB2312" w:eastAsia="仿宋_GB2312"/>
              </w:rPr>
              <w:t>应满足竞争性磋商文件的要求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异常投标情形</w:t>
            </w:r>
          </w:p>
        </w:tc>
        <w:tc>
          <w:tcPr>
            <w:tcW w:type="dxa" w:w="3322"/>
          </w:tcPr>
          <w:p>
            <w:pPr>
              <w:pStyle w:val="null3"/>
            </w:pPr>
            <w:r>
              <w:rPr>
                <w:rFonts w:ascii="仿宋_GB2312" w:hAnsi="仿宋_GB2312" w:cs="仿宋_GB2312" w:eastAsia="仿宋_GB2312"/>
              </w:rPr>
              <w:t>响应文件不存在以下情形： （1）法律法规规定视为串通投标的情形； （2）投标文件异常一致； （3）投标活动异常关联； （4）通过受让、租借、挂靠资质投标，伪造、变造资质、资格证书或者其他许可证件，提供虚假业绩、奖项、项目负责人等材料。</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1包：供应商应提交的相关资格证明材料 供应商业绩一览表 响应文件封面 残疾人福利性单位声明函 报价函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签署盖章符合磋商文件要求，且无遗漏</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响应文件内容齐全、无遗漏（除评标因素外）</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工期、质保期、质量标准、付款方式</w:t>
            </w:r>
          </w:p>
        </w:tc>
        <w:tc>
          <w:tcPr>
            <w:tcW w:type="dxa" w:w="3322"/>
          </w:tcPr>
          <w:p>
            <w:pPr>
              <w:pStyle w:val="null3"/>
            </w:pPr>
            <w:r>
              <w:rPr>
                <w:rFonts w:ascii="仿宋_GB2312" w:hAnsi="仿宋_GB2312" w:cs="仿宋_GB2312" w:eastAsia="仿宋_GB2312"/>
              </w:rPr>
              <w:t>应满足竞争性磋商文件的要求</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异常投标情形</w:t>
            </w:r>
          </w:p>
        </w:tc>
        <w:tc>
          <w:tcPr>
            <w:tcW w:type="dxa" w:w="3322"/>
          </w:tcPr>
          <w:p>
            <w:pPr>
              <w:pStyle w:val="null3"/>
            </w:pPr>
            <w:r>
              <w:rPr>
                <w:rFonts w:ascii="仿宋_GB2312" w:hAnsi="仿宋_GB2312" w:cs="仿宋_GB2312" w:eastAsia="仿宋_GB2312"/>
              </w:rPr>
              <w:t>响应文件不存在以下情形： （1）法律法规规定视为串通投标的情形； （2）投标文件异常一致； （3）投标活动异常关联； （4）通过受让、租借、挂靠资质投标，伪造、变造资质、资格证书或者其他许可证件，提供虚假业绩、奖项、项目负责人等材料。</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首次磋商响应报价表 已标价工程量清单 商务及技术偏离表 施工组织设计 供应商认为有必要说明的其他事项 中小企业声明函 供应商拒绝政府采购领域商业贿赂承诺书 供应商业绩一览表 响应文件封面 残疾人福利性单位声明函 报价函 标的清单 响应函 2包：供应商应提交的相关资格证明材料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 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 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供应商提供2023年08月01日（以合同签订日期为准）至今的类似项目业绩，每提供一份得1分，最高得5分。(合同复印件加盖公章附在响应文件中，否则不作为评审依据）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首次磋商响应报价表</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详见附件：首次磋商响应报价表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详见附件：1包：供应商应提交的相关资格证明材料</w:t>
      </w:r>
    </w:p>
    <w:p>
      <w:pPr>
        <w:pStyle w:val="null3"/>
        <w:ind w:firstLine="960"/>
      </w:pPr>
      <w:r>
        <w:rPr>
          <w:rFonts w:ascii="仿宋_GB2312" w:hAnsi="仿宋_GB2312" w:cs="仿宋_GB2312" w:eastAsia="仿宋_GB2312"/>
        </w:rPr>
        <w:t>详见附件：商务及技术偏离表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详见附件：供应商认为有必要说明的其他事项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详见附件：首次磋商响应报价表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详见附件：2包：供应商应提交的相关资格证明材料</w:t>
      </w:r>
    </w:p>
    <w:p>
      <w:pPr>
        <w:pStyle w:val="null3"/>
        <w:ind w:firstLine="960"/>
      </w:pPr>
      <w:r>
        <w:rPr>
          <w:rFonts w:ascii="仿宋_GB2312" w:hAnsi="仿宋_GB2312" w:cs="仿宋_GB2312" w:eastAsia="仿宋_GB2312"/>
        </w:rPr>
        <w:t>详见附件：商务及技术偏离表</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详见附件：供应商认为有必要说明的其他事项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