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683102">
      <w:pPr>
        <w:spacing w:line="480" w:lineRule="auto"/>
        <w:jc w:val="center"/>
        <w:rPr>
          <w:rFonts w:hint="eastAsia" w:ascii="宋体" w:hAnsi="宋体" w:eastAsia="宋体" w:cs="宋体"/>
          <w:b/>
          <w:bCs/>
          <w:sz w:val="32"/>
          <w:szCs w:val="32"/>
        </w:rPr>
      </w:pPr>
      <w:bookmarkStart w:id="0" w:name="_Toc21362"/>
      <w:r>
        <w:rPr>
          <w:rFonts w:hint="eastAsia" w:ascii="宋体" w:hAnsi="宋体" w:eastAsia="宋体" w:cs="宋体"/>
          <w:b/>
          <w:bCs/>
          <w:sz w:val="32"/>
          <w:szCs w:val="32"/>
        </w:rPr>
        <w:t>商务</w:t>
      </w: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及技术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偏离表</w:t>
      </w:r>
      <w:bookmarkEnd w:id="0"/>
      <w:bookmarkStart w:id="1" w:name="_GoBack"/>
      <w:bookmarkEnd w:id="1"/>
    </w:p>
    <w:tbl>
      <w:tblPr>
        <w:tblStyle w:val="3"/>
        <w:tblW w:w="9207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806"/>
        <w:gridCol w:w="2158"/>
        <w:gridCol w:w="2436"/>
        <w:gridCol w:w="1367"/>
        <w:gridCol w:w="1440"/>
      </w:tblGrid>
      <w:tr w14:paraId="4D82C7B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1806" w:type="dxa"/>
            <w:noWrap w:val="0"/>
            <w:vAlign w:val="center"/>
          </w:tcPr>
          <w:p w14:paraId="09F0210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1"/>
              </w:rPr>
              <w:t>名称</w:t>
            </w:r>
          </w:p>
        </w:tc>
        <w:tc>
          <w:tcPr>
            <w:tcW w:w="2158" w:type="dxa"/>
            <w:noWrap w:val="0"/>
            <w:vAlign w:val="center"/>
          </w:tcPr>
          <w:p w14:paraId="28600EA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1"/>
                <w:lang w:val="en-US" w:eastAsia="zh-CN"/>
              </w:rPr>
              <w:t>磋商</w:t>
            </w:r>
            <w:r>
              <w:rPr>
                <w:rFonts w:hint="eastAsia" w:ascii="宋体" w:hAnsi="宋体" w:eastAsia="宋体" w:cs="宋体"/>
                <w:sz w:val="24"/>
                <w:szCs w:val="21"/>
                <w:lang w:eastAsia="zh-CN"/>
              </w:rPr>
              <w:t>文件</w:t>
            </w:r>
            <w:r>
              <w:rPr>
                <w:rFonts w:hint="eastAsia" w:ascii="宋体" w:hAnsi="宋体" w:eastAsia="宋体" w:cs="宋体"/>
                <w:sz w:val="24"/>
                <w:szCs w:val="21"/>
              </w:rPr>
              <w:t>要求</w:t>
            </w:r>
          </w:p>
        </w:tc>
        <w:tc>
          <w:tcPr>
            <w:tcW w:w="2436" w:type="dxa"/>
            <w:noWrap w:val="0"/>
            <w:vAlign w:val="center"/>
          </w:tcPr>
          <w:p w14:paraId="08FB028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1"/>
                <w:lang w:val="en-US" w:eastAsia="zh-CN"/>
              </w:rPr>
              <w:t>响应</w:t>
            </w:r>
            <w:r>
              <w:rPr>
                <w:rFonts w:hint="eastAsia" w:ascii="宋体" w:hAnsi="宋体" w:eastAsia="宋体" w:cs="宋体"/>
                <w:sz w:val="24"/>
                <w:szCs w:val="21"/>
              </w:rPr>
              <w:t>文件</w:t>
            </w:r>
            <w:r>
              <w:rPr>
                <w:rFonts w:hint="eastAsia" w:ascii="宋体" w:hAnsi="宋体" w:eastAsia="宋体" w:cs="宋体"/>
                <w:sz w:val="24"/>
                <w:szCs w:val="21"/>
                <w:lang w:val="en-US" w:eastAsia="zh-CN"/>
              </w:rPr>
              <w:t>内容</w:t>
            </w:r>
          </w:p>
        </w:tc>
        <w:tc>
          <w:tcPr>
            <w:tcW w:w="1367" w:type="dxa"/>
            <w:noWrap w:val="0"/>
            <w:vAlign w:val="center"/>
          </w:tcPr>
          <w:p w14:paraId="105D17A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1"/>
              </w:rPr>
              <w:t>偏离情况</w:t>
            </w:r>
          </w:p>
        </w:tc>
        <w:tc>
          <w:tcPr>
            <w:tcW w:w="1440" w:type="dxa"/>
            <w:noWrap w:val="0"/>
            <w:vAlign w:val="center"/>
          </w:tcPr>
          <w:p w14:paraId="26A5855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1"/>
              </w:rPr>
              <w:t>说明</w:t>
            </w:r>
          </w:p>
        </w:tc>
      </w:tr>
      <w:tr w14:paraId="4A9D09A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06" w:type="dxa"/>
            <w:noWrap w:val="0"/>
            <w:vAlign w:val="center"/>
          </w:tcPr>
          <w:p w14:paraId="3052DFAB">
            <w:pPr>
              <w:pStyle w:val="5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  <w:tc>
          <w:tcPr>
            <w:tcW w:w="2158" w:type="dxa"/>
            <w:noWrap w:val="0"/>
            <w:vAlign w:val="center"/>
          </w:tcPr>
          <w:p w14:paraId="2F8C2033">
            <w:pPr>
              <w:pStyle w:val="5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436" w:type="dxa"/>
            <w:noWrap w:val="0"/>
            <w:vAlign w:val="top"/>
          </w:tcPr>
          <w:p w14:paraId="357CDF5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1"/>
              </w:rPr>
            </w:pPr>
          </w:p>
        </w:tc>
        <w:tc>
          <w:tcPr>
            <w:tcW w:w="1367" w:type="dxa"/>
            <w:noWrap w:val="0"/>
            <w:vAlign w:val="top"/>
          </w:tcPr>
          <w:p w14:paraId="0713FB2D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1"/>
              </w:rPr>
            </w:pPr>
          </w:p>
        </w:tc>
        <w:tc>
          <w:tcPr>
            <w:tcW w:w="1440" w:type="dxa"/>
            <w:noWrap w:val="0"/>
            <w:vAlign w:val="top"/>
          </w:tcPr>
          <w:p w14:paraId="0C3C940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1"/>
              </w:rPr>
            </w:pPr>
          </w:p>
        </w:tc>
      </w:tr>
      <w:tr w14:paraId="283ECE6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95" w:hRule="atLeast"/>
          <w:jc w:val="center"/>
        </w:trPr>
        <w:tc>
          <w:tcPr>
            <w:tcW w:w="1806" w:type="dxa"/>
            <w:noWrap w:val="0"/>
            <w:vAlign w:val="center"/>
          </w:tcPr>
          <w:p w14:paraId="4CF2DE23">
            <w:pPr>
              <w:pStyle w:val="5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  <w:tc>
          <w:tcPr>
            <w:tcW w:w="2158" w:type="dxa"/>
            <w:noWrap w:val="0"/>
            <w:vAlign w:val="center"/>
          </w:tcPr>
          <w:p w14:paraId="03E6CAB8">
            <w:pPr>
              <w:pStyle w:val="5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436" w:type="dxa"/>
            <w:noWrap w:val="0"/>
            <w:vAlign w:val="top"/>
          </w:tcPr>
          <w:p w14:paraId="4305E08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1"/>
              </w:rPr>
            </w:pPr>
          </w:p>
        </w:tc>
        <w:tc>
          <w:tcPr>
            <w:tcW w:w="1367" w:type="dxa"/>
            <w:noWrap w:val="0"/>
            <w:vAlign w:val="top"/>
          </w:tcPr>
          <w:p w14:paraId="0EFC89D3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1"/>
              </w:rPr>
            </w:pPr>
          </w:p>
        </w:tc>
        <w:tc>
          <w:tcPr>
            <w:tcW w:w="1440" w:type="dxa"/>
            <w:noWrap w:val="0"/>
            <w:vAlign w:val="top"/>
          </w:tcPr>
          <w:p w14:paraId="3FA9C37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1"/>
              </w:rPr>
            </w:pPr>
          </w:p>
        </w:tc>
      </w:tr>
      <w:tr w14:paraId="1BCCFA8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06" w:type="dxa"/>
            <w:noWrap w:val="0"/>
            <w:vAlign w:val="center"/>
          </w:tcPr>
          <w:p w14:paraId="0B697E1C">
            <w:pPr>
              <w:pStyle w:val="5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0"/>
                <w:lang w:eastAsia="zh-CN"/>
              </w:rPr>
              <w:t>...</w:t>
            </w:r>
          </w:p>
        </w:tc>
        <w:tc>
          <w:tcPr>
            <w:tcW w:w="2158" w:type="dxa"/>
            <w:noWrap w:val="0"/>
            <w:vAlign w:val="center"/>
          </w:tcPr>
          <w:p w14:paraId="5391E7ED">
            <w:pPr>
              <w:pStyle w:val="5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436" w:type="dxa"/>
            <w:noWrap w:val="0"/>
            <w:vAlign w:val="top"/>
          </w:tcPr>
          <w:p w14:paraId="22F5F53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1"/>
              </w:rPr>
            </w:pPr>
          </w:p>
        </w:tc>
        <w:tc>
          <w:tcPr>
            <w:tcW w:w="1367" w:type="dxa"/>
            <w:noWrap w:val="0"/>
            <w:vAlign w:val="top"/>
          </w:tcPr>
          <w:p w14:paraId="1C3D517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1"/>
              </w:rPr>
            </w:pPr>
          </w:p>
        </w:tc>
        <w:tc>
          <w:tcPr>
            <w:tcW w:w="1440" w:type="dxa"/>
            <w:noWrap w:val="0"/>
            <w:vAlign w:val="top"/>
          </w:tcPr>
          <w:p w14:paraId="039D698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1"/>
              </w:rPr>
            </w:pPr>
          </w:p>
        </w:tc>
      </w:tr>
      <w:tr w14:paraId="4897F1D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06" w:type="dxa"/>
            <w:noWrap w:val="0"/>
            <w:vAlign w:val="center"/>
          </w:tcPr>
          <w:p w14:paraId="11C3FC02">
            <w:pPr>
              <w:pStyle w:val="5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  <w:tc>
          <w:tcPr>
            <w:tcW w:w="2158" w:type="dxa"/>
            <w:noWrap w:val="0"/>
            <w:vAlign w:val="center"/>
          </w:tcPr>
          <w:p w14:paraId="6E6DE9E8">
            <w:pPr>
              <w:pStyle w:val="5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436" w:type="dxa"/>
            <w:noWrap w:val="0"/>
            <w:vAlign w:val="top"/>
          </w:tcPr>
          <w:p w14:paraId="55A5042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1"/>
              </w:rPr>
            </w:pPr>
          </w:p>
        </w:tc>
        <w:tc>
          <w:tcPr>
            <w:tcW w:w="1367" w:type="dxa"/>
            <w:noWrap w:val="0"/>
            <w:vAlign w:val="top"/>
          </w:tcPr>
          <w:p w14:paraId="6A03D0F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1"/>
              </w:rPr>
            </w:pPr>
          </w:p>
        </w:tc>
        <w:tc>
          <w:tcPr>
            <w:tcW w:w="1440" w:type="dxa"/>
            <w:noWrap w:val="0"/>
            <w:vAlign w:val="top"/>
          </w:tcPr>
          <w:p w14:paraId="5BC2D46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1"/>
              </w:rPr>
            </w:pPr>
          </w:p>
        </w:tc>
      </w:tr>
      <w:tr w14:paraId="1F3B91D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06" w:type="dxa"/>
            <w:noWrap w:val="0"/>
            <w:vAlign w:val="center"/>
          </w:tcPr>
          <w:p w14:paraId="0EA33720">
            <w:pPr>
              <w:pStyle w:val="5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  <w:tc>
          <w:tcPr>
            <w:tcW w:w="2158" w:type="dxa"/>
            <w:noWrap w:val="0"/>
            <w:vAlign w:val="center"/>
          </w:tcPr>
          <w:p w14:paraId="45DB8FD4">
            <w:pPr>
              <w:pStyle w:val="5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  <w:tc>
          <w:tcPr>
            <w:tcW w:w="2436" w:type="dxa"/>
            <w:noWrap w:val="0"/>
            <w:vAlign w:val="top"/>
          </w:tcPr>
          <w:p w14:paraId="0114307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1"/>
              </w:rPr>
            </w:pPr>
          </w:p>
        </w:tc>
        <w:tc>
          <w:tcPr>
            <w:tcW w:w="1367" w:type="dxa"/>
            <w:noWrap w:val="0"/>
            <w:vAlign w:val="top"/>
          </w:tcPr>
          <w:p w14:paraId="46AFCA0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1"/>
              </w:rPr>
            </w:pPr>
          </w:p>
        </w:tc>
        <w:tc>
          <w:tcPr>
            <w:tcW w:w="1440" w:type="dxa"/>
            <w:noWrap w:val="0"/>
            <w:vAlign w:val="top"/>
          </w:tcPr>
          <w:p w14:paraId="6926D5C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1"/>
              </w:rPr>
            </w:pPr>
          </w:p>
        </w:tc>
      </w:tr>
      <w:tr w14:paraId="75F0CE0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06" w:type="dxa"/>
            <w:noWrap w:val="0"/>
            <w:vAlign w:val="top"/>
          </w:tcPr>
          <w:p w14:paraId="3E7CD01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1"/>
                <w:lang w:eastAsia="zh-CN"/>
              </w:rPr>
            </w:pPr>
          </w:p>
        </w:tc>
        <w:tc>
          <w:tcPr>
            <w:tcW w:w="2158" w:type="dxa"/>
            <w:noWrap w:val="0"/>
            <w:vAlign w:val="top"/>
          </w:tcPr>
          <w:p w14:paraId="0A552A0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1"/>
              </w:rPr>
            </w:pPr>
          </w:p>
        </w:tc>
        <w:tc>
          <w:tcPr>
            <w:tcW w:w="2436" w:type="dxa"/>
            <w:noWrap w:val="0"/>
            <w:vAlign w:val="top"/>
          </w:tcPr>
          <w:p w14:paraId="27606433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1"/>
              </w:rPr>
            </w:pPr>
          </w:p>
        </w:tc>
        <w:tc>
          <w:tcPr>
            <w:tcW w:w="1367" w:type="dxa"/>
            <w:noWrap w:val="0"/>
            <w:vAlign w:val="top"/>
          </w:tcPr>
          <w:p w14:paraId="67554BA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1"/>
              </w:rPr>
            </w:pPr>
          </w:p>
        </w:tc>
        <w:tc>
          <w:tcPr>
            <w:tcW w:w="1440" w:type="dxa"/>
            <w:noWrap w:val="0"/>
            <w:vAlign w:val="top"/>
          </w:tcPr>
          <w:p w14:paraId="0CE3D37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1"/>
              </w:rPr>
            </w:pPr>
          </w:p>
        </w:tc>
      </w:tr>
    </w:tbl>
    <w:p w14:paraId="6229845B">
      <w:pPr>
        <w:spacing w:line="360" w:lineRule="auto"/>
        <w:rPr>
          <w:rFonts w:hint="eastAsia" w:ascii="宋体" w:hAnsi="宋体" w:eastAsia="宋体" w:cs="宋体"/>
          <w:color w:val="auto"/>
          <w:sz w:val="24"/>
          <w:szCs w:val="21"/>
        </w:rPr>
      </w:pPr>
    </w:p>
    <w:p w14:paraId="40FC0572">
      <w:pPr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1"/>
          <w:lang w:eastAsia="zh-CN"/>
        </w:rPr>
        <w:t>注：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1、本表只填写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响应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文件中与磋商文件有偏离的内容，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响应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文件与磋商文件要求完全一致的，不用在此表中列出，但必须提交本表（需签字盖章）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供应商承诺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1"/>
          <w:lang w:eastAsia="zh-CN"/>
        </w:rPr>
        <w:t>除本偏离表中所列的偏离项目外，其它均完全响应“磋商文件”中的要求。</w:t>
      </w:r>
    </w:p>
    <w:p w14:paraId="39C81DA7">
      <w:pPr>
        <w:spacing w:line="400" w:lineRule="atLeast"/>
        <w:ind w:firstLine="240" w:firstLineChars="100"/>
        <w:rPr>
          <w:rFonts w:hint="eastAsia" w:ascii="宋体" w:hAnsi="宋体" w:eastAsia="宋体" w:cs="宋体"/>
          <w:color w:val="auto"/>
          <w:sz w:val="24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2、供应商必须据实填写，不得虚假响应，否则将取消其投标或中标资格，并按有关规定进处罚。</w:t>
      </w:r>
    </w:p>
    <w:p w14:paraId="3D6ECF1B">
      <w:pPr>
        <w:spacing w:line="360" w:lineRule="auto"/>
        <w:ind w:left="720" w:hanging="720"/>
        <w:rPr>
          <w:rFonts w:hint="eastAsia" w:ascii="宋体" w:hAnsi="宋体" w:eastAsia="宋体" w:cs="宋体"/>
          <w:sz w:val="24"/>
          <w:szCs w:val="24"/>
          <w:lang w:eastAsia="zh-CN"/>
        </w:rPr>
      </w:pPr>
    </w:p>
    <w:p w14:paraId="7BDA12B6">
      <w:pPr>
        <w:spacing w:line="360" w:lineRule="auto"/>
        <w:ind w:left="720" w:hanging="720"/>
        <w:rPr>
          <w:rFonts w:hint="eastAsia" w:ascii="宋体" w:hAnsi="宋体" w:eastAsia="宋体" w:cs="宋体"/>
          <w:sz w:val="24"/>
          <w:szCs w:val="24"/>
          <w:lang w:eastAsia="zh-CN"/>
        </w:rPr>
      </w:pPr>
    </w:p>
    <w:p w14:paraId="1C4BF7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right="540" w:rightChars="257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（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lang w:val="en-US" w:eastAsia="zh-CN"/>
        </w:rPr>
        <w:t>加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盖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lang w:val="en-US" w:eastAsia="zh-CN"/>
        </w:rPr>
        <w:t>单位公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章）</w:t>
      </w:r>
    </w:p>
    <w:p w14:paraId="03D89A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right="540" w:rightChars="257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或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被授权人：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lang w:eastAsia="zh-CN"/>
        </w:rPr>
        <w:t>（签字或盖章）</w:t>
      </w:r>
    </w:p>
    <w:p w14:paraId="670274E0">
      <w:pPr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日    期：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lang w:val="en-US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0E2B03"/>
    <w:rsid w:val="013E2686"/>
    <w:rsid w:val="2B8951BC"/>
    <w:rsid w:val="312079F1"/>
    <w:rsid w:val="4C2D6F91"/>
    <w:rsid w:val="5DFE5C52"/>
    <w:rsid w:val="650E2B03"/>
    <w:rsid w:val="7CFE0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微软雅黑" w:hAnsi="微软雅黑" w:eastAsia="微软雅黑" w:cs="微软雅黑"/>
      <w:sz w:val="31"/>
      <w:szCs w:val="31"/>
      <w:lang w:val="en-US" w:eastAsia="en-US" w:bidi="ar-SA"/>
    </w:rPr>
  </w:style>
  <w:style w:type="paragraph" w:customStyle="1" w:styleId="5">
    <w:name w:val="null3"/>
    <w:qFormat/>
    <w:uiPriority w:val="0"/>
    <w:rPr>
      <w:rFonts w:hint="eastAsia" w:ascii="Calibri" w:hAnsi="Calibri" w:eastAsia="宋体" w:cs="Times New Roman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210</Words>
  <Characters>212</Characters>
  <Lines>0</Lines>
  <Paragraphs>0</Paragraphs>
  <TotalTime>0</TotalTime>
  <ScaleCrop>false</ScaleCrop>
  <LinksUpToDate>false</LinksUpToDate>
  <CharactersWithSpaces>250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2025-04-17T12:43:00Z</dcterms:created>
  <dc:creator>陕西中技招标有限公司</dc:creator>
  <cp:lastModifiedBy>张咪</cp:lastModifiedBy>
  <dcterms:modified xsi:type="dcterms:W3CDTF">2026-08-12T09:35:43Z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1002A07ED873415B923F62242D57F267_11</vt:lpwstr>
  </property>
  <property fmtid="{D5CDD505-2E9C-101B-9397-08002B2CF9AE}" pid="4" name="KSOTemplateDocerSaveRecord">
    <vt:lpwstr>eyJoZGlkIjoiNGZhMGIxOGMyNWFlNmU2ZmE3ZDVhOTExNjQ1MWYzOGUiLCJ1c2VySWQiOiIyNjA1MzA1OTIifQ==</vt:lpwstr>
  </property>
</Properties>
</file>