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C1A433">
      <w:pPr>
        <w:spacing w:line="360" w:lineRule="auto"/>
        <w:jc w:val="center"/>
        <w:rPr>
          <w:rFonts w:hint="eastAsia" w:ascii="宋体" w:hAnsi="宋体" w:eastAsia="宋体" w:cs="宋体"/>
          <w:b/>
          <w:bCs/>
          <w:color w:val="auto"/>
          <w:sz w:val="36"/>
          <w:szCs w:val="36"/>
          <w:highlight w:val="none"/>
          <w:lang w:val="en-US" w:eastAsia="zh-CN"/>
        </w:rPr>
      </w:pPr>
    </w:p>
    <w:p w14:paraId="34EB660B">
      <w:pPr>
        <w:spacing w:line="360" w:lineRule="auto"/>
        <w:jc w:val="center"/>
        <w:rPr>
          <w:rFonts w:hint="eastAsia" w:ascii="宋体" w:hAnsi="宋体" w:eastAsia="宋体" w:cs="宋体"/>
          <w:b/>
          <w:bCs/>
          <w:color w:val="auto"/>
          <w:sz w:val="36"/>
          <w:szCs w:val="36"/>
          <w:highlight w:val="none"/>
          <w:lang w:val="en-US" w:eastAsia="zh-CN"/>
        </w:rPr>
      </w:pPr>
    </w:p>
    <w:p w14:paraId="76A9004D">
      <w:pPr>
        <w:spacing w:line="360" w:lineRule="auto"/>
        <w:jc w:val="center"/>
        <w:rPr>
          <w:rFonts w:hint="eastAsia" w:ascii="宋体" w:hAnsi="宋体" w:eastAsia="宋体" w:cs="宋体"/>
          <w:b/>
          <w:bCs/>
          <w:color w:val="auto"/>
          <w:sz w:val="36"/>
          <w:szCs w:val="36"/>
          <w:highlight w:val="none"/>
          <w:lang w:val="en-US" w:eastAsia="zh-CN"/>
        </w:rPr>
      </w:pPr>
    </w:p>
    <w:p w14:paraId="7103225A">
      <w:pPr>
        <w:spacing w:line="360" w:lineRule="auto"/>
        <w:jc w:val="center"/>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建筑外立面及地下配电室改造项目</w:t>
      </w:r>
    </w:p>
    <w:p w14:paraId="55118517">
      <w:pPr>
        <w:spacing w:line="360" w:lineRule="auto"/>
        <w:jc w:val="center"/>
        <w:rPr>
          <w:rFonts w:hint="eastAsia" w:ascii="宋体" w:hAnsi="宋体" w:eastAsia="宋体" w:cs="宋体"/>
          <w:b/>
          <w:bCs/>
          <w:color w:val="auto"/>
          <w:sz w:val="36"/>
          <w:szCs w:val="36"/>
          <w:highlight w:val="none"/>
        </w:rPr>
      </w:pPr>
      <w:r>
        <w:rPr>
          <w:rFonts w:hint="eastAsia" w:hAnsi="宋体" w:cs="宋体"/>
          <w:b/>
          <w:bCs/>
          <w:color w:val="auto"/>
          <w:sz w:val="36"/>
          <w:szCs w:val="36"/>
          <w:highlight w:val="none"/>
          <w:lang w:val="en-US" w:eastAsia="zh-CN"/>
        </w:rPr>
        <w:t>（  ）</w:t>
      </w:r>
      <w:r>
        <w:rPr>
          <w:rFonts w:hint="eastAsia" w:ascii="宋体" w:hAnsi="宋体" w:eastAsia="宋体" w:cs="宋体"/>
          <w:b/>
          <w:bCs/>
          <w:color w:val="auto"/>
          <w:sz w:val="36"/>
          <w:szCs w:val="36"/>
          <w:highlight w:val="none"/>
          <w:lang w:val="en-US" w:eastAsia="zh-CN"/>
        </w:rPr>
        <w:t>包（</w:t>
      </w:r>
      <w:r>
        <w:rPr>
          <w:rFonts w:hint="eastAsia" w:hAnsi="宋体" w:cs="宋体"/>
          <w:b/>
          <w:bCs/>
          <w:color w:val="auto"/>
          <w:sz w:val="36"/>
          <w:szCs w:val="36"/>
          <w:highlight w:val="none"/>
          <w:lang w:val="en-US" w:eastAsia="zh-CN"/>
        </w:rPr>
        <w:t xml:space="preserve">         </w:t>
      </w:r>
      <w:r>
        <w:rPr>
          <w:rFonts w:hint="eastAsia" w:ascii="宋体" w:hAnsi="宋体" w:eastAsia="宋体" w:cs="宋体"/>
          <w:b/>
          <w:bCs/>
          <w:color w:val="auto"/>
          <w:sz w:val="36"/>
          <w:szCs w:val="36"/>
          <w:highlight w:val="none"/>
          <w:lang w:val="en-US" w:eastAsia="zh-CN"/>
        </w:rPr>
        <w:t>）施工</w:t>
      </w:r>
      <w:r>
        <w:rPr>
          <w:rFonts w:hint="eastAsia" w:ascii="宋体" w:hAnsi="宋体" w:eastAsia="宋体" w:cs="宋体"/>
          <w:b/>
          <w:bCs/>
          <w:color w:val="auto"/>
          <w:sz w:val="36"/>
          <w:szCs w:val="36"/>
          <w:highlight w:val="none"/>
        </w:rPr>
        <w:t>合同</w:t>
      </w:r>
    </w:p>
    <w:p w14:paraId="10E67F89">
      <w:pPr>
        <w:jc w:val="center"/>
        <w:rPr>
          <w:rFonts w:hint="eastAsia" w:ascii="宋体" w:hAnsi="宋体" w:eastAsia="宋体" w:cs="宋体"/>
          <w:b/>
          <w:bCs/>
          <w:color w:val="auto"/>
          <w:sz w:val="36"/>
          <w:szCs w:val="36"/>
          <w:highlight w:val="none"/>
        </w:rPr>
      </w:pPr>
    </w:p>
    <w:p w14:paraId="318DAAD4">
      <w:pPr>
        <w:rPr>
          <w:rFonts w:hint="eastAsia" w:ascii="宋体" w:hAnsi="宋体" w:eastAsia="宋体" w:cs="宋体"/>
          <w:color w:val="auto"/>
          <w:sz w:val="36"/>
          <w:szCs w:val="36"/>
          <w:highlight w:val="none"/>
        </w:rPr>
      </w:pPr>
    </w:p>
    <w:p w14:paraId="64C233DD">
      <w:pPr>
        <w:rPr>
          <w:rFonts w:hint="eastAsia" w:ascii="宋体" w:hAnsi="宋体" w:eastAsia="宋体" w:cs="宋体"/>
          <w:color w:val="auto"/>
          <w:sz w:val="36"/>
          <w:szCs w:val="36"/>
          <w:highlight w:val="none"/>
        </w:rPr>
      </w:pPr>
    </w:p>
    <w:p w14:paraId="66E5C96A">
      <w:pPr>
        <w:rPr>
          <w:rFonts w:hint="eastAsia" w:ascii="宋体" w:hAnsi="宋体" w:eastAsia="宋体" w:cs="宋体"/>
          <w:color w:val="auto"/>
          <w:sz w:val="36"/>
          <w:szCs w:val="36"/>
          <w:highlight w:val="none"/>
        </w:rPr>
      </w:pPr>
    </w:p>
    <w:p w14:paraId="0CDF89A5">
      <w:pPr>
        <w:rPr>
          <w:rFonts w:hint="eastAsia" w:ascii="宋体" w:hAnsi="宋体" w:eastAsia="宋体" w:cs="宋体"/>
          <w:color w:val="auto"/>
          <w:sz w:val="36"/>
          <w:szCs w:val="36"/>
          <w:highlight w:val="none"/>
        </w:rPr>
      </w:pPr>
    </w:p>
    <w:p w14:paraId="092B8E39">
      <w:pPr>
        <w:jc w:val="center"/>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lang w:eastAsia="zh-CN"/>
        </w:rPr>
        <w:t>（仅供参考）</w:t>
      </w:r>
    </w:p>
    <w:p w14:paraId="42D87F3D">
      <w:pPr>
        <w:spacing w:line="600" w:lineRule="auto"/>
        <w:jc w:val="center"/>
        <w:outlineLvl w:val="9"/>
        <w:rPr>
          <w:rFonts w:hint="eastAsia" w:ascii="宋体" w:hAnsi="宋体" w:eastAsia="宋体" w:cs="宋体"/>
          <w:b/>
          <w:bCs/>
          <w:color w:val="auto"/>
          <w:sz w:val="28"/>
          <w:szCs w:val="28"/>
        </w:rPr>
        <w:sectPr>
          <w:pgSz w:w="11906" w:h="16838"/>
          <w:pgMar w:top="1440" w:right="1800" w:bottom="1440" w:left="1800" w:header="851" w:footer="992" w:gutter="0"/>
          <w:cols w:space="425" w:num="1"/>
          <w:docGrid w:type="lines" w:linePitch="312" w:charSpace="0"/>
        </w:sectPr>
      </w:pPr>
      <w:bookmarkStart w:id="0" w:name="_Toc22953"/>
      <w:bookmarkStart w:id="1" w:name="_Toc20271"/>
    </w:p>
    <w:p w14:paraId="5E601E2F">
      <w:pPr>
        <w:spacing w:line="600" w:lineRule="auto"/>
        <w:jc w:val="center"/>
        <w:outlineLvl w:val="9"/>
        <w:rPr>
          <w:rFonts w:hint="eastAsia" w:ascii="宋体" w:hAnsi="宋体" w:eastAsia="宋体" w:cs="宋体"/>
          <w:color w:val="auto"/>
          <w:sz w:val="28"/>
          <w:szCs w:val="28"/>
        </w:rPr>
      </w:pPr>
      <w:r>
        <w:rPr>
          <w:rFonts w:hint="eastAsia" w:ascii="宋体" w:hAnsi="宋体" w:eastAsia="宋体" w:cs="宋体"/>
          <w:b/>
          <w:bCs/>
          <w:color w:val="auto"/>
          <w:sz w:val="28"/>
          <w:szCs w:val="28"/>
        </w:rPr>
        <w:t>合同条款及格式</w:t>
      </w:r>
      <w:bookmarkEnd w:id="0"/>
      <w:bookmarkEnd w:id="1"/>
    </w:p>
    <w:p w14:paraId="1D1A93CA">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甲方（采购人）：</w:t>
      </w:r>
      <w:r>
        <w:rPr>
          <w:rFonts w:hint="eastAsia" w:ascii="宋体" w:hAnsi="宋体" w:eastAsia="宋体" w:cs="宋体"/>
          <w:color w:val="auto"/>
          <w:spacing w:val="4"/>
          <w:sz w:val="24"/>
          <w:szCs w:val="24"/>
          <w:highlight w:val="none"/>
          <w:u w:val="single"/>
          <w:lang w:eastAsia="zh-CN"/>
        </w:rPr>
        <w:t>西安高新区第七初级中学</w:t>
      </w:r>
    </w:p>
    <w:p w14:paraId="298A25A5">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乙方（中标人）：</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p>
    <w:p w14:paraId="4F41FD17">
      <w:pPr>
        <w:snapToGrid w:val="0"/>
        <w:spacing w:line="360" w:lineRule="auto"/>
        <w:ind w:firstLine="496" w:firstLineChars="200"/>
        <w:rPr>
          <w:rFonts w:hint="eastAsia" w:ascii="宋体" w:hAnsi="宋体" w:eastAsia="宋体" w:cs="宋体"/>
          <w:bCs/>
          <w:color w:val="auto"/>
          <w:sz w:val="24"/>
          <w:szCs w:val="24"/>
        </w:rPr>
      </w:pP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z w:val="24"/>
          <w:szCs w:val="24"/>
          <w:highlight w:val="none"/>
          <w:lang w:val="en-US" w:eastAsia="zh-CN"/>
        </w:rPr>
        <w:t>建筑外立面及地下配电室改造项目</w:t>
      </w:r>
      <w:r>
        <w:rPr>
          <w:rFonts w:hint="eastAsia" w:hAnsi="宋体" w:cs="宋体"/>
          <w:color w:val="auto"/>
          <w:sz w:val="24"/>
          <w:szCs w:val="24"/>
          <w:highlight w:val="none"/>
          <w:lang w:val="en-US" w:eastAsia="zh-CN"/>
        </w:rPr>
        <w:t>（</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包（</w:t>
      </w:r>
      <w:r>
        <w:rPr>
          <w:rFonts w:hint="eastAsia"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pacing w:val="4"/>
          <w:sz w:val="24"/>
          <w:szCs w:val="24"/>
          <w:highlight w:val="none"/>
          <w:lang w:eastAsia="zh-CN"/>
        </w:rPr>
        <w:t>》</w:t>
      </w:r>
      <w:r>
        <w:rPr>
          <w:rFonts w:hint="eastAsia" w:ascii="宋体" w:hAnsi="宋体" w:eastAsia="宋体" w:cs="宋体"/>
          <w:bCs/>
          <w:color w:val="auto"/>
          <w:sz w:val="24"/>
          <w:szCs w:val="24"/>
        </w:rPr>
        <w:t>在</w:t>
      </w:r>
      <w:r>
        <w:rPr>
          <w:rFonts w:hint="eastAsia" w:ascii="宋体" w:hAnsi="宋体" w:eastAsia="宋体" w:cs="宋体"/>
          <w:bCs/>
          <w:color w:val="auto"/>
          <w:sz w:val="24"/>
          <w:szCs w:val="24"/>
          <w:lang w:eastAsia="zh-CN"/>
        </w:rPr>
        <w:t>陕西玥鑫项目管理有限公司</w:t>
      </w:r>
      <w:r>
        <w:rPr>
          <w:rFonts w:hint="eastAsia" w:ascii="宋体" w:hAnsi="宋体" w:eastAsia="宋体" w:cs="宋体"/>
          <w:bCs/>
          <w:color w:val="auto"/>
          <w:sz w:val="24"/>
          <w:szCs w:val="24"/>
        </w:rPr>
        <w:t>组织</w:t>
      </w:r>
      <w:r>
        <w:rPr>
          <w:rFonts w:hint="eastAsia" w:ascii="宋体" w:hAnsi="宋体" w:eastAsia="宋体" w:cs="宋体"/>
          <w:bCs/>
          <w:color w:val="auto"/>
          <w:sz w:val="24"/>
          <w:szCs w:val="24"/>
          <w:lang w:val="en-US" w:eastAsia="zh-CN"/>
        </w:rPr>
        <w:t>的</w:t>
      </w:r>
      <w:r>
        <w:rPr>
          <w:rFonts w:hint="eastAsia" w:ascii="宋体" w:hAnsi="宋体" w:eastAsia="宋体" w:cs="宋体"/>
          <w:bCs/>
          <w:color w:val="auto"/>
          <w:sz w:val="24"/>
          <w:szCs w:val="24"/>
        </w:rPr>
        <w:t>竞争性磋商</w:t>
      </w:r>
      <w:r>
        <w:rPr>
          <w:rFonts w:hint="eastAsia" w:ascii="宋体" w:hAnsi="宋体" w:eastAsia="宋体" w:cs="宋体"/>
          <w:bCs/>
          <w:color w:val="auto"/>
          <w:sz w:val="24"/>
          <w:szCs w:val="24"/>
          <w:lang w:val="en-US" w:eastAsia="zh-CN"/>
        </w:rPr>
        <w:t>中</w:t>
      </w:r>
      <w:r>
        <w:rPr>
          <w:rFonts w:hint="eastAsia" w:ascii="宋体" w:hAnsi="宋体" w:eastAsia="宋体" w:cs="宋体"/>
          <w:bCs/>
          <w:color w:val="auto"/>
          <w:sz w:val="24"/>
          <w:szCs w:val="24"/>
        </w:rPr>
        <w:t>，</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rPr>
        <w:t>(以下简称“甲方”)确定</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（以下简称“乙方”）为本项目的成交单位。</w:t>
      </w:r>
    </w:p>
    <w:p w14:paraId="3EFE3A68">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依据《中华人民共和国民法典》和《中华人民共和国政府采购法》，经双方协商按下述条款和条件签署本合同。</w:t>
      </w:r>
    </w:p>
    <w:p w14:paraId="4E053C6F">
      <w:pPr>
        <w:autoSpaceDE w:val="0"/>
        <w:autoSpaceDN w:val="0"/>
        <w:adjustRightInd w:val="0"/>
        <w:spacing w:line="360" w:lineRule="auto"/>
        <w:ind w:firstLine="482" w:firstLineChars="200"/>
        <w:rPr>
          <w:rFonts w:hint="eastAsia" w:ascii="宋体" w:hAnsi="宋体" w:eastAsia="宋体" w:cs="宋体"/>
          <w:bCs/>
          <w:color w:val="auto"/>
          <w:sz w:val="24"/>
          <w:szCs w:val="24"/>
        </w:rPr>
      </w:pPr>
      <w:r>
        <w:rPr>
          <w:rFonts w:hint="eastAsia" w:ascii="宋体" w:hAnsi="宋体" w:eastAsia="宋体" w:cs="宋体"/>
          <w:b/>
          <w:color w:val="auto"/>
          <w:sz w:val="24"/>
          <w:szCs w:val="24"/>
        </w:rPr>
        <w:t>一、合同价款</w:t>
      </w:r>
    </w:p>
    <w:p w14:paraId="6D9BAE08">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（一）合同总价款：大写：</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元）。</w:t>
      </w:r>
    </w:p>
    <w:p w14:paraId="675B94E6">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（二）合同总价包括：工程量清单的全部内容，不受市场价变化或实际工作量变化的影响</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合同价格为含税价。</w:t>
      </w:r>
    </w:p>
    <w:p w14:paraId="1588E129">
      <w:pPr>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三</w:t>
      </w:r>
      <w:r>
        <w:rPr>
          <w:rFonts w:hint="eastAsia" w:ascii="宋体" w:hAnsi="宋体" w:eastAsia="宋体" w:cs="宋体"/>
          <w:color w:val="auto"/>
          <w:sz w:val="24"/>
          <w:szCs w:val="24"/>
          <w:highlight w:val="none"/>
          <w:lang w:eastAsia="zh-CN"/>
        </w:rPr>
        <w:t>）本项目合同价款</w:t>
      </w:r>
      <w:r>
        <w:rPr>
          <w:rFonts w:hint="eastAsia" w:ascii="宋体" w:hAnsi="宋体" w:eastAsia="宋体" w:cs="宋体"/>
          <w:color w:val="auto"/>
          <w:sz w:val="24"/>
          <w:szCs w:val="24"/>
          <w:highlight w:val="none"/>
        </w:rPr>
        <w:t>采用</w:t>
      </w:r>
      <w:r>
        <w:rPr>
          <w:rFonts w:hint="eastAsia" w:ascii="宋体" w:hAnsi="宋体" w:eastAsia="宋体" w:cs="宋体"/>
          <w:color w:val="auto"/>
          <w:sz w:val="24"/>
          <w:szCs w:val="24"/>
          <w:highlight w:val="none"/>
          <w:lang w:eastAsia="zh-CN"/>
        </w:rPr>
        <w:t>固定</w:t>
      </w:r>
      <w:r>
        <w:rPr>
          <w:rFonts w:hint="eastAsia" w:ascii="宋体" w:hAnsi="宋体" w:eastAsia="宋体" w:cs="宋体"/>
          <w:color w:val="auto"/>
          <w:sz w:val="24"/>
          <w:szCs w:val="24"/>
          <w:highlight w:val="none"/>
          <w:lang w:val="en-US" w:eastAsia="zh-CN"/>
        </w:rPr>
        <w:t>总价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单价</w:t>
      </w:r>
      <w:r>
        <w:rPr>
          <w:rFonts w:hint="eastAsia" w:ascii="宋体" w:hAnsi="宋体" w:eastAsia="宋体" w:cs="宋体"/>
          <w:color w:val="auto"/>
          <w:sz w:val="24"/>
          <w:szCs w:val="24"/>
          <w:highlight w:val="none"/>
          <w:lang w:eastAsia="zh-CN"/>
        </w:rPr>
        <w:t>按</w:t>
      </w:r>
      <w:r>
        <w:rPr>
          <w:rFonts w:hint="eastAsia" w:ascii="宋体" w:hAnsi="宋体" w:eastAsia="宋体" w:cs="宋体"/>
          <w:color w:val="auto"/>
          <w:sz w:val="24"/>
          <w:szCs w:val="24"/>
          <w:highlight w:val="none"/>
          <w:lang w:val="en-US" w:eastAsia="zh-CN"/>
        </w:rPr>
        <w:t>成交人最终</w:t>
      </w:r>
      <w:r>
        <w:rPr>
          <w:rFonts w:hint="eastAsia" w:ascii="宋体" w:hAnsi="宋体" w:eastAsia="宋体" w:cs="宋体"/>
          <w:color w:val="auto"/>
          <w:sz w:val="24"/>
          <w:szCs w:val="24"/>
          <w:highlight w:val="none"/>
          <w:lang w:eastAsia="zh-CN"/>
        </w:rPr>
        <w:t>磋商总报价的同比例下浮）据实结算</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但不</w:t>
      </w:r>
      <w:r>
        <w:rPr>
          <w:rFonts w:hint="eastAsia" w:ascii="宋体" w:hAnsi="宋体" w:eastAsia="宋体" w:cs="宋体"/>
          <w:color w:val="auto"/>
          <w:sz w:val="24"/>
          <w:szCs w:val="24"/>
          <w:highlight w:val="none"/>
          <w:lang w:val="en-US" w:eastAsia="zh-CN"/>
        </w:rPr>
        <w:t>得</w:t>
      </w:r>
      <w:r>
        <w:rPr>
          <w:rFonts w:hint="eastAsia" w:ascii="宋体" w:hAnsi="宋体" w:eastAsia="宋体" w:cs="宋体"/>
          <w:color w:val="auto"/>
          <w:sz w:val="24"/>
          <w:szCs w:val="24"/>
          <w:highlight w:val="none"/>
          <w:lang w:eastAsia="zh-CN"/>
        </w:rPr>
        <w:t>超过</w:t>
      </w:r>
      <w:r>
        <w:rPr>
          <w:rFonts w:hint="eastAsia" w:ascii="宋体" w:hAnsi="宋体" w:eastAsia="宋体" w:cs="宋体"/>
          <w:color w:val="auto"/>
          <w:sz w:val="24"/>
          <w:szCs w:val="24"/>
          <w:highlight w:val="none"/>
          <w:lang w:val="en-US" w:eastAsia="zh-CN"/>
        </w:rPr>
        <w:t>最高限价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工程决算以财政局评审结论为最终依据。</w:t>
      </w:r>
    </w:p>
    <w:p w14:paraId="077807E5">
      <w:pPr>
        <w:autoSpaceDE w:val="0"/>
        <w:autoSpaceDN w:val="0"/>
        <w:adjustRightInd w:val="0"/>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二、结算方式</w:t>
      </w:r>
    </w:p>
    <w:p w14:paraId="18BD7F5F">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lang w:val="en-US" w:eastAsia="zh-CN"/>
        </w:rPr>
        <w:t>一</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付款条件说明：</w:t>
      </w:r>
      <w:r>
        <w:rPr>
          <w:rFonts w:hint="eastAsia" w:ascii="宋体" w:hAnsi="宋体" w:eastAsia="宋体" w:cs="宋体"/>
          <w:bCs/>
          <w:color w:val="auto"/>
          <w:sz w:val="24"/>
          <w:szCs w:val="24"/>
          <w:lang w:val="en-US" w:eastAsia="zh-CN"/>
        </w:rPr>
        <w:t>1、甲方对乙方已完成且验收合格工程量进行核算，在达到付款条件的30个工作日内，进度款支付至核定已完工程量的80%。因专项资金尚未下达导致资金未到位的，甲方可顺延支付进度款； 2、项目按照合同约定条件全部竣工验收合格，并完成结算审计后，依据市资金指标到位情况，在达到付款条件的30个工作日内支付至审定结算总价款的100%</w:t>
      </w:r>
      <w:r>
        <w:rPr>
          <w:rFonts w:hint="eastAsia" w:ascii="宋体" w:hAnsi="宋体" w:eastAsia="宋体" w:cs="宋体"/>
          <w:bCs/>
          <w:color w:val="auto"/>
          <w:sz w:val="24"/>
          <w:szCs w:val="24"/>
        </w:rPr>
        <w:t>。</w:t>
      </w:r>
    </w:p>
    <w:p w14:paraId="15EE2468">
      <w:pPr>
        <w:autoSpaceDE w:val="0"/>
        <w:autoSpaceDN w:val="0"/>
        <w:adjustRightInd w:val="0"/>
        <w:spacing w:line="360" w:lineRule="auto"/>
        <w:ind w:firstLine="480" w:firstLineChars="200"/>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（二）甲方每次付款前，乙方应提前将符合甲方要求的等额增值税专用发票一并交予甲方。</w:t>
      </w:r>
    </w:p>
    <w:p w14:paraId="71283AAC">
      <w:pPr>
        <w:autoSpaceDE w:val="0"/>
        <w:autoSpaceDN w:val="0"/>
        <w:adjustRightInd w:val="0"/>
        <w:spacing w:line="360" w:lineRule="auto"/>
        <w:ind w:firstLine="480" w:firstLineChars="200"/>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（三）甲方承诺按合同约定的条件、时间和方式向乙方支付合同价款。</w:t>
      </w:r>
    </w:p>
    <w:p w14:paraId="0288566B">
      <w:pPr>
        <w:autoSpaceDE w:val="0"/>
        <w:autoSpaceDN w:val="0"/>
        <w:adjustRightInd w:val="0"/>
        <w:spacing w:line="360" w:lineRule="auto"/>
        <w:ind w:firstLine="482" w:firstLineChars="200"/>
        <w:rPr>
          <w:rFonts w:hint="eastAsia"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三、项目经理信息</w:t>
      </w:r>
    </w:p>
    <w:p w14:paraId="09AAB625">
      <w:pPr>
        <w:pStyle w:val="4"/>
        <w:spacing w:line="360" w:lineRule="auto"/>
        <w:ind w:firstLine="480" w:firstLineChars="200"/>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Cs/>
          <w:color w:val="auto"/>
          <w:sz w:val="24"/>
          <w:szCs w:val="24"/>
        </w:rPr>
        <w:t>（一）</w:t>
      </w:r>
      <w:r>
        <w:rPr>
          <w:rFonts w:hint="eastAsia" w:ascii="宋体" w:hAnsi="宋体" w:eastAsia="宋体" w:cs="宋体"/>
          <w:color w:val="auto"/>
          <w:kern w:val="0"/>
          <w:sz w:val="24"/>
          <w:szCs w:val="24"/>
          <w:highlight w:val="none"/>
          <w:lang w:val="en-US" w:eastAsia="zh-CN" w:bidi="ar-SA"/>
        </w:rPr>
        <w:t>项目经理：</w:t>
      </w:r>
      <w:r>
        <w:rPr>
          <w:rFonts w:hint="eastAsia" w:ascii="宋体" w:hAnsi="宋体" w:eastAsia="宋体" w:cs="宋体"/>
          <w:bCs/>
          <w:color w:val="auto"/>
          <w:sz w:val="24"/>
          <w:szCs w:val="24"/>
          <w:u w:val="single"/>
        </w:rPr>
        <w:t xml:space="preserve">           </w:t>
      </w:r>
    </w:p>
    <w:p w14:paraId="3D3C3409">
      <w:pPr>
        <w:pStyle w:val="4"/>
        <w:spacing w:line="360" w:lineRule="auto"/>
        <w:ind w:firstLine="480" w:firstLineChars="200"/>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Cs/>
          <w:color w:val="auto"/>
          <w:sz w:val="24"/>
          <w:szCs w:val="24"/>
        </w:rPr>
        <w:t>（</w:t>
      </w:r>
      <w:r>
        <w:rPr>
          <w:rFonts w:hint="eastAsia" w:ascii="宋体" w:hAnsi="宋体" w:eastAsia="宋体" w:cs="宋体"/>
          <w:bCs/>
          <w:color w:val="auto"/>
          <w:sz w:val="24"/>
          <w:szCs w:val="24"/>
          <w:lang w:val="en-US" w:eastAsia="zh-CN"/>
        </w:rPr>
        <w:t>二</w:t>
      </w:r>
      <w:r>
        <w:rPr>
          <w:rFonts w:hint="eastAsia" w:ascii="宋体" w:hAnsi="宋体" w:eastAsia="宋体" w:cs="宋体"/>
          <w:bCs/>
          <w:color w:val="auto"/>
          <w:sz w:val="24"/>
          <w:szCs w:val="24"/>
        </w:rPr>
        <w:t>）</w:t>
      </w:r>
      <w:r>
        <w:rPr>
          <w:rFonts w:hint="eastAsia" w:ascii="宋体" w:hAnsi="宋体" w:eastAsia="宋体" w:cs="宋体"/>
          <w:color w:val="auto"/>
          <w:kern w:val="0"/>
          <w:sz w:val="24"/>
          <w:szCs w:val="24"/>
          <w:highlight w:val="none"/>
          <w:lang w:val="en-US" w:eastAsia="zh-CN" w:bidi="ar-SA"/>
        </w:rPr>
        <w:t>身份证号：</w:t>
      </w:r>
      <w:r>
        <w:rPr>
          <w:rFonts w:hint="eastAsia" w:ascii="宋体" w:hAnsi="宋体" w:eastAsia="宋体" w:cs="宋体"/>
          <w:bCs/>
          <w:color w:val="auto"/>
          <w:sz w:val="24"/>
          <w:szCs w:val="24"/>
          <w:u w:val="single"/>
        </w:rPr>
        <w:t xml:space="preserve">           </w:t>
      </w:r>
    </w:p>
    <w:p w14:paraId="169DDE78">
      <w:pPr>
        <w:pStyle w:val="4"/>
        <w:spacing w:line="360" w:lineRule="auto"/>
        <w:ind w:firstLine="480" w:firstLineChars="200"/>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Cs/>
          <w:color w:val="auto"/>
          <w:sz w:val="24"/>
          <w:szCs w:val="24"/>
        </w:rPr>
        <w:t>（</w:t>
      </w:r>
      <w:r>
        <w:rPr>
          <w:rFonts w:hint="eastAsia" w:ascii="宋体" w:hAnsi="宋体" w:eastAsia="宋体" w:cs="宋体"/>
          <w:bCs/>
          <w:color w:val="auto"/>
          <w:sz w:val="24"/>
          <w:szCs w:val="24"/>
          <w:lang w:val="en-US" w:eastAsia="zh-CN"/>
        </w:rPr>
        <w:t>三</w:t>
      </w:r>
      <w:r>
        <w:rPr>
          <w:rFonts w:hint="eastAsia" w:ascii="宋体" w:hAnsi="宋体" w:eastAsia="宋体" w:cs="宋体"/>
          <w:bCs/>
          <w:color w:val="auto"/>
          <w:sz w:val="24"/>
          <w:szCs w:val="24"/>
        </w:rPr>
        <w:t>）</w:t>
      </w:r>
      <w:r>
        <w:rPr>
          <w:rFonts w:hint="eastAsia" w:ascii="宋体" w:hAnsi="宋体" w:eastAsia="宋体" w:cs="宋体"/>
          <w:color w:val="auto"/>
          <w:kern w:val="0"/>
          <w:sz w:val="24"/>
          <w:szCs w:val="24"/>
          <w:highlight w:val="none"/>
          <w:lang w:val="en-US" w:eastAsia="zh-CN" w:bidi="ar-SA"/>
        </w:rPr>
        <w:t>联系电话：</w:t>
      </w:r>
      <w:r>
        <w:rPr>
          <w:rFonts w:hint="eastAsia" w:ascii="宋体" w:hAnsi="宋体" w:eastAsia="宋体" w:cs="宋体"/>
          <w:bCs/>
          <w:color w:val="auto"/>
          <w:sz w:val="24"/>
          <w:szCs w:val="24"/>
          <w:u w:val="single"/>
        </w:rPr>
        <w:t xml:space="preserve">           </w:t>
      </w:r>
    </w:p>
    <w:p w14:paraId="527951FA">
      <w:pPr>
        <w:pStyle w:val="4"/>
        <w:spacing w:line="360" w:lineRule="auto"/>
        <w:ind w:firstLine="480" w:firstLineChars="200"/>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Cs/>
          <w:color w:val="auto"/>
          <w:sz w:val="24"/>
          <w:szCs w:val="24"/>
        </w:rPr>
        <w:t>（</w:t>
      </w:r>
      <w:r>
        <w:rPr>
          <w:rFonts w:hint="eastAsia" w:ascii="宋体" w:hAnsi="宋体" w:eastAsia="宋体" w:cs="宋体"/>
          <w:bCs/>
          <w:color w:val="auto"/>
          <w:sz w:val="24"/>
          <w:szCs w:val="24"/>
          <w:lang w:val="en-US" w:eastAsia="zh-CN"/>
        </w:rPr>
        <w:t>四</w:t>
      </w:r>
      <w:r>
        <w:rPr>
          <w:rFonts w:hint="eastAsia" w:ascii="宋体" w:hAnsi="宋体" w:eastAsia="宋体" w:cs="宋体"/>
          <w:bCs/>
          <w:color w:val="auto"/>
          <w:sz w:val="24"/>
          <w:szCs w:val="24"/>
        </w:rPr>
        <w:t>）</w:t>
      </w:r>
      <w:r>
        <w:rPr>
          <w:rFonts w:hint="eastAsia" w:ascii="宋体" w:hAnsi="宋体" w:eastAsia="宋体" w:cs="宋体"/>
          <w:color w:val="auto"/>
          <w:kern w:val="0"/>
          <w:sz w:val="24"/>
          <w:szCs w:val="24"/>
          <w:highlight w:val="none"/>
          <w:lang w:val="en-US" w:eastAsia="zh-CN" w:bidi="ar-SA"/>
        </w:rPr>
        <w:t>证书编号：</w:t>
      </w:r>
      <w:r>
        <w:rPr>
          <w:rFonts w:hint="eastAsia" w:ascii="宋体" w:hAnsi="宋体" w:eastAsia="宋体" w:cs="宋体"/>
          <w:bCs/>
          <w:color w:val="auto"/>
          <w:sz w:val="24"/>
          <w:szCs w:val="24"/>
          <w:u w:val="single"/>
        </w:rPr>
        <w:t xml:space="preserve">           </w:t>
      </w:r>
    </w:p>
    <w:p w14:paraId="6D3AC9B9">
      <w:pPr>
        <w:autoSpaceDE w:val="0"/>
        <w:autoSpaceDN w:val="0"/>
        <w:adjustRightInd w:val="0"/>
        <w:spacing w:line="360" w:lineRule="auto"/>
        <w:ind w:firstLine="482" w:firstLineChars="200"/>
        <w:rPr>
          <w:rFonts w:hint="eastAsia" w:ascii="宋体" w:hAnsi="宋体" w:eastAsia="宋体" w:cs="宋体"/>
          <w:bCs/>
          <w:color w:val="auto"/>
          <w:sz w:val="24"/>
          <w:szCs w:val="24"/>
        </w:rPr>
      </w:pPr>
      <w:r>
        <w:rPr>
          <w:rFonts w:hint="eastAsia" w:ascii="宋体" w:hAnsi="宋体" w:eastAsia="宋体" w:cs="宋体"/>
          <w:b/>
          <w:color w:val="auto"/>
          <w:sz w:val="24"/>
          <w:szCs w:val="24"/>
          <w:lang w:val="en-US" w:eastAsia="zh-CN"/>
        </w:rPr>
        <w:t>四</w:t>
      </w:r>
      <w:r>
        <w:rPr>
          <w:rFonts w:hint="eastAsia" w:ascii="宋体" w:hAnsi="宋体" w:eastAsia="宋体" w:cs="宋体"/>
          <w:b/>
          <w:color w:val="auto"/>
          <w:sz w:val="24"/>
          <w:szCs w:val="24"/>
        </w:rPr>
        <w:t>、实施地点及工期</w:t>
      </w:r>
      <w:r>
        <w:rPr>
          <w:rFonts w:hint="eastAsia" w:ascii="宋体" w:hAnsi="宋体" w:eastAsia="宋体" w:cs="宋体"/>
          <w:b/>
          <w:color w:val="auto"/>
          <w:sz w:val="24"/>
          <w:szCs w:val="24"/>
          <w:lang w:eastAsia="zh-CN"/>
        </w:rPr>
        <w:t>、</w:t>
      </w:r>
      <w:r>
        <w:rPr>
          <w:rFonts w:hint="eastAsia" w:ascii="宋体" w:hAnsi="宋体" w:eastAsia="宋体" w:cs="宋体"/>
          <w:b/>
          <w:color w:val="auto"/>
          <w:sz w:val="24"/>
          <w:szCs w:val="24"/>
          <w:lang w:val="en-US" w:eastAsia="zh-CN"/>
        </w:rPr>
        <w:t>质保期</w:t>
      </w:r>
      <w:r>
        <w:rPr>
          <w:rFonts w:hint="eastAsia" w:ascii="宋体" w:hAnsi="宋体" w:eastAsia="宋体" w:cs="宋体"/>
          <w:b/>
          <w:color w:val="auto"/>
          <w:sz w:val="24"/>
          <w:szCs w:val="24"/>
        </w:rPr>
        <w:t>：</w:t>
      </w:r>
    </w:p>
    <w:p w14:paraId="37A44EF6">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（一）实施地点：甲方指定地点。</w:t>
      </w:r>
    </w:p>
    <w:p w14:paraId="12B3F57C">
      <w:pPr>
        <w:pStyle w:val="5"/>
        <w:spacing w:line="360" w:lineRule="auto"/>
        <w:ind w:left="0" w:leftChars="0"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（二）工期：自合同签订之日起</w:t>
      </w:r>
      <w:r>
        <w:rPr>
          <w:rFonts w:hint="eastAsia" w:ascii="宋体" w:hAnsi="宋体" w:cs="宋体"/>
          <w:b w:val="0"/>
          <w:bCs/>
          <w:color w:val="auto"/>
          <w:sz w:val="24"/>
          <w:szCs w:val="24"/>
          <w:lang w:val="en-US" w:eastAsia="zh-CN"/>
        </w:rPr>
        <w:t>（</w:t>
      </w:r>
      <w:r>
        <w:rPr>
          <w:rFonts w:hint="eastAsia" w:ascii="宋体" w:hAnsi="宋体" w:cs="宋体"/>
          <w:b w:val="0"/>
          <w:bCs/>
          <w:color w:val="auto"/>
          <w:sz w:val="24"/>
          <w:szCs w:val="24"/>
          <w:u w:val="single"/>
          <w:lang w:val="en-US" w:eastAsia="zh-CN"/>
        </w:rPr>
        <w:t xml:space="preserve">   </w:t>
      </w:r>
      <w:r>
        <w:rPr>
          <w:rFonts w:hint="eastAsia" w:ascii="宋体" w:hAnsi="宋体" w:cs="宋体"/>
          <w:b w:val="0"/>
          <w:bCs/>
          <w:color w:val="auto"/>
          <w:sz w:val="24"/>
          <w:szCs w:val="24"/>
          <w:lang w:val="en-US" w:eastAsia="zh-CN"/>
        </w:rPr>
        <w:t>）</w:t>
      </w:r>
      <w:r>
        <w:rPr>
          <w:rFonts w:hint="eastAsia" w:ascii="宋体" w:hAnsi="宋体" w:eastAsia="宋体" w:cs="宋体"/>
          <w:b w:val="0"/>
          <w:bCs/>
          <w:color w:val="auto"/>
          <w:sz w:val="24"/>
          <w:szCs w:val="24"/>
          <w:lang w:val="en-US" w:eastAsia="zh-CN"/>
        </w:rPr>
        <w:t>日历天。</w:t>
      </w:r>
    </w:p>
    <w:p w14:paraId="7178A558">
      <w:pPr>
        <w:pStyle w:val="5"/>
        <w:spacing w:line="360" w:lineRule="auto"/>
        <w:ind w:left="0" w:leftChars="0"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（三）质保期：自竣工验收合格之日起1年。</w:t>
      </w:r>
      <w:bookmarkStart w:id="2" w:name="_GoBack"/>
      <w:bookmarkEnd w:id="2"/>
    </w:p>
    <w:p w14:paraId="5897C797">
      <w:pPr>
        <w:pStyle w:val="5"/>
        <w:spacing w:line="360" w:lineRule="auto"/>
        <w:ind w:left="0" w:leftChars="0"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（四）缺陷责任期：自竣工验收合格之日起1年。</w:t>
      </w:r>
    </w:p>
    <w:p w14:paraId="3A471148">
      <w:pPr>
        <w:pStyle w:val="5"/>
        <w:spacing w:line="360" w:lineRule="auto"/>
        <w:rPr>
          <w:rFonts w:hint="eastAsia" w:ascii="宋体" w:hAnsi="宋体" w:eastAsia="宋体" w:cs="宋体"/>
          <w:b/>
          <w:color w:val="auto"/>
          <w:sz w:val="24"/>
          <w:szCs w:val="24"/>
          <w:lang w:val="zh-CN"/>
        </w:rPr>
      </w:pPr>
      <w:r>
        <w:rPr>
          <w:rFonts w:hint="eastAsia" w:ascii="宋体" w:hAnsi="宋体" w:eastAsia="宋体" w:cs="宋体"/>
          <w:b/>
          <w:color w:val="auto"/>
          <w:sz w:val="24"/>
          <w:szCs w:val="24"/>
          <w:lang w:val="en-US" w:eastAsia="zh-CN"/>
        </w:rPr>
        <w:t>五</w:t>
      </w:r>
      <w:r>
        <w:rPr>
          <w:rFonts w:hint="eastAsia" w:ascii="宋体" w:hAnsi="宋体" w:eastAsia="宋体" w:cs="宋体"/>
          <w:b/>
          <w:color w:val="auto"/>
          <w:sz w:val="24"/>
          <w:szCs w:val="24"/>
          <w:lang w:val="zh-CN"/>
        </w:rPr>
        <w:t>、质量保证</w:t>
      </w:r>
    </w:p>
    <w:p w14:paraId="097CE24D">
      <w:pPr>
        <w:autoSpaceDE w:val="0"/>
        <w:autoSpaceDN w:val="0"/>
        <w:adjustRightIn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rPr>
        <w:t>（一）</w:t>
      </w:r>
      <w:r>
        <w:rPr>
          <w:rFonts w:hint="eastAsia" w:ascii="宋体" w:hAnsi="宋体" w:eastAsia="宋体" w:cs="宋体"/>
          <w:color w:val="auto"/>
          <w:sz w:val="24"/>
          <w:szCs w:val="24"/>
          <w:lang w:val="zh-CN"/>
        </w:rPr>
        <w:t>所选材料必须保证质量可靠、进货渠道正常，符合国家环保等相关标准，满足施工要求。</w:t>
      </w:r>
    </w:p>
    <w:p w14:paraId="29345D65">
      <w:pPr>
        <w:autoSpaceDE w:val="0"/>
        <w:autoSpaceDN w:val="0"/>
        <w:adjustRightIn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rPr>
        <w:t>（二）</w:t>
      </w:r>
      <w:r>
        <w:rPr>
          <w:rFonts w:hint="eastAsia" w:ascii="宋体" w:hAnsi="宋体" w:eastAsia="宋体" w:cs="宋体"/>
          <w:color w:val="auto"/>
          <w:sz w:val="24"/>
          <w:szCs w:val="24"/>
          <w:lang w:val="en-US" w:eastAsia="zh-CN"/>
        </w:rPr>
        <w:t>工程质量</w:t>
      </w:r>
      <w:r>
        <w:rPr>
          <w:rFonts w:hint="eastAsia" w:ascii="宋体" w:hAnsi="宋体" w:eastAsia="宋体" w:cs="宋体"/>
          <w:b w:val="0"/>
          <w:bCs/>
          <w:color w:val="auto"/>
          <w:sz w:val="24"/>
          <w:szCs w:val="24"/>
          <w:lang w:val="en-US" w:eastAsia="zh-CN"/>
        </w:rPr>
        <w:t>符合国家现行有关施工质量验收规范“合格”标准</w:t>
      </w:r>
      <w:r>
        <w:rPr>
          <w:rFonts w:hint="eastAsia" w:ascii="宋体" w:hAnsi="宋体" w:eastAsia="宋体" w:cs="宋体"/>
          <w:color w:val="auto"/>
          <w:sz w:val="24"/>
          <w:szCs w:val="24"/>
          <w:lang w:val="zh-CN"/>
        </w:rPr>
        <w:t>。</w:t>
      </w:r>
    </w:p>
    <w:p w14:paraId="70EC771C">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rPr>
        <w:t>六</w:t>
      </w:r>
      <w:r>
        <w:rPr>
          <w:rFonts w:hint="eastAsia" w:ascii="宋体" w:hAnsi="宋体" w:eastAsia="宋体" w:cs="宋体"/>
          <w:b/>
          <w:color w:val="auto"/>
          <w:sz w:val="24"/>
          <w:szCs w:val="24"/>
        </w:rPr>
        <w:t>、双方责任</w:t>
      </w:r>
    </w:p>
    <w:p w14:paraId="22745343">
      <w:pPr>
        <w:spacing w:line="360" w:lineRule="auto"/>
        <w:ind w:firstLine="480" w:firstLineChars="200"/>
        <w:rPr>
          <w:rFonts w:hint="eastAsia" w:ascii="宋体" w:hAnsi="宋体" w:eastAsia="宋体" w:cs="宋体"/>
          <w:b/>
          <w:color w:val="auto"/>
          <w:sz w:val="24"/>
          <w:szCs w:val="24"/>
        </w:rPr>
      </w:pPr>
      <w:r>
        <w:rPr>
          <w:rFonts w:hint="eastAsia" w:ascii="宋体" w:hAnsi="宋体" w:eastAsia="宋体" w:cs="宋体"/>
          <w:color w:val="auto"/>
          <w:sz w:val="24"/>
          <w:szCs w:val="24"/>
        </w:rPr>
        <w:t>（一）甲方责任：</w:t>
      </w:r>
    </w:p>
    <w:p w14:paraId="4C1CD666">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1、甲方负责施工场地的提供，排除施工障碍的协调。</w:t>
      </w:r>
    </w:p>
    <w:p w14:paraId="48DC3054">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2、组织设计、设计变更及现场签证，工程结算的审定等工作。</w:t>
      </w:r>
    </w:p>
    <w:p w14:paraId="62CFE261">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3、对工程进度、质量进行监督检查。</w:t>
      </w:r>
    </w:p>
    <w:p w14:paraId="5BACA4EE">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4、组织有关单位对工程进行竣工验收。</w:t>
      </w:r>
    </w:p>
    <w:p w14:paraId="0FED0146">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5、按时支付工程款。</w:t>
      </w:r>
    </w:p>
    <w:p w14:paraId="450403A1">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（二）乙方责任：</w:t>
      </w:r>
    </w:p>
    <w:p w14:paraId="35A75C6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1、负责办理完成项目</w:t>
      </w:r>
      <w:r>
        <w:rPr>
          <w:rFonts w:hint="eastAsia" w:ascii="宋体" w:hAnsi="宋体" w:eastAsia="宋体" w:cs="宋体"/>
          <w:color w:val="auto"/>
          <w:sz w:val="24"/>
          <w:szCs w:val="24"/>
          <w:lang w:eastAsia="zh-CN"/>
        </w:rPr>
        <w:t>施工</w:t>
      </w:r>
      <w:r>
        <w:rPr>
          <w:rFonts w:hint="eastAsia" w:ascii="宋体" w:hAnsi="宋体" w:eastAsia="宋体" w:cs="宋体"/>
          <w:color w:val="auto"/>
          <w:sz w:val="24"/>
          <w:szCs w:val="24"/>
        </w:rPr>
        <w:t>审批手续，负责工程安全文明施工、承担一切风险，满足甲方工程的需要。保证甲方正式投入使用，再无其他费用发生。</w:t>
      </w:r>
    </w:p>
    <w:p w14:paraId="3CDB2B8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2、乙方进入甲方要求场地施工，应服从当地对治安、卫生、环保、社会保险等工程建设的统一管理，并按有关规定</w:t>
      </w:r>
      <w:r>
        <w:rPr>
          <w:rFonts w:hint="eastAsia" w:ascii="宋体" w:hAnsi="宋体" w:eastAsia="宋体" w:cs="宋体"/>
          <w:color w:val="auto"/>
          <w:sz w:val="24"/>
          <w:szCs w:val="24"/>
          <w:lang w:eastAsia="zh-CN"/>
        </w:rPr>
        <w:t>缴纳</w:t>
      </w:r>
      <w:r>
        <w:rPr>
          <w:rFonts w:hint="eastAsia" w:ascii="宋体" w:hAnsi="宋体" w:eastAsia="宋体" w:cs="宋体"/>
          <w:color w:val="auto"/>
          <w:sz w:val="24"/>
          <w:szCs w:val="24"/>
        </w:rPr>
        <w:t>费用以及因违反相关规定而造成的罚款。乙方按照国家和当地政府有关规定应采取的任何必要安全防护措施已包含在乙方的合同价款当中，甲方不另行支付。竣工后交甲方竣工</w:t>
      </w:r>
      <w:r>
        <w:rPr>
          <w:rFonts w:hint="eastAsia" w:ascii="宋体" w:hAnsi="宋体" w:eastAsia="宋体" w:cs="宋体"/>
          <w:color w:val="auto"/>
          <w:sz w:val="24"/>
          <w:szCs w:val="24"/>
          <w:lang w:val="en-US" w:eastAsia="zh-CN"/>
        </w:rPr>
        <w:t>图</w:t>
      </w:r>
      <w:r>
        <w:rPr>
          <w:rFonts w:hint="eastAsia" w:ascii="宋体" w:hAnsi="宋体" w:eastAsia="宋体" w:cs="宋体"/>
          <w:color w:val="auto"/>
          <w:sz w:val="24"/>
          <w:szCs w:val="24"/>
        </w:rPr>
        <w:t>二份及甲方委托乙方办理项目手续的相关资料等，以备留档。</w:t>
      </w:r>
    </w:p>
    <w:p w14:paraId="6335632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按照设计说明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4C3398F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4、乙方提供的主要材料、设备必须有质量合格证等相关证件方可用于工程，对材料改变或代用必须经原设计单位同意，并</w:t>
      </w:r>
      <w:r>
        <w:rPr>
          <w:rFonts w:hint="eastAsia" w:ascii="宋体" w:hAnsi="宋体" w:eastAsia="宋体" w:cs="宋体"/>
          <w:color w:val="auto"/>
          <w:sz w:val="24"/>
          <w:szCs w:val="24"/>
          <w:lang w:eastAsia="zh-CN"/>
        </w:rPr>
        <w:t>发出</w:t>
      </w:r>
      <w:r>
        <w:rPr>
          <w:rFonts w:hint="eastAsia" w:ascii="宋体" w:hAnsi="宋体" w:eastAsia="宋体" w:cs="宋体"/>
          <w:color w:val="auto"/>
          <w:sz w:val="24"/>
          <w:szCs w:val="24"/>
        </w:rPr>
        <w:t>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2583D8C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5、隐蔽工程在覆盖前必须经甲方代表或现场监理代表验收签章后，方可进行下一道工序。</w:t>
      </w:r>
    </w:p>
    <w:p w14:paraId="4C3A373F">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6、遵守甲方施工场地的规章制度和管理，做到安全文明施工，做好成品保护，对甲方提出的问题应在</w:t>
      </w:r>
      <w:r>
        <w:rPr>
          <w:rFonts w:hint="eastAsia" w:ascii="宋体" w:hAnsi="宋体" w:eastAsia="宋体" w:cs="宋体"/>
          <w:color w:val="auto"/>
          <w:sz w:val="24"/>
          <w:szCs w:val="24"/>
          <w:lang w:val="en-US" w:eastAsia="zh-CN"/>
        </w:rPr>
        <w:t>24</w:t>
      </w:r>
      <w:r>
        <w:rPr>
          <w:rFonts w:hint="eastAsia" w:ascii="宋体" w:hAnsi="宋体" w:eastAsia="宋体" w:cs="宋体"/>
          <w:color w:val="auto"/>
          <w:sz w:val="24"/>
          <w:szCs w:val="24"/>
        </w:rPr>
        <w:t>小时内予以解决或处理；遵守有关施工规范和安全操作规程，如发生安全事故，乙方应及时通知甲方，积极采取有效的补救措施，如因此造成甲方、乙方或第三方人身或财产损失，全部责任由乙方自行承担。</w:t>
      </w:r>
    </w:p>
    <w:p w14:paraId="69351F0D">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7、采取有效的安全保障措施，确保施工安全，包括悬挂警示标牌、装设围栏、配备安全人员等，并承担事故的全部费用和责任。</w:t>
      </w:r>
    </w:p>
    <w:p w14:paraId="590830A0">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8、工程竣工后提供竣工验收技术资料及竣工图</w:t>
      </w:r>
      <w:r>
        <w:rPr>
          <w:rFonts w:hint="eastAsia" w:ascii="宋体" w:hAnsi="宋体" w:eastAsia="宋体" w:cs="宋体"/>
          <w:color w:val="auto"/>
          <w:sz w:val="24"/>
          <w:szCs w:val="24"/>
          <w:u w:val="none"/>
          <w:lang w:val="en-US" w:eastAsia="zh-CN"/>
        </w:rPr>
        <w:t>二</w:t>
      </w:r>
      <w:r>
        <w:rPr>
          <w:rFonts w:hint="eastAsia" w:ascii="宋体" w:hAnsi="宋体" w:eastAsia="宋体" w:cs="宋体"/>
          <w:color w:val="auto"/>
          <w:sz w:val="24"/>
          <w:szCs w:val="24"/>
        </w:rPr>
        <w:t>套，办理工程竣工结算手续，参加工程竣工验收。</w:t>
      </w:r>
    </w:p>
    <w:p w14:paraId="59E6D74E">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9、已完工的项目，在交工前乙方应负责保管，清理现场达到建筑物无污染，现场无建筑垃圾。</w:t>
      </w:r>
    </w:p>
    <w:p w14:paraId="131B84B9">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10、本工程不得转包。</w:t>
      </w:r>
    </w:p>
    <w:p w14:paraId="06C17D4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11、乙方应在设备运行过程中，对安全隐患进行全面的不定期检查与维护，并对不按安全规程操作的施工单位及时制止，并报甲方进行处理。</w:t>
      </w:r>
    </w:p>
    <w:p w14:paraId="43B42453">
      <w:pPr>
        <w:spacing w:line="360" w:lineRule="auto"/>
        <w:ind w:firstLine="480" w:firstLineChars="200"/>
        <w:rPr>
          <w:rFonts w:hint="eastAsia" w:ascii="宋体" w:hAnsi="宋体" w:eastAsia="宋体" w:cs="宋体"/>
          <w:b/>
          <w:color w:val="auto"/>
          <w:sz w:val="24"/>
          <w:szCs w:val="24"/>
          <w:lang w:val="zh-CN"/>
        </w:rPr>
      </w:pPr>
      <w:r>
        <w:rPr>
          <w:rFonts w:hint="eastAsia" w:ascii="宋体" w:hAnsi="宋体" w:eastAsia="宋体" w:cs="宋体"/>
          <w:color w:val="auto"/>
          <w:sz w:val="24"/>
          <w:szCs w:val="24"/>
        </w:rPr>
        <w:t>12、乙方不能按合同规定的工期竣工的，应向甲方支付违约金，每逾期一日，支付合同总价款万分之二的违约金，造成甲方损失的，还应赔偿甲方损失。</w:t>
      </w:r>
    </w:p>
    <w:p w14:paraId="7347402E">
      <w:pPr>
        <w:spacing w:line="360" w:lineRule="auto"/>
        <w:ind w:firstLine="482" w:firstLineChars="200"/>
        <w:jc w:val="left"/>
        <w:textAlignment w:val="baseline"/>
        <w:rPr>
          <w:rFonts w:hint="eastAsia" w:ascii="宋体" w:hAnsi="宋体" w:eastAsia="宋体" w:cs="宋体"/>
          <w:b/>
          <w:color w:val="auto"/>
          <w:sz w:val="24"/>
          <w:szCs w:val="24"/>
        </w:rPr>
      </w:pPr>
      <w:r>
        <w:rPr>
          <w:rFonts w:hint="eastAsia" w:ascii="宋体" w:hAnsi="宋体" w:eastAsia="宋体" w:cs="宋体"/>
          <w:b/>
          <w:color w:val="auto"/>
          <w:sz w:val="24"/>
          <w:szCs w:val="24"/>
          <w:lang w:eastAsia="zh-CN"/>
        </w:rPr>
        <w:t>七</w:t>
      </w:r>
      <w:r>
        <w:rPr>
          <w:rFonts w:hint="eastAsia" w:ascii="宋体" w:hAnsi="宋体" w:eastAsia="宋体" w:cs="宋体"/>
          <w:b/>
          <w:color w:val="auto"/>
          <w:sz w:val="24"/>
          <w:szCs w:val="24"/>
        </w:rPr>
        <w:t>、组成合同的文件</w:t>
      </w:r>
    </w:p>
    <w:p w14:paraId="44D7206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一</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组成本合同的文件包括：</w:t>
      </w:r>
    </w:p>
    <w:p w14:paraId="4009C98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本合同书</w:t>
      </w:r>
    </w:p>
    <w:p w14:paraId="58AE77B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成交通知书</w:t>
      </w:r>
    </w:p>
    <w:p w14:paraId="62A6683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磋商文件及其附件</w:t>
      </w:r>
    </w:p>
    <w:p w14:paraId="7EB6C3C5">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磋商报价清单</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已标价的工程量清单</w:t>
      </w:r>
      <w:r>
        <w:rPr>
          <w:rFonts w:hint="eastAsia" w:ascii="宋体" w:hAnsi="宋体" w:eastAsia="宋体" w:cs="宋体"/>
          <w:color w:val="auto"/>
          <w:sz w:val="24"/>
          <w:szCs w:val="24"/>
          <w:lang w:eastAsia="zh-CN"/>
        </w:rPr>
        <w:t>）</w:t>
      </w:r>
    </w:p>
    <w:p w14:paraId="13D4F48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二</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双方有关工程的洽商、变更等书面协议或文件、补充协议书均视为本合同的组成部分。</w:t>
      </w:r>
    </w:p>
    <w:p w14:paraId="4B125379">
      <w:pPr>
        <w:autoSpaceDE w:val="0"/>
        <w:autoSpaceDN w:val="0"/>
        <w:adjustRightInd w:val="0"/>
        <w:spacing w:line="360" w:lineRule="auto"/>
        <w:ind w:firstLine="482" w:firstLineChars="200"/>
        <w:rPr>
          <w:rFonts w:hint="eastAsia" w:ascii="宋体" w:hAnsi="宋体" w:eastAsia="宋体" w:cs="宋体"/>
          <w:b/>
          <w:color w:val="auto"/>
          <w:sz w:val="24"/>
          <w:szCs w:val="24"/>
          <w:lang w:val="zh-CN"/>
        </w:rPr>
      </w:pPr>
      <w:r>
        <w:rPr>
          <w:rFonts w:hint="eastAsia" w:ascii="宋体" w:hAnsi="宋体" w:eastAsia="宋体" w:cs="宋体"/>
          <w:b/>
          <w:color w:val="auto"/>
          <w:sz w:val="24"/>
          <w:szCs w:val="24"/>
          <w:lang w:val="en-US" w:eastAsia="zh-CN"/>
        </w:rPr>
        <w:t>八</w:t>
      </w:r>
      <w:r>
        <w:rPr>
          <w:rFonts w:hint="eastAsia" w:ascii="宋体" w:hAnsi="宋体" w:eastAsia="宋体" w:cs="宋体"/>
          <w:b/>
          <w:color w:val="auto"/>
          <w:sz w:val="24"/>
          <w:szCs w:val="24"/>
          <w:lang w:val="zh-CN"/>
        </w:rPr>
        <w:t>、验收</w:t>
      </w:r>
    </w:p>
    <w:p w14:paraId="0935DE59">
      <w:pPr>
        <w:autoSpaceDE w:val="0"/>
        <w:autoSpaceDN w:val="0"/>
        <w:adjustRightIn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w:t>
      </w:r>
      <w:r>
        <w:rPr>
          <w:rFonts w:hint="eastAsia" w:ascii="宋体" w:hAnsi="宋体" w:eastAsia="宋体" w:cs="宋体"/>
          <w:color w:val="auto"/>
          <w:sz w:val="24"/>
          <w:szCs w:val="24"/>
          <w:lang w:val="en-US" w:eastAsia="zh-CN"/>
        </w:rPr>
        <w:t>一</w:t>
      </w:r>
      <w:r>
        <w:rPr>
          <w:rFonts w:hint="eastAsia" w:ascii="宋体" w:hAnsi="宋体" w:eastAsia="宋体" w:cs="宋体"/>
          <w:color w:val="auto"/>
          <w:sz w:val="24"/>
          <w:szCs w:val="24"/>
          <w:lang w:val="zh-CN"/>
        </w:rPr>
        <w:t>）质量验收标准或规范</w:t>
      </w:r>
    </w:p>
    <w:p w14:paraId="781AD7A6">
      <w:pPr>
        <w:autoSpaceDE w:val="0"/>
        <w:autoSpaceDN w:val="0"/>
        <w:adjustRightIn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val="zh-CN"/>
        </w:rPr>
        <w:t>国家现行有关法律、法规、环保和技术指标；</w:t>
      </w:r>
    </w:p>
    <w:p w14:paraId="39A65C89">
      <w:pPr>
        <w:autoSpaceDE w:val="0"/>
        <w:autoSpaceDN w:val="0"/>
        <w:adjustRightIn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val="zh-CN"/>
        </w:rPr>
        <w:t>本项目施工合同；</w:t>
      </w:r>
    </w:p>
    <w:p w14:paraId="48B8A87F">
      <w:pPr>
        <w:autoSpaceDE w:val="0"/>
        <w:autoSpaceDN w:val="0"/>
        <w:adjustRightIn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val="zh-CN"/>
        </w:rPr>
        <w:t>经批准的设计文件及工程变更文件；</w:t>
      </w:r>
    </w:p>
    <w:p w14:paraId="17314206">
      <w:pPr>
        <w:autoSpaceDE w:val="0"/>
        <w:autoSpaceDN w:val="0"/>
        <w:adjustRightIn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en-US" w:eastAsia="zh-CN"/>
        </w:rPr>
        <w:t>4、有关</w:t>
      </w:r>
      <w:r>
        <w:rPr>
          <w:rFonts w:hint="eastAsia" w:ascii="宋体" w:hAnsi="宋体" w:eastAsia="宋体" w:cs="宋体"/>
          <w:color w:val="auto"/>
          <w:sz w:val="24"/>
          <w:szCs w:val="24"/>
          <w:lang w:val="zh-CN"/>
        </w:rPr>
        <w:t>政府部门的规定。</w:t>
      </w:r>
    </w:p>
    <w:p w14:paraId="3292C985">
      <w:pPr>
        <w:autoSpaceDE w:val="0"/>
        <w:autoSpaceDN w:val="0"/>
        <w:adjustRightIn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二</w:t>
      </w:r>
      <w:r>
        <w:rPr>
          <w:rFonts w:hint="eastAsia" w:ascii="宋体" w:hAnsi="宋体" w:eastAsia="宋体" w:cs="宋体"/>
          <w:color w:val="auto"/>
          <w:sz w:val="24"/>
          <w:szCs w:val="24"/>
        </w:rPr>
        <w:t>）</w:t>
      </w:r>
      <w:r>
        <w:rPr>
          <w:rFonts w:hint="eastAsia" w:ascii="宋体" w:hAnsi="宋体" w:eastAsia="宋体" w:cs="宋体"/>
          <w:color w:val="auto"/>
          <w:sz w:val="24"/>
          <w:szCs w:val="24"/>
          <w:lang w:val="zh-CN"/>
        </w:rPr>
        <w:t>验收依据</w:t>
      </w:r>
    </w:p>
    <w:p w14:paraId="240D9C29">
      <w:pPr>
        <w:autoSpaceDE w:val="0"/>
        <w:autoSpaceDN w:val="0"/>
        <w:adjustRightIn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val="zh-CN"/>
        </w:rPr>
        <w:t>合同、磋商文件、磋商响应文件及承诺。</w:t>
      </w:r>
    </w:p>
    <w:p w14:paraId="44CF39A3">
      <w:pPr>
        <w:autoSpaceDE w:val="0"/>
        <w:autoSpaceDN w:val="0"/>
        <w:adjustRightIn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val="zh-CN"/>
        </w:rPr>
        <w:t>国家相关</w:t>
      </w:r>
      <w:r>
        <w:rPr>
          <w:rFonts w:hint="eastAsia" w:ascii="宋体" w:hAnsi="宋体" w:eastAsia="宋体" w:cs="宋体"/>
          <w:bCs/>
          <w:color w:val="auto"/>
          <w:sz w:val="24"/>
          <w:szCs w:val="24"/>
        </w:rPr>
        <w:t>标准、规范及有关技术文件</w:t>
      </w:r>
      <w:r>
        <w:rPr>
          <w:rFonts w:hint="eastAsia" w:ascii="宋体" w:hAnsi="宋体" w:eastAsia="宋体" w:cs="宋体"/>
          <w:color w:val="auto"/>
          <w:sz w:val="24"/>
          <w:szCs w:val="24"/>
          <w:lang w:val="zh-CN"/>
        </w:rPr>
        <w:t>。</w:t>
      </w:r>
    </w:p>
    <w:p w14:paraId="786368C0">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rPr>
        <w:t>九</w:t>
      </w:r>
      <w:r>
        <w:rPr>
          <w:rFonts w:hint="eastAsia" w:ascii="宋体" w:hAnsi="宋体" w:eastAsia="宋体" w:cs="宋体"/>
          <w:b/>
          <w:color w:val="auto"/>
          <w:sz w:val="24"/>
          <w:szCs w:val="24"/>
        </w:rPr>
        <w:t>、争议的解决方式</w:t>
      </w:r>
    </w:p>
    <w:p w14:paraId="517E79F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合同执行过程中如发生争议，双方应及时协商解决，协商不成，双方均可向项目所在地人民法院起诉。</w:t>
      </w:r>
    </w:p>
    <w:p w14:paraId="3115450A">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rPr>
        <w:t>十</w:t>
      </w:r>
      <w:r>
        <w:rPr>
          <w:rFonts w:hint="eastAsia" w:ascii="宋体" w:hAnsi="宋体" w:eastAsia="宋体" w:cs="宋体"/>
          <w:b/>
          <w:color w:val="auto"/>
          <w:sz w:val="24"/>
          <w:szCs w:val="24"/>
        </w:rPr>
        <w:t>、其他</w:t>
      </w:r>
    </w:p>
    <w:p w14:paraId="3A4EEB8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本合同未定事宜，双方可根据具体情况结合有关规定另行签订补充协议，补充协议与本合同具有同等法律效力。</w:t>
      </w:r>
    </w:p>
    <w:p w14:paraId="0F89FD34">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十</w:t>
      </w:r>
      <w:r>
        <w:rPr>
          <w:rFonts w:hint="eastAsia" w:ascii="宋体" w:hAnsi="宋体" w:eastAsia="宋体" w:cs="宋体"/>
          <w:b/>
          <w:color w:val="auto"/>
          <w:sz w:val="24"/>
          <w:szCs w:val="24"/>
          <w:lang w:val="en-US" w:eastAsia="zh-CN"/>
        </w:rPr>
        <w:t>一</w:t>
      </w:r>
      <w:r>
        <w:rPr>
          <w:rFonts w:hint="eastAsia" w:ascii="宋体" w:hAnsi="宋体" w:eastAsia="宋体" w:cs="宋体"/>
          <w:b/>
          <w:color w:val="auto"/>
          <w:sz w:val="24"/>
          <w:szCs w:val="24"/>
        </w:rPr>
        <w:t>、附则</w:t>
      </w:r>
    </w:p>
    <w:p w14:paraId="6BD8A670">
      <w:pPr>
        <w:tabs>
          <w:tab w:val="left" w:pos="0"/>
        </w:tabs>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（一）本合同一式</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份，正本</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份，甲、乙方各执</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份，副本</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份，甲方执</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份，乙方执</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w:t>
      </w:r>
    </w:p>
    <w:p w14:paraId="48EC2D4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（二）合同经双方盖章后生效，各条款执行完毕后终止。</w:t>
      </w:r>
    </w:p>
    <w:p w14:paraId="68C548A0">
      <w:pPr>
        <w:pStyle w:val="4"/>
        <w:rPr>
          <w:rFonts w:hint="eastAsia" w:ascii="宋体" w:hAnsi="宋体" w:eastAsia="宋体" w:cs="宋体"/>
          <w:color w:val="auto"/>
          <w:sz w:val="24"/>
          <w:szCs w:val="24"/>
        </w:rPr>
      </w:pPr>
    </w:p>
    <w:p w14:paraId="2DC4503B">
      <w:pPr>
        <w:pStyle w:val="4"/>
        <w:rPr>
          <w:rFonts w:hint="eastAsia" w:ascii="宋体" w:hAnsi="宋体" w:eastAsia="宋体" w:cs="宋体"/>
          <w:color w:val="auto"/>
          <w:sz w:val="24"/>
          <w:szCs w:val="24"/>
        </w:rPr>
      </w:pPr>
    </w:p>
    <w:p w14:paraId="5B3098C2">
      <w:pPr>
        <w:rPr>
          <w:rFonts w:hint="eastAsia" w:ascii="宋体" w:hAnsi="宋体" w:eastAsia="宋体" w:cs="宋体"/>
          <w:sz w:val="24"/>
          <w:szCs w:val="24"/>
        </w:rPr>
        <w:sectPr>
          <w:footerReference r:id="rId3" w:type="default"/>
          <w:pgSz w:w="11906" w:h="16838"/>
          <w:pgMar w:top="1440" w:right="1800" w:bottom="1440" w:left="1800" w:header="851" w:footer="992" w:gutter="0"/>
          <w:pgNumType w:fmt="decimal" w:start="1"/>
          <w:cols w:space="425" w:num="1"/>
          <w:docGrid w:type="lines" w:linePitch="312" w:charSpace="0"/>
        </w:sectPr>
      </w:pPr>
    </w:p>
    <w:p w14:paraId="11E0C910">
      <w:pPr>
        <w:pStyle w:val="2"/>
        <w:jc w:val="center"/>
        <w:rPr>
          <w:rFonts w:hint="eastAsia"/>
          <w:lang w:eastAsia="zh-CN"/>
        </w:rPr>
      </w:pPr>
      <w:r>
        <w:rPr>
          <w:rFonts w:hint="eastAsia"/>
          <w:lang w:eastAsia="zh-CN"/>
        </w:rPr>
        <w:t>（</w:t>
      </w:r>
      <w:r>
        <w:rPr>
          <w:rFonts w:hint="eastAsia"/>
          <w:lang w:val="en-US" w:eastAsia="zh-CN"/>
        </w:rPr>
        <w:t>本页无正文</w:t>
      </w:r>
      <w:r>
        <w:rPr>
          <w:rFonts w:hint="eastAsia"/>
          <w:lang w:eastAsia="zh-CN"/>
        </w:rPr>
        <w:t>）</w:t>
      </w:r>
    </w:p>
    <w:p w14:paraId="1588A833">
      <w:pPr>
        <w:rPr>
          <w:rFonts w:hint="eastAsia"/>
          <w:lang w:eastAsia="zh-CN"/>
        </w:rPr>
      </w:pPr>
    </w:p>
    <w:tbl>
      <w:tblPr>
        <w:tblStyle w:val="6"/>
        <w:tblW w:w="8403" w:type="dxa"/>
        <w:jc w:val="center"/>
        <w:tblLayout w:type="fixed"/>
        <w:tblCellMar>
          <w:top w:w="0" w:type="dxa"/>
          <w:left w:w="108" w:type="dxa"/>
          <w:bottom w:w="0" w:type="dxa"/>
          <w:right w:w="108" w:type="dxa"/>
        </w:tblCellMar>
      </w:tblPr>
      <w:tblGrid>
        <w:gridCol w:w="4201"/>
        <w:gridCol w:w="4202"/>
      </w:tblGrid>
      <w:tr w14:paraId="7DE7FD93">
        <w:tblPrEx>
          <w:tblCellMar>
            <w:top w:w="0" w:type="dxa"/>
            <w:left w:w="108" w:type="dxa"/>
            <w:bottom w:w="0" w:type="dxa"/>
            <w:right w:w="108" w:type="dxa"/>
          </w:tblCellMar>
        </w:tblPrEx>
        <w:trPr>
          <w:trHeight w:val="663" w:hRule="exact"/>
          <w:jc w:val="center"/>
        </w:trPr>
        <w:tc>
          <w:tcPr>
            <w:tcW w:w="4201" w:type="dxa"/>
            <w:noWrap/>
            <w:vAlign w:val="center"/>
          </w:tcPr>
          <w:p w14:paraId="1C1CA6C1">
            <w:pPr>
              <w:spacing w:line="24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甲  方</w:t>
            </w:r>
          </w:p>
        </w:tc>
        <w:tc>
          <w:tcPr>
            <w:tcW w:w="4202" w:type="dxa"/>
            <w:noWrap/>
            <w:vAlign w:val="center"/>
          </w:tcPr>
          <w:p w14:paraId="795EFDDE">
            <w:pPr>
              <w:spacing w:line="24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乙  方</w:t>
            </w:r>
          </w:p>
        </w:tc>
      </w:tr>
      <w:tr w14:paraId="6F4F3BFA">
        <w:tblPrEx>
          <w:tblCellMar>
            <w:top w:w="0" w:type="dxa"/>
            <w:left w:w="108" w:type="dxa"/>
            <w:bottom w:w="0" w:type="dxa"/>
            <w:right w:w="108" w:type="dxa"/>
          </w:tblCellMar>
        </w:tblPrEx>
        <w:trPr>
          <w:trHeight w:val="404" w:hRule="exact"/>
          <w:jc w:val="center"/>
        </w:trPr>
        <w:tc>
          <w:tcPr>
            <w:tcW w:w="4201" w:type="dxa"/>
            <w:noWrap/>
            <w:vAlign w:val="center"/>
          </w:tcPr>
          <w:p w14:paraId="4466B1BD">
            <w:pPr>
              <w:spacing w:line="24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（盖章）</w:t>
            </w:r>
          </w:p>
        </w:tc>
        <w:tc>
          <w:tcPr>
            <w:tcW w:w="4202" w:type="dxa"/>
            <w:noWrap/>
            <w:vAlign w:val="center"/>
          </w:tcPr>
          <w:p w14:paraId="4BA247E0">
            <w:pPr>
              <w:spacing w:line="24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（盖章）</w:t>
            </w:r>
          </w:p>
        </w:tc>
      </w:tr>
      <w:tr w14:paraId="392B0542">
        <w:tblPrEx>
          <w:tblCellMar>
            <w:top w:w="0" w:type="dxa"/>
            <w:left w:w="108" w:type="dxa"/>
            <w:bottom w:w="0" w:type="dxa"/>
            <w:right w:w="108" w:type="dxa"/>
          </w:tblCellMar>
        </w:tblPrEx>
        <w:trPr>
          <w:trHeight w:val="442" w:hRule="exact"/>
          <w:jc w:val="center"/>
        </w:trPr>
        <w:tc>
          <w:tcPr>
            <w:tcW w:w="4201" w:type="dxa"/>
            <w:noWrap/>
            <w:vAlign w:val="center"/>
          </w:tcPr>
          <w:p w14:paraId="7E1EC9C0">
            <w:pPr>
              <w:spacing w:line="24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 xml:space="preserve">地址： </w:t>
            </w:r>
          </w:p>
        </w:tc>
        <w:tc>
          <w:tcPr>
            <w:tcW w:w="4202" w:type="dxa"/>
            <w:noWrap/>
            <w:vAlign w:val="center"/>
          </w:tcPr>
          <w:p w14:paraId="04F46469">
            <w:pPr>
              <w:spacing w:line="24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地址：</w:t>
            </w:r>
          </w:p>
        </w:tc>
      </w:tr>
      <w:tr w14:paraId="0E697816">
        <w:tblPrEx>
          <w:tblCellMar>
            <w:top w:w="0" w:type="dxa"/>
            <w:left w:w="108" w:type="dxa"/>
            <w:bottom w:w="0" w:type="dxa"/>
            <w:right w:w="108" w:type="dxa"/>
          </w:tblCellMar>
        </w:tblPrEx>
        <w:trPr>
          <w:trHeight w:val="567" w:hRule="exact"/>
          <w:jc w:val="center"/>
        </w:trPr>
        <w:tc>
          <w:tcPr>
            <w:tcW w:w="4201" w:type="dxa"/>
            <w:noWrap/>
            <w:vAlign w:val="center"/>
          </w:tcPr>
          <w:p w14:paraId="46334C6A">
            <w:pPr>
              <w:spacing w:line="24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邮编：</w:t>
            </w:r>
          </w:p>
        </w:tc>
        <w:tc>
          <w:tcPr>
            <w:tcW w:w="4202" w:type="dxa"/>
            <w:noWrap/>
            <w:vAlign w:val="center"/>
          </w:tcPr>
          <w:p w14:paraId="09011A96">
            <w:pPr>
              <w:spacing w:line="24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邮编：</w:t>
            </w:r>
          </w:p>
        </w:tc>
      </w:tr>
      <w:tr w14:paraId="53692B71">
        <w:tblPrEx>
          <w:tblCellMar>
            <w:top w:w="0" w:type="dxa"/>
            <w:left w:w="108" w:type="dxa"/>
            <w:bottom w:w="0" w:type="dxa"/>
            <w:right w:w="108" w:type="dxa"/>
          </w:tblCellMar>
        </w:tblPrEx>
        <w:trPr>
          <w:trHeight w:val="567" w:hRule="exact"/>
          <w:jc w:val="center"/>
        </w:trPr>
        <w:tc>
          <w:tcPr>
            <w:tcW w:w="4201" w:type="dxa"/>
            <w:noWrap/>
            <w:vAlign w:val="center"/>
          </w:tcPr>
          <w:p w14:paraId="3274D977">
            <w:pPr>
              <w:spacing w:line="24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 xml:space="preserve">法定代表人： </w:t>
            </w:r>
          </w:p>
        </w:tc>
        <w:tc>
          <w:tcPr>
            <w:tcW w:w="4202" w:type="dxa"/>
            <w:noWrap/>
            <w:vAlign w:val="center"/>
          </w:tcPr>
          <w:p w14:paraId="72D067D4">
            <w:pPr>
              <w:spacing w:line="24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p>
        </w:tc>
      </w:tr>
      <w:tr w14:paraId="51E9C248">
        <w:tblPrEx>
          <w:tblCellMar>
            <w:top w:w="0" w:type="dxa"/>
            <w:left w:w="108" w:type="dxa"/>
            <w:bottom w:w="0" w:type="dxa"/>
            <w:right w:w="108" w:type="dxa"/>
          </w:tblCellMar>
        </w:tblPrEx>
        <w:trPr>
          <w:trHeight w:val="567" w:hRule="exact"/>
          <w:jc w:val="center"/>
        </w:trPr>
        <w:tc>
          <w:tcPr>
            <w:tcW w:w="4201" w:type="dxa"/>
            <w:noWrap/>
            <w:vAlign w:val="center"/>
          </w:tcPr>
          <w:p w14:paraId="5926BB39">
            <w:pPr>
              <w:spacing w:line="24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被授权代表：</w:t>
            </w:r>
          </w:p>
        </w:tc>
        <w:tc>
          <w:tcPr>
            <w:tcW w:w="4202" w:type="dxa"/>
            <w:noWrap/>
            <w:vAlign w:val="center"/>
          </w:tcPr>
          <w:p w14:paraId="4B35B5F1">
            <w:pPr>
              <w:spacing w:line="24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被授权代表：</w:t>
            </w:r>
          </w:p>
        </w:tc>
      </w:tr>
      <w:tr w14:paraId="06A4364A">
        <w:tblPrEx>
          <w:tblCellMar>
            <w:top w:w="0" w:type="dxa"/>
            <w:left w:w="108" w:type="dxa"/>
            <w:bottom w:w="0" w:type="dxa"/>
            <w:right w:w="108" w:type="dxa"/>
          </w:tblCellMar>
        </w:tblPrEx>
        <w:trPr>
          <w:trHeight w:val="567" w:hRule="exact"/>
          <w:jc w:val="center"/>
        </w:trPr>
        <w:tc>
          <w:tcPr>
            <w:tcW w:w="4201" w:type="dxa"/>
            <w:noWrap/>
            <w:vAlign w:val="center"/>
          </w:tcPr>
          <w:p w14:paraId="1E955C09">
            <w:pPr>
              <w:spacing w:line="24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电话：</w:t>
            </w:r>
          </w:p>
        </w:tc>
        <w:tc>
          <w:tcPr>
            <w:tcW w:w="4202" w:type="dxa"/>
            <w:noWrap/>
            <w:vAlign w:val="center"/>
          </w:tcPr>
          <w:p w14:paraId="69C6F5A8">
            <w:pPr>
              <w:spacing w:line="24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电话：</w:t>
            </w:r>
          </w:p>
        </w:tc>
      </w:tr>
      <w:tr w14:paraId="6B706234">
        <w:tblPrEx>
          <w:tblCellMar>
            <w:top w:w="0" w:type="dxa"/>
            <w:left w:w="108" w:type="dxa"/>
            <w:bottom w:w="0" w:type="dxa"/>
            <w:right w:w="108" w:type="dxa"/>
          </w:tblCellMar>
        </w:tblPrEx>
        <w:trPr>
          <w:trHeight w:val="567" w:hRule="exact"/>
          <w:jc w:val="center"/>
        </w:trPr>
        <w:tc>
          <w:tcPr>
            <w:tcW w:w="4201" w:type="dxa"/>
            <w:noWrap/>
            <w:vAlign w:val="center"/>
          </w:tcPr>
          <w:p w14:paraId="2B4B9FF4">
            <w:pPr>
              <w:spacing w:line="24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传真：</w:t>
            </w:r>
          </w:p>
        </w:tc>
        <w:tc>
          <w:tcPr>
            <w:tcW w:w="4202" w:type="dxa"/>
            <w:noWrap/>
            <w:vAlign w:val="center"/>
          </w:tcPr>
          <w:p w14:paraId="1B88847E">
            <w:pPr>
              <w:spacing w:line="24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传真：</w:t>
            </w:r>
          </w:p>
        </w:tc>
      </w:tr>
      <w:tr w14:paraId="7A7CDB55">
        <w:tblPrEx>
          <w:tblCellMar>
            <w:top w:w="0" w:type="dxa"/>
            <w:left w:w="108" w:type="dxa"/>
            <w:bottom w:w="0" w:type="dxa"/>
            <w:right w:w="108" w:type="dxa"/>
          </w:tblCellMar>
        </w:tblPrEx>
        <w:trPr>
          <w:trHeight w:val="567" w:hRule="exact"/>
          <w:jc w:val="center"/>
        </w:trPr>
        <w:tc>
          <w:tcPr>
            <w:tcW w:w="4201" w:type="dxa"/>
            <w:noWrap/>
            <w:vAlign w:val="center"/>
          </w:tcPr>
          <w:p w14:paraId="71E4DAB0">
            <w:pPr>
              <w:spacing w:line="24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开户银行：</w:t>
            </w:r>
          </w:p>
        </w:tc>
        <w:tc>
          <w:tcPr>
            <w:tcW w:w="4202" w:type="dxa"/>
            <w:noWrap/>
            <w:vAlign w:val="center"/>
          </w:tcPr>
          <w:p w14:paraId="1021F55C">
            <w:pPr>
              <w:spacing w:line="24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开户银行：</w:t>
            </w:r>
          </w:p>
        </w:tc>
      </w:tr>
      <w:tr w14:paraId="505FEE58">
        <w:tblPrEx>
          <w:tblCellMar>
            <w:top w:w="0" w:type="dxa"/>
            <w:left w:w="108" w:type="dxa"/>
            <w:bottom w:w="0" w:type="dxa"/>
            <w:right w:w="108" w:type="dxa"/>
          </w:tblCellMar>
        </w:tblPrEx>
        <w:trPr>
          <w:trHeight w:val="567" w:hRule="exact"/>
          <w:jc w:val="center"/>
        </w:trPr>
        <w:tc>
          <w:tcPr>
            <w:tcW w:w="4201" w:type="dxa"/>
            <w:noWrap/>
            <w:vAlign w:val="center"/>
          </w:tcPr>
          <w:p w14:paraId="7716256A">
            <w:pPr>
              <w:spacing w:line="24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日期：</w:t>
            </w:r>
          </w:p>
        </w:tc>
        <w:tc>
          <w:tcPr>
            <w:tcW w:w="4202" w:type="dxa"/>
            <w:noWrap/>
            <w:vAlign w:val="center"/>
          </w:tcPr>
          <w:p w14:paraId="705A2A29">
            <w:pPr>
              <w:spacing w:line="24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日期：</w:t>
            </w:r>
          </w:p>
        </w:tc>
      </w:tr>
    </w:tbl>
    <w:p w14:paraId="5F595B00">
      <w:pPr>
        <w:rPr>
          <w:rFonts w:hint="eastAsia"/>
          <w:lang w:eastAsia="zh-CN"/>
        </w:rPr>
      </w:pPr>
    </w:p>
    <w:p w14:paraId="31CB9A8A"/>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5E1AC">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9610E2">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9610E2">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9211E3"/>
    <w:rsid w:val="029211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rFonts w:ascii="Times New Roman"/>
    </w:rPr>
  </w:style>
  <w:style w:type="paragraph" w:styleId="3">
    <w:name w:val="Body Text Indent"/>
    <w:basedOn w:val="1"/>
    <w:next w:val="1"/>
    <w:qFormat/>
    <w:uiPriority w:val="0"/>
    <w:pPr>
      <w:widowControl/>
      <w:ind w:firstLine="652" w:firstLineChars="233"/>
    </w:pPr>
    <w:rPr>
      <w:rFonts w:ascii="Times New Roman"/>
      <w:sz w:val="28"/>
    </w:rPr>
  </w:style>
  <w:style w:type="paragraph" w:styleId="4">
    <w:name w:val="footer"/>
    <w:basedOn w:val="1"/>
    <w:qFormat/>
    <w:uiPriority w:val="99"/>
    <w:pPr>
      <w:tabs>
        <w:tab w:val="center" w:pos="4153"/>
        <w:tab w:val="right" w:pos="8306"/>
      </w:tabs>
      <w:snapToGrid w:val="0"/>
      <w:jc w:val="left"/>
    </w:pPr>
    <w:rPr>
      <w:rFonts w:ascii="Times New Roman"/>
      <w:kern w:val="2"/>
      <w:sz w:val="18"/>
      <w:szCs w:val="18"/>
    </w:rPr>
  </w:style>
  <w:style w:type="paragraph" w:styleId="5">
    <w:name w:val="Body Text First Indent 2"/>
    <w:basedOn w:val="3"/>
    <w:next w:val="1"/>
    <w:unhideWhenUsed/>
    <w:qFormat/>
    <w:uiPriority w:val="0"/>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2026-08-13T05:20:00Z</dcterms:created>
  <dc:creator>张咪</dc:creator>
  <cp:lastModifiedBy>张咪</cp:lastModifiedBy>
  <dcterms:modified xsi:type="dcterms:W3CDTF">2026-08-13T05:22:00Z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5DDD32AB9DBA4B7D86B95C2E046E0990_11</vt:lpwstr>
  </property>
  <property fmtid="{D5CDD505-2E9C-101B-9397-08002B2CF9AE}" pid="4" name="KSOTemplateDocerSaveRecord">
    <vt:lpwstr>eyJoZGlkIjoiNGZhMGIxOGMyNWFlNmU2ZmE3ZDVhOTExNjQ1MWYzOGUiLCJ1c2VySWQiOiIyNjA1MzA1OTIifQ==</vt:lpwstr>
  </property>
</Properties>
</file>