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版本号：SDZC2026-07120260727001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陕西省妇幼健康信息系统运维项目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SDZC2026-071</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陕西省妇幼健康信息系统运维项目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陕西省妇幼健康信息系统运维项目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陕西省妇幼健康信息系统运维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采购包1（陕西省妇幼健康信息系统运维项目）：属于专门面向中小企业采购。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3、税收缴纳证明：税收缴纳证明：提供截止至2025年7月至今任意一个月的税收缴纳凭据；（增值税、企业所得税至少提供一种，依法免税的供应商应提供相关文件证明）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8、磋商保证金交纳凭证或担保函：磋商保证金交纳凭证或担保函（磋商保证交纳金凭证为银行凭证及基本账户证明资料，担保函为政府采购信用担保机构出具）；</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陕西省卫生健康信息中心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029-89621430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 1151 0000 0135 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系统软件、通用软件是具有在中国境内的合法使用权或版权的正版软件，对于系统中涉及到的核心技术，应不侵犯第三方的知识产权，涉及到第三方提出侵权或知识产权的起诉及支付版税等费用由乙方承担所有责任及费用，由此给甲方造成的一切损失均由乙方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联系人：宋芳芳（4号工位）</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陕西省妇幼健康信息系统运维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陕西省妇幼健康信息系统运维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标的名称：陕西省妇幼健康信息系统运维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rPr>
              <w:t>一、总体要求</w:t>
            </w:r>
          </w:p>
          <w:p>
            <w:pPr>
              <w:pStyle w:val="null3"/>
            </w:pPr>
            <w:r>
              <w:rPr>
                <w:rFonts w:ascii="仿宋_GB2312" w:hAnsi="仿宋_GB2312" w:cs="仿宋_GB2312" w:eastAsia="仿宋_GB2312"/>
              </w:rPr>
              <w:t>紧密围绕陕西省妇幼健康工作业务需求，通过陕西省妇幼健康信息系统运维项目完成以下内容：一是升级完善系统功能；二是配合业务做好数据统计核查；三是做好网络安全和系统运行维护管理工作。</w:t>
            </w:r>
          </w:p>
          <w:p>
            <w:pPr>
              <w:pStyle w:val="null3"/>
            </w:pPr>
            <w:r>
              <w:rPr>
                <w:rFonts w:ascii="仿宋_GB2312" w:hAnsi="仿宋_GB2312" w:cs="仿宋_GB2312" w:eastAsia="仿宋_GB2312"/>
              </w:rPr>
              <w:t>二、运维范围及工期要求</w:t>
            </w:r>
          </w:p>
          <w:p>
            <w:pPr>
              <w:pStyle w:val="null3"/>
            </w:pPr>
            <w:r>
              <w:rPr>
                <w:rFonts w:ascii="仿宋_GB2312" w:hAnsi="仿宋_GB2312" w:cs="仿宋_GB2312" w:eastAsia="仿宋_GB2312"/>
              </w:rPr>
              <w:t>1.运维范围：陕西省妇幼健康信息系统的运维。</w:t>
            </w:r>
          </w:p>
          <w:p>
            <w:pPr>
              <w:pStyle w:val="null3"/>
            </w:pPr>
            <w:r>
              <w:rPr>
                <w:rFonts w:ascii="仿宋_GB2312" w:hAnsi="仿宋_GB2312" w:cs="仿宋_GB2312" w:eastAsia="仿宋_GB2312"/>
              </w:rPr>
              <w:t>2.工期要求：2026年8月27日至2027年8月26日。</w:t>
            </w:r>
          </w:p>
          <w:p>
            <w:pPr>
              <w:pStyle w:val="null3"/>
            </w:pPr>
            <w:r>
              <w:rPr>
                <w:rFonts w:ascii="仿宋_GB2312" w:hAnsi="仿宋_GB2312" w:cs="仿宋_GB2312" w:eastAsia="仿宋_GB2312"/>
              </w:rPr>
              <w:t>三、软件运维服务和要求</w:t>
            </w:r>
          </w:p>
          <w:p>
            <w:pPr>
              <w:pStyle w:val="null3"/>
            </w:pPr>
            <w:r>
              <w:rPr>
                <w:rFonts w:ascii="仿宋_GB2312" w:hAnsi="仿宋_GB2312" w:cs="仿宋_GB2312" w:eastAsia="仿宋_GB2312"/>
              </w:rPr>
              <w:t>（一）完善系统功能</w:t>
            </w:r>
          </w:p>
          <w:p>
            <w:pPr>
              <w:pStyle w:val="null3"/>
            </w:pPr>
            <w:r>
              <w:rPr>
                <w:rFonts w:ascii="仿宋_GB2312" w:hAnsi="仿宋_GB2312" w:cs="仿宋_GB2312" w:eastAsia="仿宋_GB2312"/>
              </w:rPr>
              <w:t>在原陕西省妇幼健康信息系统升级两癌筛查模块。</w:t>
            </w:r>
          </w:p>
          <w:p>
            <w:pPr>
              <w:pStyle w:val="null3"/>
            </w:pPr>
            <w:r>
              <w:rPr>
                <w:rFonts w:ascii="仿宋_GB2312" w:hAnsi="仿宋_GB2312" w:cs="仿宋_GB2312" w:eastAsia="仿宋_GB2312"/>
              </w:rPr>
              <w:t>1.升级个案信息登记。一是字段适配，全面梳理现有登记模块所有数据字段，按照《陕西省城乡适龄妇女免费“两癌”筛查项目实施方案》、国家“两癌”筛查信息管理手册（2022年版）和陕西省“两癌”筛查最新业务规范，新增、删减、修正各类基础信息、筛查信息、随访信息等相关字段，杜绝字段缺失、冗余、规格不统一等问题。二是语义规范，对模块内所有字段名称、选项说明、弹窗提示等内容进行标准化修正，统一按照官方文件规范。三是升级校验规则，依据省级实施方案的数据规范及业务要求，重构字段数据校验逻辑，完善数据格式、数据范围、必填项、唯一性、关联性、逻辑性等校验机制，两癌筛查数据完整率≥99.5%、数据逻辑错误率≤0.3%。</w:t>
            </w:r>
          </w:p>
          <w:p>
            <w:pPr>
              <w:pStyle w:val="null3"/>
            </w:pPr>
            <w:r>
              <w:rPr>
                <w:rFonts w:ascii="仿宋_GB2312" w:hAnsi="仿宋_GB2312" w:cs="仿宋_GB2312" w:eastAsia="仿宋_GB2312"/>
              </w:rPr>
              <w:t>2.新增“本地区35-64周岁目标妇女数”录入界面，权限为区县级卫健局用户。</w:t>
            </w:r>
          </w:p>
          <w:p>
            <w:pPr>
              <w:pStyle w:val="null3"/>
            </w:pPr>
            <w:r>
              <w:rPr>
                <w:rFonts w:ascii="仿宋_GB2312" w:hAnsi="仿宋_GB2312" w:cs="仿宋_GB2312" w:eastAsia="仿宋_GB2312"/>
              </w:rPr>
              <w:t>3.升级统计报表。按照《陕西省城乡适龄妇女免费“两癌”筛查项目实施方案》、国家“两癌”筛查信息管理手册（2022年版）要求，新增宫颈癌检查项目个案登记表、宫颈癌筛查统计报表、乳腺癌检查项目个案登记表、乳腺癌筛查统计报表等。</w:t>
            </w:r>
          </w:p>
          <w:p>
            <w:pPr>
              <w:pStyle w:val="null3"/>
            </w:pPr>
            <w:r>
              <w:rPr>
                <w:rFonts w:ascii="仿宋_GB2312" w:hAnsi="仿宋_GB2312" w:cs="仿宋_GB2312" w:eastAsia="仿宋_GB2312"/>
              </w:rPr>
              <w:t>4.系统需具备多版本兼容的能力。在个案信息登记、信息查询业务场景中，根据不同时间的业务实施方案和管理手册，系统以「登记日期（筛查日期）」为时间基准，自动适配对应的版本（原系统版本与升级后系统版本）的界面展示，字段可选内容、必填项及配套数据字典与对应版本适配。</w:t>
            </w:r>
          </w:p>
          <w:p>
            <w:pPr>
              <w:pStyle w:val="null3"/>
            </w:pPr>
            <w:r>
              <w:rPr>
                <w:rFonts w:ascii="仿宋_GB2312" w:hAnsi="仿宋_GB2312" w:cs="仿宋_GB2312" w:eastAsia="仿宋_GB2312"/>
              </w:rPr>
              <w:t>（二）协助业务处室和用户单位做好数据统计比对</w:t>
            </w:r>
          </w:p>
          <w:p>
            <w:pPr>
              <w:pStyle w:val="null3"/>
            </w:pPr>
            <w:r>
              <w:rPr>
                <w:rFonts w:ascii="仿宋_GB2312" w:hAnsi="仿宋_GB2312" w:cs="仿宋_GB2312" w:eastAsia="仿宋_GB2312"/>
              </w:rPr>
              <w:t>1.按照业务处室要求，提供危重孕产妇救治体系技术评估数据。</w:t>
            </w:r>
          </w:p>
          <w:p>
            <w:pPr>
              <w:pStyle w:val="null3"/>
            </w:pPr>
            <w:r>
              <w:rPr>
                <w:rFonts w:ascii="仿宋_GB2312" w:hAnsi="仿宋_GB2312" w:cs="仿宋_GB2312" w:eastAsia="仿宋_GB2312"/>
              </w:rPr>
              <w:t>2.按照业务要求，开展“两癌”筛查数据比对。</w:t>
            </w:r>
          </w:p>
          <w:p>
            <w:pPr>
              <w:pStyle w:val="null3"/>
            </w:pPr>
            <w:r>
              <w:rPr>
                <w:rFonts w:ascii="仿宋_GB2312" w:hAnsi="仿宋_GB2312" w:cs="仿宋_GB2312" w:eastAsia="仿宋_GB2312"/>
              </w:rPr>
              <w:t>3.按照业务要求，提供需要的统计数据或个案数据。</w:t>
            </w:r>
          </w:p>
          <w:p>
            <w:pPr>
              <w:pStyle w:val="null3"/>
            </w:pPr>
            <w:r>
              <w:rPr>
                <w:rFonts w:ascii="仿宋_GB2312" w:hAnsi="仿宋_GB2312" w:cs="仿宋_GB2312" w:eastAsia="仿宋_GB2312"/>
              </w:rPr>
              <w:t>4.按照业务处室或业务指导部门的排查结果或需求，在后台修订数据。</w:t>
            </w:r>
          </w:p>
          <w:p>
            <w:pPr>
              <w:pStyle w:val="null3"/>
            </w:pPr>
            <w:r>
              <w:rPr>
                <w:rFonts w:ascii="仿宋_GB2312" w:hAnsi="仿宋_GB2312" w:cs="仿宋_GB2312" w:eastAsia="仿宋_GB2312"/>
              </w:rPr>
              <w:t>5.按照用户单位的核查反馈，合并重复的儿童建卡档案。</w:t>
            </w:r>
          </w:p>
          <w:p>
            <w:pPr>
              <w:pStyle w:val="null3"/>
            </w:pPr>
            <w:r>
              <w:rPr>
                <w:rFonts w:ascii="仿宋_GB2312" w:hAnsi="仿宋_GB2312" w:cs="仿宋_GB2312" w:eastAsia="仿宋_GB2312"/>
              </w:rPr>
              <w:t>（三）培训及指导</w:t>
            </w:r>
          </w:p>
          <w:p>
            <w:pPr>
              <w:pStyle w:val="null3"/>
            </w:pPr>
            <w:r>
              <w:rPr>
                <w:rFonts w:ascii="仿宋_GB2312" w:hAnsi="仿宋_GB2312" w:cs="仿宋_GB2312" w:eastAsia="仿宋_GB2312"/>
              </w:rPr>
              <w:t>1.根据实际咨询量，合并整理原有的QQ或微信客服群。做好客服群的人员管理，提醒群成员及时修改在群名称，每周清理一次不明单位不明姓名的人员。QQ客服群或微信客服群内的技术支持服务，工作时间内实时响应和答疑，其他非工作时间当天响应和答疑。</w:t>
            </w:r>
          </w:p>
          <w:p>
            <w:pPr>
              <w:pStyle w:val="null3"/>
            </w:pPr>
            <w:r>
              <w:rPr>
                <w:rFonts w:ascii="仿宋_GB2312" w:hAnsi="仿宋_GB2312" w:cs="仿宋_GB2312" w:eastAsia="仿宋_GB2312"/>
              </w:rPr>
              <w:t>2.及时提供系统的操作指导、培训、业务咨询等服务。如遇突发事件则快速响应，及时与客户联系并配合工作。</w:t>
            </w:r>
          </w:p>
          <w:p>
            <w:pPr>
              <w:pStyle w:val="null3"/>
            </w:pPr>
            <w:r>
              <w:rPr>
                <w:rFonts w:ascii="仿宋_GB2312" w:hAnsi="仿宋_GB2312" w:cs="仿宋_GB2312" w:eastAsia="仿宋_GB2312"/>
              </w:rPr>
              <w:t>3.需提供平台所有功能模块的详细操作手册，在系统功能产生变化时及时更新材料，并及时公布。</w:t>
            </w:r>
          </w:p>
          <w:p>
            <w:pPr>
              <w:pStyle w:val="null3"/>
            </w:pPr>
            <w:r>
              <w:rPr>
                <w:rFonts w:ascii="仿宋_GB2312" w:hAnsi="仿宋_GB2312" w:cs="仿宋_GB2312" w:eastAsia="仿宋_GB2312"/>
              </w:rPr>
              <w:t>（四）技术支持</w:t>
            </w:r>
          </w:p>
          <w:p>
            <w:pPr>
              <w:pStyle w:val="null3"/>
            </w:pPr>
            <w:r>
              <w:rPr>
                <w:rFonts w:ascii="仿宋_GB2312" w:hAnsi="仿宋_GB2312" w:cs="仿宋_GB2312" w:eastAsia="仿宋_GB2312"/>
              </w:rPr>
              <w:t>1.提供专业的系统维护服务、软件服务、功能完善、性能调优等相关工作，保障系统7×24小时应用不中断，对系统运行情况进行监控和记录，及时发现和解决潜在的隐患，保障系统正常运行、解答和解决用户遇到各类问题。</w:t>
            </w:r>
          </w:p>
          <w:p>
            <w:pPr>
              <w:pStyle w:val="null3"/>
            </w:pPr>
            <w:r>
              <w:rPr>
                <w:rFonts w:ascii="仿宋_GB2312" w:hAnsi="仿宋_GB2312" w:cs="仿宋_GB2312" w:eastAsia="仿宋_GB2312"/>
              </w:rPr>
              <w:t>2.供应商需提供平台故障技术支持，对软件问题2小时响应，2小时内远程解决，在遇到问题无法远程操作解决时，应在48小时内到指定现场处理问题，并及时反馈相关服务信息，遇特殊情况双方协商解决。</w:t>
            </w:r>
          </w:p>
          <w:p>
            <w:pPr>
              <w:pStyle w:val="null3"/>
            </w:pPr>
            <w:r>
              <w:rPr>
                <w:rFonts w:ascii="仿宋_GB2312" w:hAnsi="仿宋_GB2312" w:cs="仿宋_GB2312" w:eastAsia="仿宋_GB2312"/>
              </w:rPr>
              <w:t>3.维护内容主要包括由于平台软件本身问题引起的不能使系统正常运行的相关内容，即软件缺陷、故障的修改和完善。</w:t>
            </w:r>
          </w:p>
          <w:p>
            <w:pPr>
              <w:pStyle w:val="null3"/>
            </w:pPr>
            <w:r>
              <w:rPr>
                <w:rFonts w:ascii="仿宋_GB2312" w:hAnsi="仿宋_GB2312" w:cs="仿宋_GB2312" w:eastAsia="仿宋_GB2312"/>
              </w:rPr>
              <w:t>4.安全巡检及系统监控：定制应用系统相关巡检计划，定期进行巡检，严格执行系统巡检工作并填写巡检记录表。</w:t>
            </w:r>
          </w:p>
          <w:p>
            <w:pPr>
              <w:pStyle w:val="null3"/>
            </w:pPr>
            <w:r>
              <w:rPr>
                <w:rFonts w:ascii="仿宋_GB2312" w:hAnsi="仿宋_GB2312" w:cs="仿宋_GB2312" w:eastAsia="仿宋_GB2312"/>
              </w:rPr>
              <w:t>5.安全漏洞修复与反馈：遇有检出安全漏洞，供应商须在2小时响应，高危漏洞 24 小时修复，漏洞修复和排查整改在双方约定时间内完成，提交整改报告并盖章。</w:t>
            </w:r>
          </w:p>
          <w:p>
            <w:pPr>
              <w:pStyle w:val="null3"/>
            </w:pPr>
            <w:r>
              <w:rPr>
                <w:rFonts w:ascii="仿宋_GB2312" w:hAnsi="仿宋_GB2312" w:cs="仿宋_GB2312" w:eastAsia="仿宋_GB2312"/>
              </w:rPr>
              <w:t>6.完成系统的数据备份管理，服务期内完成两次数据的还原和验证工作，备份 100% 完成，数据还原验证通过率 100%。</w:t>
            </w:r>
          </w:p>
          <w:p>
            <w:pPr>
              <w:pStyle w:val="null3"/>
            </w:pPr>
            <w:r>
              <w:rPr>
                <w:rFonts w:ascii="仿宋_GB2312" w:hAnsi="仿宋_GB2312" w:cs="仿宋_GB2312" w:eastAsia="仿宋_GB2312"/>
              </w:rPr>
              <w:t>7.按照省卫生健康信息中心的要求，基于项目范围进行适配性响应。</w:t>
            </w:r>
          </w:p>
          <w:p>
            <w:pPr>
              <w:pStyle w:val="null3"/>
            </w:pPr>
            <w:r>
              <w:rPr>
                <w:rFonts w:ascii="仿宋_GB2312" w:hAnsi="仿宋_GB2312" w:cs="仿宋_GB2312" w:eastAsia="仿宋_GB2312"/>
              </w:rPr>
              <w:t>四、完善规范和标准</w:t>
            </w:r>
          </w:p>
          <w:p>
            <w:pPr>
              <w:pStyle w:val="null3"/>
            </w:pPr>
            <w:r>
              <w:rPr>
                <w:rFonts w:ascii="仿宋_GB2312" w:hAnsi="仿宋_GB2312" w:cs="仿宋_GB2312" w:eastAsia="仿宋_GB2312"/>
              </w:rPr>
              <w:t>按照建设单位要求，完善和修订陕西省妇幼健康信息系统接口规范和数据标准。</w:t>
            </w:r>
          </w:p>
          <w:p>
            <w:pPr>
              <w:pStyle w:val="null3"/>
            </w:pPr>
            <w:r>
              <w:rPr>
                <w:rFonts w:ascii="仿宋_GB2312" w:hAnsi="仿宋_GB2312" w:cs="仿宋_GB2312" w:eastAsia="仿宋_GB2312"/>
              </w:rPr>
              <w:t>五、互联互通要求</w:t>
            </w:r>
          </w:p>
          <w:p>
            <w:pPr>
              <w:pStyle w:val="null3"/>
            </w:pPr>
            <w:r>
              <w:rPr>
                <w:rFonts w:ascii="仿宋_GB2312" w:hAnsi="仿宋_GB2312" w:cs="仿宋_GB2312" w:eastAsia="仿宋_GB2312"/>
              </w:rPr>
              <w:t>督促配合各市级系统按照接口规范和数据标准完成孕产妇保健、儿童保健（含0-6岁儿童眼保健及视力筛查）的对接。互联互通传输的全流程过程数据，应具备加密、解密安全处理能力，禁止以明文形式直接传输、存储。接口调用、数据交换全过程留存操作日志，未落实脱敏或加密管控的接口不得开通数据交换，因违规导致隐私数据泄露、外流的，全部责任由供应商承担。</w:t>
            </w:r>
          </w:p>
          <w:p>
            <w:pPr>
              <w:pStyle w:val="null3"/>
            </w:pPr>
            <w:r>
              <w:rPr>
                <w:rFonts w:ascii="仿宋_GB2312" w:hAnsi="仿宋_GB2312" w:cs="仿宋_GB2312" w:eastAsia="仿宋_GB2312"/>
              </w:rPr>
              <w:t>六、信息安全要求</w:t>
            </w:r>
          </w:p>
          <w:p>
            <w:pPr>
              <w:pStyle w:val="null3"/>
            </w:pPr>
            <w:r>
              <w:rPr>
                <w:rFonts w:ascii="仿宋_GB2312" w:hAnsi="仿宋_GB2312" w:cs="仿宋_GB2312" w:eastAsia="仿宋_GB2312"/>
              </w:rPr>
              <w:t>1.符合截止开标之日还在生效期内的所有跟网络安全有关的法律法规文件的要求；</w:t>
            </w:r>
          </w:p>
          <w:p>
            <w:pPr>
              <w:pStyle w:val="null3"/>
            </w:pPr>
            <w:r>
              <w:rPr>
                <w:rFonts w:ascii="仿宋_GB2312" w:hAnsi="仿宋_GB2312" w:cs="仿宋_GB2312" w:eastAsia="仿宋_GB2312"/>
              </w:rPr>
              <w:t>2.如有出台新的网络安全方面的法律法规，在项目运维期内，投标单位无条件免费进行升级，满足法律法规要求。</w:t>
            </w:r>
          </w:p>
          <w:p>
            <w:pPr>
              <w:pStyle w:val="null3"/>
            </w:pPr>
            <w:r>
              <w:rPr>
                <w:rFonts w:ascii="仿宋_GB2312" w:hAnsi="仿宋_GB2312" w:cs="仿宋_GB2312" w:eastAsia="仿宋_GB2312"/>
              </w:rPr>
              <w:t>3.不得使用国家或者行业相关法律法规等政策性文件明令禁止的安全硬件和软件产品、算法、服务等相关内容。</w:t>
            </w:r>
          </w:p>
          <w:p>
            <w:pPr>
              <w:pStyle w:val="null3"/>
            </w:pPr>
            <w:r>
              <w:rPr>
                <w:rFonts w:ascii="仿宋_GB2312" w:hAnsi="仿宋_GB2312" w:cs="仿宋_GB2312" w:eastAsia="仿宋_GB2312"/>
              </w:rPr>
              <w:t>4.建设项目符合等级保护（三级）要求，并配合建设单位完成本项目有关的安全建设、测评、等级保护（三级）等相关工作。</w:t>
            </w:r>
          </w:p>
          <w:p>
            <w:pPr>
              <w:pStyle w:val="null3"/>
            </w:pPr>
            <w:r>
              <w:rPr>
                <w:rFonts w:ascii="仿宋_GB2312" w:hAnsi="仿宋_GB2312" w:cs="仿宋_GB2312" w:eastAsia="仿宋_GB2312"/>
              </w:rPr>
              <w:t>5.配合建设单位做好日常、重大时期网络安全工作。</w:t>
            </w:r>
          </w:p>
          <w:p>
            <w:pPr>
              <w:pStyle w:val="null3"/>
            </w:pPr>
            <w:r>
              <w:rPr>
                <w:rFonts w:ascii="仿宋_GB2312" w:hAnsi="仿宋_GB2312" w:cs="仿宋_GB2312" w:eastAsia="仿宋_GB2312"/>
              </w:rPr>
              <w:t>6.配合建设单位做好数据保密工作，签订数据安全保密协议。</w:t>
            </w:r>
          </w:p>
          <w:p>
            <w:pPr>
              <w:pStyle w:val="null3"/>
            </w:pPr>
            <w:r>
              <w:rPr>
                <w:rFonts w:ascii="仿宋_GB2312" w:hAnsi="仿宋_GB2312" w:cs="仿宋_GB2312" w:eastAsia="仿宋_GB2312"/>
              </w:rPr>
              <w:t>七、知识产权归属要求</w:t>
            </w:r>
          </w:p>
          <w:p>
            <w:pPr>
              <w:pStyle w:val="null3"/>
            </w:pPr>
            <w:r>
              <w:rPr>
                <w:rFonts w:ascii="仿宋_GB2312" w:hAnsi="仿宋_GB2312" w:cs="仿宋_GB2312" w:eastAsia="仿宋_GB2312"/>
              </w:rPr>
              <w:t>系统软件、通用软件是具有在中国境内的合法使用权或版权的正版软件，对于系统中涉及到的核心技术，应不侵犯第三方的知识产权，涉及到第三方提出侵权或知识产权的起诉及支付版税等费用由乙方承担所有责任及费用，由此给甲方造成的一切损失均由乙方承担。</w:t>
            </w:r>
          </w:p>
          <w:p>
            <w:pPr>
              <w:pStyle w:val="null3"/>
            </w:pPr>
            <w:r>
              <w:rPr>
                <w:rFonts w:ascii="仿宋_GB2312" w:hAnsi="仿宋_GB2312" w:cs="仿宋_GB2312" w:eastAsia="仿宋_GB2312"/>
              </w:rPr>
              <w:t>八、信息化建议</w:t>
            </w:r>
          </w:p>
          <w:p>
            <w:pPr>
              <w:pStyle w:val="null3"/>
            </w:pPr>
            <w:r>
              <w:rPr>
                <w:rFonts w:ascii="仿宋_GB2312" w:hAnsi="仿宋_GB2312" w:cs="仿宋_GB2312" w:eastAsia="仿宋_GB2312"/>
              </w:rPr>
              <w:t>根据陕西省妇幼健康信息系统项目的信息化建设及应用现状，结合本省政策要求，提出跟信息化相关的建设、应用、互联互通等方面合理性的建议。</w:t>
            </w:r>
          </w:p>
          <w:p>
            <w:pPr>
              <w:pStyle w:val="null3"/>
            </w:pPr>
            <w:r>
              <w:rPr>
                <w:rFonts w:ascii="仿宋_GB2312" w:hAnsi="仿宋_GB2312" w:cs="仿宋_GB2312" w:eastAsia="仿宋_GB2312"/>
              </w:rPr>
              <w:t>九、项目验收交付物</w:t>
            </w:r>
          </w:p>
          <w:p>
            <w:pPr>
              <w:pStyle w:val="null3"/>
            </w:pPr>
            <w:r>
              <w:rPr>
                <w:rFonts w:ascii="仿宋_GB2312" w:hAnsi="仿宋_GB2312" w:cs="仿宋_GB2312" w:eastAsia="仿宋_GB2312"/>
              </w:rPr>
              <w:t>1.项目运维保障方案及运维人员备案；</w:t>
            </w:r>
          </w:p>
          <w:p>
            <w:pPr>
              <w:pStyle w:val="null3"/>
            </w:pPr>
            <w:r>
              <w:rPr>
                <w:rFonts w:ascii="仿宋_GB2312" w:hAnsi="仿宋_GB2312" w:cs="仿宋_GB2312" w:eastAsia="仿宋_GB2312"/>
              </w:rPr>
              <w:t>2.项目应急预案；</w:t>
            </w:r>
          </w:p>
          <w:p>
            <w:pPr>
              <w:pStyle w:val="null3"/>
            </w:pPr>
            <w:r>
              <w:rPr>
                <w:rFonts w:ascii="仿宋_GB2312" w:hAnsi="仿宋_GB2312" w:cs="仿宋_GB2312" w:eastAsia="仿宋_GB2312"/>
              </w:rPr>
              <w:t>3.系统培训资料（图、文）；</w:t>
            </w:r>
          </w:p>
          <w:p>
            <w:pPr>
              <w:pStyle w:val="null3"/>
            </w:pPr>
            <w:r>
              <w:rPr>
                <w:rFonts w:ascii="仿宋_GB2312" w:hAnsi="仿宋_GB2312" w:cs="仿宋_GB2312" w:eastAsia="仿宋_GB2312"/>
              </w:rPr>
              <w:t>4.运维月报和巡检记录单；</w:t>
            </w:r>
          </w:p>
          <w:p>
            <w:pPr>
              <w:pStyle w:val="null3"/>
            </w:pPr>
            <w:r>
              <w:rPr>
                <w:rFonts w:ascii="仿宋_GB2312" w:hAnsi="仿宋_GB2312" w:cs="仿宋_GB2312" w:eastAsia="仿宋_GB2312"/>
              </w:rPr>
              <w:t>5.运维总结报告；</w:t>
            </w:r>
          </w:p>
          <w:p>
            <w:pPr>
              <w:pStyle w:val="null3"/>
            </w:pPr>
            <w:r>
              <w:rPr>
                <w:rFonts w:ascii="仿宋_GB2312" w:hAnsi="仿宋_GB2312" w:cs="仿宋_GB2312" w:eastAsia="仿宋_GB2312"/>
              </w:rPr>
              <w:t>6.保密协议（签字确认版）；</w:t>
            </w:r>
          </w:p>
          <w:p>
            <w:pPr>
              <w:pStyle w:val="null3"/>
            </w:pPr>
            <w:r>
              <w:rPr>
                <w:rFonts w:ascii="仿宋_GB2312" w:hAnsi="仿宋_GB2312" w:cs="仿宋_GB2312" w:eastAsia="仿宋_GB2312"/>
              </w:rPr>
              <w:t>7.系统的安装软件及操作手册；</w:t>
            </w:r>
          </w:p>
          <w:p>
            <w:pPr>
              <w:pStyle w:val="null3"/>
            </w:pPr>
            <w:r>
              <w:rPr>
                <w:rFonts w:ascii="仿宋_GB2312" w:hAnsi="仿宋_GB2312" w:cs="仿宋_GB2312" w:eastAsia="仿宋_GB2312"/>
              </w:rPr>
              <w:t>8.建设单位要求的其它资料。</w:t>
            </w:r>
          </w:p>
          <w:p>
            <w:pPr>
              <w:pStyle w:val="null3"/>
            </w:pPr>
            <w:r>
              <w:rPr>
                <w:rFonts w:ascii="仿宋_GB2312" w:hAnsi="仿宋_GB2312" w:cs="仿宋_GB2312" w:eastAsia="仿宋_GB2312"/>
              </w:rPr>
              <w:t>注：以上内容为实质性要求，不得负偏离。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根据项目要求，按需配备。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合法来源渠道证明：供应商使用第三方软件系统的，需提供合法来源渠道证明材料，包括但不限于产品制造商授权、销售协议、代理协议、原厂授权等。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2026年8月27日至2027年8月26日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陕西省卫生健康信息中心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项目验收交付物： 1.项目运维保障方案及运维人员备案； 2.项目应急预案； 3.系统培训资料（图、文）； 4.运维月报和巡检记录单； 5.运维总结报告； 6.保密协议（签字确认版）； 7.系统的安装软件及操作手册； 8.建设单位要求的其它资料。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1.退还保证金： 1.1在投标截止时间前撤回已提交投标文件的投标人的投标保证金，将在招标代理机构收到投标人书面撤回通知之日起5个工作日内退还。1.2所有未中标人的投标保证金，将在中标通知书发出后5个工作日内退还。1.3中标人的投标保证金在签订合同后，执合同予以5个工作日内退还。2、中标人在领取中标通知书时，向采购代理机构提供一正两副纸质投标文件用于备案及档案保存（纸质投标文件采用书籍（胶装）方式装订成册，与电子投标文件一致的签字、盖章的完整版本（正本为红章，副本不作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供应商需在项目电子化交易系统中按要求上传相应证明文件并进行电子签章，比项审查内容与“控股关系查询”为同一审查内容。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税收缴纳证明：提供截止至2025年7月至今任意一个月的税收缴纳凭据；（增值税、企业所得税至少提供一种，依法免税的供应商应提供相关文件证明）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响应文件封面 《拒绝政府采购领域商业贿赂承诺书》.docx 标的清单 响应函 响应偏离表.docx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响应文件封面 《拒绝政府采购领域商业贿赂承诺书》.docx 标的清单 分项报价.docx 响应偏离表.docx 响应函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是否对磋商文件技术、服务、商务及其他要求作出明确响应，对不得偏离的要求是否作出实质性响应</w:t>
            </w:r>
          </w:p>
        </w:tc>
        <w:tc>
          <w:tcPr>
            <w:tcW w:type="dxa" w:w="3322"/>
          </w:tcPr>
          <w:p>
            <w:pPr>
              <w:pStyle w:val="null3"/>
            </w:pPr>
            <w:r>
              <w:rPr>
                <w:rFonts w:ascii="仿宋_GB2312" w:hAnsi="仿宋_GB2312" w:cs="仿宋_GB2312" w:eastAsia="仿宋_GB2312"/>
              </w:rPr>
              <w:t>是否对磋商文件技术、服务、商务及其他要求作出明确响应，对不得偏离的要求是否作出实质性响应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磋商响应文件无采购人不能接受的附加条件</w:t>
            </w:r>
          </w:p>
        </w:tc>
        <w:tc>
          <w:tcPr>
            <w:tcW w:type="dxa" w:w="3322"/>
          </w:tcPr>
          <w:p>
            <w:pPr>
              <w:pStyle w:val="null3"/>
            </w:pPr>
            <w:r>
              <w:rPr>
                <w:rFonts w:ascii="仿宋_GB2312" w:hAnsi="仿宋_GB2312" w:cs="仿宋_GB2312" w:eastAsia="仿宋_GB2312"/>
              </w:rPr>
              <w:t>磋商响应文件无采购人不能接受的附加条件</w:t>
            </w:r>
          </w:p>
        </w:tc>
        <w:tc>
          <w:tcPr>
            <w:tcW w:type="dxa" w:w="1661"/>
          </w:tcPr>
          <w:p>
            <w:pPr>
              <w:pStyle w:val="null3"/>
            </w:pPr>
            <w:r>
              <w:rPr>
                <w:rFonts w:ascii="仿宋_GB2312" w:hAnsi="仿宋_GB2312" w:cs="仿宋_GB2312" w:eastAsia="仿宋_GB2312"/>
              </w:rPr>
              <w:t>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无法律、法规和磋商文件规定的其他无效投标情形</w:t>
            </w:r>
          </w:p>
        </w:tc>
        <w:tc>
          <w:tcPr>
            <w:tcW w:type="dxa" w:w="3322"/>
          </w:tcPr>
          <w:p>
            <w:pPr>
              <w:pStyle w:val="null3"/>
            </w:pPr>
            <w:r>
              <w:rPr>
                <w:rFonts w:ascii="仿宋_GB2312" w:hAnsi="仿宋_GB2312" w:cs="仿宋_GB2312" w:eastAsia="仿宋_GB2312"/>
              </w:rPr>
              <w:t>无法律、法规和磋商文件规定的其他无效投标情形</w:t>
            </w:r>
          </w:p>
        </w:tc>
        <w:tc>
          <w:tcPr>
            <w:tcW w:type="dxa" w:w="1661"/>
          </w:tcPr>
          <w:p>
            <w:pPr>
              <w:pStyle w:val="null3"/>
            </w:pPr>
            <w:r>
              <w:rPr>
                <w:rFonts w:ascii="仿宋_GB2312" w:hAnsi="仿宋_GB2312" w:cs="仿宋_GB2312" w:eastAsia="仿宋_GB2312"/>
              </w:rPr>
              <w:t>供应商认为有必要补充说明的事宜.docx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评审得分相同的，人员配备得分高者为第一成交候选人，若上述两项得分相同，企业实力得分高者为第一成交候选人，若上述得分均相同则由全体磋商小组成员无记名投票，得票高者为第一成交候选人。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供应商拟投入本项目的项目经理具备信息系统项目管理师证书，得3分。备注：人员不重复计分，须提供有效证书复印件及在本单位2026年5月至今任意一个月的社保缴纳证明，未提供的不得分。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拟派项目团队成员中（除项目经理外），具备计算机类中级或以上认证证书的，每提供1个得2分，满分6分。备注：人员不重复计分，须提供有效证书复印件及在本单位2026年5月至今任意一个月的社保缴纳证明，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供应商或所投软件生产商具备有效的信息技术服务管理体系认证证书的，得1分。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供应商或所投软件生产商具备有效的信息安全管理体系认证证书的，得1分。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企业实力3</w:t>
            </w:r>
          </w:p>
        </w:tc>
        <w:tc>
          <w:tcPr>
            <w:tcW w:type="dxa" w:w="2492"/>
          </w:tcPr>
          <w:p>
            <w:pPr>
              <w:pStyle w:val="null3"/>
            </w:pPr>
            <w:r>
              <w:rPr>
                <w:rFonts w:ascii="仿宋_GB2312" w:hAnsi="仿宋_GB2312" w:cs="仿宋_GB2312" w:eastAsia="仿宋_GB2312"/>
              </w:rPr>
              <w:t>供应商或所投软件生产商具备有效的质量管理体系认证证书的，得1分。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企业实力4</w:t>
            </w:r>
          </w:p>
        </w:tc>
        <w:tc>
          <w:tcPr>
            <w:tcW w:type="dxa" w:w="2492"/>
          </w:tcPr>
          <w:p>
            <w:pPr>
              <w:pStyle w:val="null3"/>
            </w:pPr>
            <w:r>
              <w:rPr>
                <w:rFonts w:ascii="仿宋_GB2312" w:hAnsi="仿宋_GB2312" w:cs="仿宋_GB2312" w:eastAsia="仿宋_GB2312"/>
              </w:rPr>
              <w:t>供应商或所投软件生产商具备有效卫生医疗软件技术开发相关的环境管理体系认证证书，得1分。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企业实力5</w:t>
            </w:r>
          </w:p>
        </w:tc>
        <w:tc>
          <w:tcPr>
            <w:tcW w:type="dxa" w:w="2492"/>
          </w:tcPr>
          <w:p>
            <w:pPr>
              <w:pStyle w:val="null3"/>
            </w:pPr>
            <w:r>
              <w:rPr>
                <w:rFonts w:ascii="仿宋_GB2312" w:hAnsi="仿宋_GB2312" w:cs="仿宋_GB2312" w:eastAsia="仿宋_GB2312"/>
              </w:rPr>
              <w:t>供应商参与过妇幼信息化相关标准制定的，每个得3分，满分6分。提供证明材料，未提供不得分。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企业实力6</w:t>
            </w:r>
          </w:p>
        </w:tc>
        <w:tc>
          <w:tcPr>
            <w:tcW w:type="dxa" w:w="2492"/>
          </w:tcPr>
          <w:p>
            <w:pPr>
              <w:pStyle w:val="null3"/>
            </w:pPr>
            <w:r>
              <w:rPr>
                <w:rFonts w:ascii="仿宋_GB2312" w:hAnsi="仿宋_GB2312" w:cs="仿宋_GB2312" w:eastAsia="仿宋_GB2312"/>
              </w:rPr>
              <w:t>供应商具有妇幼健康相关信息化平台对接案例的，每个案例得3分，满分6分。提供证明材料，未提供不得分。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以完整合同形式提供供应商2023年1月1日至今（以合同签订时间为准）类似项目服务业绩的，每提供一份计2分，满分10分。 备注：响应文件中提供合同复印件加盖公章。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供应商针对以下内容提供系统功能演示： 1.新增“本地区35-64周岁目标妇女数”录入界面，权限为区县级卫健局用户。2.按照《陕西省城乡适龄妇女免费“两癌”筛查项目实施方案》、国家“两癌”筛查信息管理手册（2022年版）要求，升级宫颈癌检查项目个案登记表、宫颈癌筛查统计报表、乳腺癌检查项目个案登记表、乳腺癌筛查统计报表等。3.系统须以“登记日期（筛查日期）”为时间轴，自动适配不同版本的界面展示。 评审要求：供应商根据演示内容进行原型系统演示，共3项，每项功能完全响应演示要求、符合演示内容，得5分；采用非原型演示(视频录像、PPT、Demo或演示为图片等静态页面)的，每项得2分；未提供演示以及演示内容缺项的不得分。满分15分。 注：各投标人演示时间每家不超过15分钟（包含前期设备调试等准备时间，不包含专家提问时间），通过腾讯视频会议形式演示，腾讯视频会议码评审前电话通知各供应商（请保持电话畅通）。演示时由各供应商自行考虑电脑、投影仪、转接口等设备的正常运行，否则相关不利风险由供应商自行承担。</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建设方案</w:t>
            </w:r>
          </w:p>
        </w:tc>
        <w:tc>
          <w:tcPr>
            <w:tcW w:type="dxa" w:w="2492"/>
          </w:tcPr>
          <w:p>
            <w:pPr>
              <w:pStyle w:val="null3"/>
            </w:pPr>
            <w:r>
              <w:rPr>
                <w:rFonts w:ascii="仿宋_GB2312" w:hAnsi="仿宋_GB2312" w:cs="仿宋_GB2312" w:eastAsia="仿宋_GB2312"/>
              </w:rPr>
              <w:t>供应商提供针对本项目的建设方案，包括但不限于：①总体设计②技术架构③功能架构④业务模块接口设计⑤数据库设计⑥安全体系设计⑦运维保障方案。 评审标准：方案架构清晰、内容完整、科学，合理，得14分；每有一项缺项扣2分，每有一项内容存在缺陷，扣1分，扣完为止。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建设方案.docx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供应商提供针对本项目的培训方案，包括但不限于：①培训内容②培训人员③时间安排④培训形式。 评审标准：方案架构清晰、内容完整、科学，合理，得8分；每有一项缺项扣2分，每有一项内容存在缺陷，扣1分，扣完为止。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供应商提供针对本项目的实施方案，包括但不限于：①项目进度计划②人员配置③保障措施④进度管理。 评审标准：方案架构清晰、内容完整、科学，合理，得12分；每有一项缺项扣3分，每有一项内容存在缺陷，扣1分，扣完为止。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供应商提供针对本项目的质量保证，包括但不限于：①质量管理措施方案；②质量运维服务管理体系和制度等；③问题整改闭环与持续优化方案。 评审标准：方案内容清晰、完整、科学，合理，得6分；每有一项缺项扣2分，每有一项内容存在缺陷扣1分，扣完为止。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详见附件：建设方案.docx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