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版本号：SXWXZBDL2026-ZC-CS101820260617001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西安市第三十一中教学综合楼项目文物勘探清表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SXWXZBDL2026-ZC-CS1018</w:t>
      </w:r>
      <w:r>
        <w:br/>
      </w:r>
      <w:r>
        <w:br/>
      </w:r>
      <w:r>
        <w:br/>
      </w:r>
    </w:p>
    <w:p>
      <w:pPr>
        <w:pStyle w:val="null3"/>
        <w:jc w:val="center"/>
        <w:outlineLvl w:val="2"/>
      </w:pPr>
      <w:r>
        <w:rPr>
          <w:rFonts w:ascii="仿宋_GB2312" w:hAnsi="仿宋_GB2312" w:cs="仿宋_GB2312" w:eastAsia="仿宋_GB2312"/>
          <w:sz w:val="28"/>
          <w:b/>
        </w:rPr>
        <w:t>西安市第三十一中学</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西安市第三十一中学</w:t>
      </w:r>
      <w:r>
        <w:rPr>
          <w:rFonts w:ascii="仿宋_GB2312" w:hAnsi="仿宋_GB2312" w:cs="仿宋_GB2312" w:eastAsia="仿宋_GB2312"/>
        </w:rPr>
        <w:t>委托，拟对</w:t>
      </w:r>
      <w:r>
        <w:rPr>
          <w:rFonts w:ascii="仿宋_GB2312" w:hAnsi="仿宋_GB2312" w:cs="仿宋_GB2312" w:eastAsia="仿宋_GB2312"/>
        </w:rPr>
        <w:t>西安市第三十一中教学综合楼项目文物勘探清表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SXWXZBDL2026-ZC-CS1018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西安市第三十一中教学综合楼项目文物勘探清表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西安市第三十一中教学综合楼项目文物勘探清表，主要内容包括：原建筑物的拆除、地面清表、垃圾清运等。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采购包1（西安市第三十一中教学综合楼项目文物勘探清表）：属于专门面向中小企业采购。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情况：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5、专业技术能力：提供具有履行合同所必需的设备和专业技术能力的承诺；</w:t>
      </w:r>
    </w:p>
    <w:p>
      <w:pPr>
        <w:pStyle w:val="null3"/>
      </w:pPr>
      <w:r>
        <w:rPr>
          <w:rFonts w:ascii="仿宋_GB2312" w:hAnsi="仿宋_GB2312" w:cs="仿宋_GB2312" w:eastAsia="仿宋_GB2312"/>
        </w:rPr>
        <w:t>6、无重大违法：参加本次政府采购活动前三年内在经营活动中没有重大违法记录的书面声明；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法定代表人直接参加磋商，须提供法定代表人身份证明，被授权人需提供在本单位近三个月任意一个月的社保缴纳证明。</w:t>
      </w:r>
    </w:p>
    <w:p>
      <w:pPr>
        <w:pStyle w:val="null3"/>
      </w:pPr>
      <w:r>
        <w:rPr>
          <w:rFonts w:ascii="仿宋_GB2312" w:hAnsi="仿宋_GB2312" w:cs="仿宋_GB2312" w:eastAsia="仿宋_GB2312"/>
        </w:rPr>
        <w:t>8、资质证书：供应商须具备建设行政主管部门颁发的建筑工程施工总承包三级及以上资质，并具备建设行政主管部门颁发的安全生产许可证；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9、项目负责人/经理：拟派项目经理具备建筑工程专业二级及以上注册建造师资质证书，并具备安全考核B证，且无在建工程、无不良记录（提供无在建工程、无不良记录承诺书）；</w:t>
      </w:r>
    </w:p>
    <w:p>
      <w:pPr>
        <w:pStyle w:val="null3"/>
      </w:pPr>
      <w:r>
        <w:rPr>
          <w:rFonts w:ascii="仿宋_GB2312" w:hAnsi="仿宋_GB2312" w:cs="仿宋_GB2312" w:eastAsia="仿宋_GB2312"/>
        </w:rPr>
        <w:t>10、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西安市第三十一中学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西门外人民西巷2号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西安市第三十一中学经办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13363913780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采购包1：690,225.70元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 2.成交单位在领取成交通知书前，须向采购代理机构一次性支付招标代理服务费。 3.招标代理服务费交纳信息： 户名：陕西万兴招标代理有限公司 开户行：北京银行股份有限公司西安大明宫支行 账号：2000 0034 4675 0001 6437 653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西安市第三十一中学</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西安市第三十一中学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西安市第三十一中学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按采购文件要求执行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690,225.70</w:t>
      </w:r>
    </w:p>
    <w:p>
      <w:pPr>
        <w:pStyle w:val="null3"/>
      </w:pPr>
      <w:r>
        <w:rPr>
          <w:rFonts w:ascii="仿宋_GB2312" w:hAnsi="仿宋_GB2312" w:cs="仿宋_GB2312" w:eastAsia="仿宋_GB2312"/>
        </w:rPr>
        <w:t>采购包最高限价（元）: 686,882.92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西安市第三十一中教学综合楼项目文物勘探清表</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690,225.70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标的名称：西安市第三十一中教学综合楼项目文物勘探清表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92"/>
              <w:gridCol w:w="323"/>
              <w:gridCol w:w="1838"/>
            </w:tblGrid>
            <w:tr>
              <w:tc>
                <w:tcPr>
                  <w:tcW w:type="dxa" w:w="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参数性质</w:t>
                  </w:r>
                </w:p>
              </w:tc>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技术参数与性能指标</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w:t>
                  </w:r>
                </w:p>
              </w:tc>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项目概况：</w:t>
                  </w:r>
                </w:p>
                <w:p>
                  <w:pPr>
                    <w:pStyle w:val="null3"/>
                    <w:ind w:firstLine="480"/>
                    <w:jc w:val="both"/>
                  </w:pPr>
                  <w:r>
                    <w:rPr>
                      <w:rFonts w:ascii="仿宋_GB2312" w:hAnsi="仿宋_GB2312" w:cs="仿宋_GB2312" w:eastAsia="仿宋_GB2312"/>
                      <w:sz w:val="21"/>
                    </w:rPr>
                    <w:t>为积极落实《西安市人民政府专题会议纪要》（〔2024〕19号）精神和区政府主要领导批示要求，西安市第三十一中学拟建设一栋教学综合楼。根据《中华人民共和国文物保护法》及《西安市基本建设工程考古工作规范（试行）》（市文物发〔2025〕224 号）相关规定，办理项目规划建审手续前需由建设单位完成清表工作，并由文物勘探单位完成文物勘探。为保障项目前期工作依法依规、顺利推进，按期启动后续建设，经学校办公会研究决定实施</w:t>
                  </w:r>
                  <w:r>
                    <w:rPr>
                      <w:rFonts w:ascii="仿宋_GB2312" w:hAnsi="仿宋_GB2312" w:cs="仿宋_GB2312" w:eastAsia="仿宋_GB2312"/>
                      <w:sz w:val="21"/>
                    </w:rPr>
                    <w:t>西安市第三十一中教学综合楼项目文物勘探清表</w:t>
                  </w:r>
                  <w:r>
                    <w:rPr>
                      <w:rFonts w:ascii="仿宋_GB2312" w:hAnsi="仿宋_GB2312" w:cs="仿宋_GB2312" w:eastAsia="仿宋_GB2312"/>
                      <w:sz w:val="21"/>
                    </w:rPr>
                    <w:t>工作。</w:t>
                  </w:r>
                </w:p>
                <w:p>
                  <w:pPr>
                    <w:pStyle w:val="null3"/>
                    <w:ind w:firstLine="480"/>
                    <w:jc w:val="both"/>
                  </w:pPr>
                  <w:r>
                    <w:rPr>
                      <w:rFonts w:ascii="仿宋_GB2312" w:hAnsi="仿宋_GB2312" w:cs="仿宋_GB2312" w:eastAsia="仿宋_GB2312"/>
                      <w:sz w:val="21"/>
                    </w:rPr>
                    <w:t>经西安市文物保护考古研究院现场调查、勘察，学校新建教学综合楼项目用地范围内需进行文物勘探清表面积约4000平方米。</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w:t>
                  </w:r>
                </w:p>
              </w:tc>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（一）工程内容：西安市第三十一中教学综合楼项目文物勘探清表，主要内容包括：原建筑物的拆除、地面清表、垃圾清运等。</w:t>
                  </w:r>
                </w:p>
                <w:p>
                  <w:pPr>
                    <w:pStyle w:val="null3"/>
                    <w:jc w:val="both"/>
                  </w:pPr>
                  <w:r>
                    <w:rPr>
                      <w:rFonts w:ascii="仿宋_GB2312" w:hAnsi="仿宋_GB2312" w:cs="仿宋_GB2312" w:eastAsia="仿宋_GB2312"/>
                      <w:sz w:val="21"/>
                    </w:rPr>
                    <w:t>（二）工程地点：西安市第三十一中学东。</w:t>
                  </w:r>
                </w:p>
                <w:p>
                  <w:pPr>
                    <w:pStyle w:val="null3"/>
                    <w:jc w:val="both"/>
                  </w:pPr>
                  <w:r>
                    <w:rPr>
                      <w:rFonts w:ascii="仿宋_GB2312" w:hAnsi="仿宋_GB2312" w:cs="仿宋_GB2312" w:eastAsia="仿宋_GB2312"/>
                      <w:sz w:val="21"/>
                    </w:rPr>
                    <w:t>（三）计划工期：自进场之日起7个日历日内竣工。</w:t>
                  </w:r>
                </w:p>
                <w:p>
                  <w:pPr>
                    <w:pStyle w:val="null3"/>
                    <w:jc w:val="both"/>
                  </w:pPr>
                  <w:r>
                    <w:rPr>
                      <w:rFonts w:ascii="仿宋_GB2312" w:hAnsi="仿宋_GB2312" w:cs="仿宋_GB2312" w:eastAsia="仿宋_GB2312"/>
                      <w:sz w:val="21"/>
                    </w:rPr>
                    <w:t>（四）缺陷责任期：1年。</w:t>
                  </w:r>
                </w:p>
                <w:p>
                  <w:pPr>
                    <w:pStyle w:val="null3"/>
                    <w:jc w:val="both"/>
                  </w:pPr>
                  <w:r>
                    <w:rPr>
                      <w:rFonts w:ascii="仿宋_GB2312" w:hAnsi="仿宋_GB2312" w:cs="仿宋_GB2312" w:eastAsia="仿宋_GB2312"/>
                      <w:sz w:val="21"/>
                    </w:rPr>
                    <w:t>（五）质量保修期：2年（防水5年）。</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六</w:t>
                  </w:r>
                  <w:r>
                    <w:rPr>
                      <w:rFonts w:ascii="仿宋_GB2312" w:hAnsi="仿宋_GB2312" w:cs="仿宋_GB2312" w:eastAsia="仿宋_GB2312"/>
                      <w:sz w:val="21"/>
                    </w:rPr>
                    <w:t>）</w:t>
                  </w:r>
                  <w:r>
                    <w:rPr>
                      <w:rFonts w:ascii="仿宋_GB2312" w:hAnsi="仿宋_GB2312" w:cs="仿宋_GB2312" w:eastAsia="仿宋_GB2312"/>
                      <w:sz w:val="21"/>
                    </w:rPr>
                    <w:t>施工地点：</w:t>
                  </w:r>
                  <w:r>
                    <w:rPr>
                      <w:rFonts w:ascii="仿宋_GB2312" w:hAnsi="仿宋_GB2312" w:cs="仿宋_GB2312" w:eastAsia="仿宋_GB2312"/>
                      <w:sz w:val="21"/>
                    </w:rPr>
                    <w:t>采购人指定地点</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质量标准：符合国家现行有关施工质量验收规范“合格”要求。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八</w:t>
                  </w:r>
                  <w:r>
                    <w:rPr>
                      <w:rFonts w:ascii="仿宋_GB2312" w:hAnsi="仿宋_GB2312" w:cs="仿宋_GB2312" w:eastAsia="仿宋_GB2312"/>
                      <w:sz w:val="21"/>
                    </w:rPr>
                    <w:t>）</w:t>
                  </w:r>
                  <w:r>
                    <w:rPr>
                      <w:rFonts w:ascii="仿宋_GB2312" w:hAnsi="仿宋_GB2312" w:cs="仿宋_GB2312" w:eastAsia="仿宋_GB2312"/>
                      <w:sz w:val="21"/>
                    </w:rPr>
                    <w:t>图纸与工程量清单不一致时以</w:t>
                  </w:r>
                  <w:r>
                    <w:rPr>
                      <w:rFonts w:ascii="仿宋_GB2312" w:hAnsi="仿宋_GB2312" w:cs="仿宋_GB2312" w:eastAsia="仿宋_GB2312"/>
                      <w:sz w:val="21"/>
                    </w:rPr>
                    <w:t>工程量清单</w:t>
                  </w:r>
                  <w:r>
                    <w:rPr>
                      <w:rFonts w:ascii="仿宋_GB2312" w:hAnsi="仿宋_GB2312" w:cs="仿宋_GB2312" w:eastAsia="仿宋_GB2312"/>
                      <w:sz w:val="21"/>
                    </w:rPr>
                    <w:t>为准。</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3</w:t>
                  </w:r>
                </w:p>
              </w:tc>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编制依据：</w:t>
                  </w:r>
                </w:p>
                <w:p>
                  <w:pPr>
                    <w:pStyle w:val="null3"/>
                    <w:ind w:firstLine="480"/>
                    <w:jc w:val="both"/>
                  </w:pPr>
                  <w:r>
                    <w:rPr>
                      <w:rFonts w:ascii="仿宋_GB2312" w:hAnsi="仿宋_GB2312" w:cs="仿宋_GB2312" w:eastAsia="仿宋_GB2312"/>
                      <w:sz w:val="21"/>
                    </w:rPr>
                    <w:t>1、设计图纸及图纸答疑；</w:t>
                  </w:r>
                </w:p>
                <w:p>
                  <w:pPr>
                    <w:pStyle w:val="null3"/>
                    <w:ind w:firstLine="480"/>
                    <w:jc w:val="both"/>
                  </w:pPr>
                  <w:r>
                    <w:rPr>
                      <w:rFonts w:ascii="仿宋_GB2312" w:hAnsi="仿宋_GB2312" w:cs="仿宋_GB2312" w:eastAsia="仿宋_GB2312"/>
                      <w:sz w:val="21"/>
                    </w:rPr>
                    <w:t>2、《陕西省建设工程工程量清单计价标准》（DB61/T 5126-2025）、《陕西省建设工程费用规则》（2025）；</w:t>
                  </w:r>
                </w:p>
                <w:p>
                  <w:pPr>
                    <w:pStyle w:val="null3"/>
                    <w:ind w:firstLine="480"/>
                    <w:jc w:val="both"/>
                  </w:pPr>
                  <w:r>
                    <w:rPr>
                      <w:rFonts w:ascii="仿宋_GB2312" w:hAnsi="仿宋_GB2312" w:cs="仿宋_GB2312" w:eastAsia="仿宋_GB2312"/>
                      <w:sz w:val="21"/>
                    </w:rPr>
                    <w:t>3、陕西省工程建设标准《房屋建筑与装饰工程工程量计算标准》DB61/T 5129-2025、陕西省工程建设标准《通用安装工程工程量计算标准》DB61/T 5130-2025、陕西省工程建设标准《市政工程工程量计算标准》DB61/T 5128-2025、陕西省工程建设标准《园林绿化工程工程量计算标准》DB61/T 5131-2025；</w:t>
                  </w:r>
                </w:p>
                <w:p>
                  <w:pPr>
                    <w:pStyle w:val="null3"/>
                    <w:ind w:firstLine="480"/>
                    <w:jc w:val="both"/>
                  </w:pPr>
                  <w:r>
                    <w:rPr>
                      <w:rFonts w:ascii="仿宋_GB2312" w:hAnsi="仿宋_GB2312" w:cs="仿宋_GB2312" w:eastAsia="仿宋_GB2312"/>
                      <w:sz w:val="21"/>
                    </w:rPr>
                    <w:t>4、陕建管发〔2025〕10号《陕西省住房和城乡建设厅关于印发2025陕西省建设工程费用规则等计价依据的通知》；</w:t>
                  </w:r>
                </w:p>
                <w:p>
                  <w:pPr>
                    <w:pStyle w:val="null3"/>
                    <w:ind w:firstLine="480"/>
                    <w:jc w:val="both"/>
                  </w:pPr>
                  <w:r>
                    <w:rPr>
                      <w:rFonts w:ascii="仿宋_GB2312" w:hAnsi="仿宋_GB2312" w:cs="仿宋_GB2312" w:eastAsia="仿宋_GB2312"/>
                      <w:sz w:val="21"/>
                    </w:rPr>
                    <w:t>5、施工现场情况、工程特点及与本工程相关的常规施工方案、合理工期、工程验收规范及标准；</w:t>
                  </w:r>
                </w:p>
                <w:p>
                  <w:pPr>
                    <w:pStyle w:val="null3"/>
                    <w:ind w:firstLine="480"/>
                    <w:jc w:val="both"/>
                  </w:pPr>
                  <w:r>
                    <w:rPr>
                      <w:rFonts w:ascii="仿宋_GB2312" w:hAnsi="仿宋_GB2312" w:cs="仿宋_GB2312" w:eastAsia="仿宋_GB2312"/>
                      <w:sz w:val="21"/>
                    </w:rPr>
                    <w:t>6、磋商文件及工程量清单，补遗、澄清或修改后的磋商文件；</w:t>
                  </w:r>
                </w:p>
                <w:p>
                  <w:pPr>
                    <w:pStyle w:val="null3"/>
                    <w:ind w:firstLine="480"/>
                    <w:jc w:val="both"/>
                  </w:pPr>
                  <w:r>
                    <w:rPr>
                      <w:rFonts w:ascii="仿宋_GB2312" w:hAnsi="仿宋_GB2312" w:cs="仿宋_GB2312" w:eastAsia="仿宋_GB2312"/>
                      <w:sz w:val="21"/>
                    </w:rPr>
                    <w:t>7、与建设工程项目有关的标准、规范、图集、技术资料；</w:t>
                  </w:r>
                </w:p>
                <w:p>
                  <w:pPr>
                    <w:pStyle w:val="null3"/>
                    <w:ind w:firstLine="480"/>
                    <w:jc w:val="both"/>
                  </w:pPr>
                  <w:r>
                    <w:rPr>
                      <w:rFonts w:ascii="仿宋_GB2312" w:hAnsi="仿宋_GB2312" w:cs="仿宋_GB2312" w:eastAsia="仿宋_GB2312"/>
                      <w:sz w:val="21"/>
                    </w:rPr>
                    <w:t>8、本工程量清单采用广联达云计价平台GCCP7.0（7.5000.23.3版本）编制。</w:t>
                  </w:r>
                </w:p>
              </w:tc>
            </w:tr>
            <w:tr>
              <w:tc>
                <w:tcPr>
                  <w:tcW w:type="dxa" w:w="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4</w:t>
                  </w:r>
                </w:p>
              </w:tc>
              <w:tc>
                <w:tcPr>
                  <w:tcW w:type="dxa" w:w="1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施工要求：</w:t>
                  </w:r>
                </w:p>
                <w:p>
                  <w:pPr>
                    <w:pStyle w:val="null3"/>
                    <w:jc w:val="both"/>
                  </w:pPr>
                  <w:r>
                    <w:rPr>
                      <w:rFonts w:ascii="仿宋_GB2312" w:hAnsi="仿宋_GB2312" w:cs="仿宋_GB2312" w:eastAsia="仿宋_GB2312"/>
                      <w:sz w:val="21"/>
                    </w:rPr>
                    <w:t>1、签订施工安全协议，施工人员在校期间，认真遵守学校规定，服从学校工作安排。</w:t>
                  </w:r>
                </w:p>
                <w:p>
                  <w:pPr>
                    <w:pStyle w:val="null3"/>
                    <w:jc w:val="both"/>
                  </w:pPr>
                  <w:r>
                    <w:rPr>
                      <w:rFonts w:ascii="仿宋_GB2312" w:hAnsi="仿宋_GB2312" w:cs="仿宋_GB2312" w:eastAsia="仿宋_GB2312"/>
                      <w:sz w:val="21"/>
                    </w:rPr>
                    <w:t>2、施工人员施工期间，必须按照施工安全规定佩戴安全帽、安全带等防护设备进行作业。</w:t>
                  </w:r>
                </w:p>
                <w:p>
                  <w:pPr>
                    <w:pStyle w:val="null3"/>
                    <w:jc w:val="both"/>
                  </w:pPr>
                  <w:r>
                    <w:rPr>
                      <w:rFonts w:ascii="仿宋_GB2312" w:hAnsi="仿宋_GB2312" w:cs="仿宋_GB2312" w:eastAsia="仿宋_GB2312"/>
                      <w:sz w:val="21"/>
                    </w:rPr>
                    <w:t>3、施工人员在校期间注意自身文明，禁止光膀子，禁止在校园内饮酒。</w:t>
                  </w:r>
                </w:p>
                <w:p>
                  <w:pPr>
                    <w:pStyle w:val="null3"/>
                    <w:jc w:val="both"/>
                  </w:pPr>
                  <w:r>
                    <w:rPr>
                      <w:rFonts w:ascii="仿宋_GB2312" w:hAnsi="仿宋_GB2312" w:cs="仿宋_GB2312" w:eastAsia="仿宋_GB2312"/>
                      <w:sz w:val="21"/>
                    </w:rPr>
                    <w:t>4、施工人员必须在学校指定区域休息。</w:t>
                  </w:r>
                </w:p>
                <w:p>
                  <w:pPr>
                    <w:pStyle w:val="null3"/>
                    <w:jc w:val="both"/>
                  </w:pPr>
                  <w:r>
                    <w:rPr>
                      <w:rFonts w:ascii="仿宋_GB2312" w:hAnsi="仿宋_GB2312" w:cs="仿宋_GB2312" w:eastAsia="仿宋_GB2312"/>
                      <w:sz w:val="21"/>
                    </w:rPr>
                    <w:t>5、来校施工车辆严格按照学校规定。进门登记，停放到指定位置。</w:t>
                  </w:r>
                </w:p>
                <w:p>
                  <w:pPr>
                    <w:pStyle w:val="null3"/>
                    <w:jc w:val="both"/>
                  </w:pPr>
                  <w:r>
                    <w:rPr>
                      <w:rFonts w:ascii="仿宋_GB2312" w:hAnsi="仿宋_GB2312" w:cs="仿宋_GB2312" w:eastAsia="仿宋_GB2312"/>
                      <w:sz w:val="21"/>
                    </w:rPr>
                    <w:t>6、施工单位保持其施工范围内的环境卫生，垃圾做到及时清理。</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广联达云计价平台GCCP7.0（7.5000.23.3版本）</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2.本项目属性为工程。 3.本项目合同包1采购标的所属行业为：建筑业； 4.本项目是否属于信用担保试点范围：否。 5.本项目为固定总价合同。 6.本项目最高限价为686882.92元，投标报价应是采购范围内全部工作内容的价格体现且不得高于最高限价。响应文件一经提交，则将被视为发包内容的全部费用，已经包含在投标报价内，供应商亦不得以任何理由在投标报价中重复计价。除合同另有约定外，对中标人提出的任何追加报价，采购人将不予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（2）税收缴纳证明：提供磋商截止日前六个月内任意一个月的纳税证明或完税证明（增值税、印花税、城市维护建设费、企业所得税等一种或多种税种），依法免税的单位提供相关证明材料。 （3）社会保障资金缴纳证明：提供磋商截止日前六个月内任意一个月的社保资金交纳证明，依法不需要缴纳社保资金的单位提供相关证明材料。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（6）法定代表人授权书（附法定代表人、被授权人身份证复印件），法定代表人直接参加磋商，须提供法定代表人身份证明，被授权人需提供在本单位近三个月任意一个月的社保缴纳证明。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（8）供应商须具备建设行政主管部门颁发的建筑工程施工总承包三级及以上资质，并具备建设行政主管部门颁发的安全生产许可证； （9） 拟派项目经理具备建筑工程专业二级及以上注册建造师资质证书，并具备安全考核B证，且无在建工程、无不良记录（提供无在建工程、无不良记录承诺书）； （10）本项目不接受联合体磋商。</w:t>
            </w:r>
          </w:p>
        </w:tc>
        <w:tc>
          <w:tcPr>
            <w:tcW w:type="dxa" w:w="1661"/>
          </w:tcPr>
          <w:p>
            <w:pPr>
              <w:pStyle w:val="null3"/>
            </w:pPr>
            <w:r>
              <w:rPr>
                <w:rFonts w:ascii="仿宋_GB2312" w:hAnsi="仿宋_GB2312" w:cs="仿宋_GB2312" w:eastAsia="仿宋_GB2312"/>
              </w:rPr>
              <w:t>供应商参加政府采购活动承诺书.docx 业绩.docx 已标价工程量清单 已标价工程量清单.docx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供应商参加政府采购活动承诺书.docx 业绩.docx 已标价工程量清单 已标价工程量清单.docx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法定代表人授权书（附法定代表人、被授权人身份证复印件），法定代表人直接参加磋商，须提供法定代表人身份证明，被授权人需提供在本单位近三个月任意一个月的社保缴纳证明。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项目负责人/经理</w:t>
            </w:r>
          </w:p>
        </w:tc>
        <w:tc>
          <w:tcPr>
            <w:tcW w:type="dxa" w:w="3322"/>
          </w:tcPr>
          <w:p>
            <w:pPr>
              <w:pStyle w:val="null3"/>
            </w:pPr>
            <w:r>
              <w:rPr>
                <w:rFonts w:ascii="仿宋_GB2312" w:hAnsi="仿宋_GB2312" w:cs="仿宋_GB2312" w:eastAsia="仿宋_GB2312"/>
              </w:rPr>
              <w:t>拟派项目经理具备建筑工程专业二级及以上注册建造师资质证书，并具备安全考核B证，且无在建工程、无不良记录（提供无在建工程、无不良记录承诺书）；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已标价工程量清单.docx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已标价工程量清单.docx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已标价工程量清单 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供应商参加政府采购活动承诺书.docx 业绩.docx 已标价工程量清单 已标价工程量清单.docx 中小企业声明函 资格证明文件.docx 响应文件封面 项目管理机构人员表.docx 残疾人福利性单位声明函 报价函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一、评审内容：针对本项目有详细的①施工方案（包含雨季施工方案）；②施工场地管理方案；③场地人员管理方案；④技术组织措施；⑤文明施工、环境保护及“治污减霾”的保障措施。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 20分，评审内容缺项每项扣4分，每有一项评审内容存在缺陷，根据缺陷内容，每出现一处缺陷扣0.5分，扣完为止。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供应商参加政府采购活动承诺书.docx</w:t>
            </w:r>
          </w:p>
          <w:p>
            <w:pPr>
              <w:pStyle w:val="null3"/>
            </w:pPr>
            <w:r>
              <w:rPr>
                <w:rFonts w:ascii="仿宋_GB2312" w:hAnsi="仿宋_GB2312" w:cs="仿宋_GB2312" w:eastAsia="仿宋_GB2312"/>
              </w:rPr>
              <w:t>其它说明.docx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一、评审内容：针对本项目有切实可行的①进度计划安排；②进度计划实施方案；③确保工期的技术组织措施。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一、评审内容：针对本项目有切实可行的①质量管理制度、管理体系与职责；②质量控制与质量检查方案；③确保工程质量的技术组织措施。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一、评审内容：针对本项目有切实可行的①施工人员安全培训措施；②设施、设备安全检查措施；③安全施工保障措施。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一、评审内容：针对本项目有详细的①项目特点、关键技术问题的认识；②项目重点、难点分析；③重点、难点应对措施。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一、评审内容：针对本项目有详细的①项目管理机构配备计划；②人员岗位职责；③团队人员配备情况（人员数量、专业分工、机构健全等）。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一、评审内容：供应商针对本项目有完善的①施工机械配备；②材料投入计划。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6分，评审内容缺项每项扣3分，每有一项评审内容存在缺陷，根据缺陷内容，每出现一处缺陷扣0.5分，扣完为止。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一、评审内容：针对本项目有切实可行的①人员事故应急预案；②突发暴雨、大风、大雾等特殊天气的应急预案。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 4分，评审内容缺项每项扣2分，每有一项评审内容存在缺陷，根据缺陷内容，每出现一处缺陷扣0.5分，扣完为止。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一、评审内容：供应商针对本项目有具体的服务承诺及合理化建议：①施工材料、所用产品质量、项目人员配备的承诺；②后续服务的承诺；③针对本项目的合理化建议。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6分，评审内容缺项每项扣2分，每有一项评审内容存在缺陷，根据缺陷内容，每出现一处缺陷扣0.5分，扣完为止。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01月01日至今类似项目业绩，每提供1份得2分，最高得4分；业绩证明（以合同（协议）签订时间或中标（成交）通知书落款时间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30分。3.磋商报价得分=（磋商基准价/最终磋商报价）×30的公式计算得分。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