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A7833">
      <w:pPr>
        <w:adjustRightInd w:val="0"/>
        <w:snapToGrid w:val="0"/>
        <w:jc w:val="center"/>
        <w:rPr>
          <w:rFonts w:hint="eastAsia" w:ascii="黑体" w:eastAsia="黑体"/>
          <w:sz w:val="36"/>
          <w:szCs w:val="36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黑体" w:eastAsia="黑体"/>
          <w:sz w:val="36"/>
          <w:szCs w:val="36"/>
        </w:rPr>
        <w:t>服务类采购合同示范文本（参考文本）</w:t>
      </w:r>
    </w:p>
    <w:p w14:paraId="533859C3">
      <w:pPr>
        <w:spacing w:line="480" w:lineRule="exact"/>
        <w:ind w:firstLine="480" w:firstLineChars="200"/>
        <w:rPr>
          <w:rFonts w:ascii="宋体" w:hAnsi="宋体" w:cs="华文仿宋"/>
          <w:sz w:val="24"/>
        </w:rPr>
      </w:pPr>
    </w:p>
    <w:p w14:paraId="59F131BE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甲方：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渭南师范学院   </w:t>
      </w:r>
    </w:p>
    <w:p w14:paraId="31FCE87F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乙方：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</w:p>
    <w:p w14:paraId="3C582B03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58E26E90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依据《中华人民共和国政府采购法》《中华人民共和国民法典》《档案服务外包工作规范》《纸质档案数字化技术规范》等相关法律法规，以及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档案数字化建设 </w:t>
      </w:r>
      <w:r>
        <w:rPr>
          <w:rFonts w:hint="eastAsia" w:ascii="宋体" w:hAnsi="宋体" w:cs="宋体"/>
          <w:kern w:val="0"/>
          <w:sz w:val="28"/>
          <w:szCs w:val="28"/>
        </w:rPr>
        <w:t>项目的采购结果，乙方为成交（中标）人。现经甲乙双方协商一致，签订本合同。详细技术说明及其他有关合同的特定信息等由合同附件予以说明，所有附件及本项目的招标文件、投标文件等均为本合同不可分割之一部分。</w:t>
      </w:r>
    </w:p>
    <w:p w14:paraId="1F5A95CA">
      <w:pPr>
        <w:widowControl/>
        <w:spacing w:line="480" w:lineRule="exact"/>
        <w:ind w:firstLine="482"/>
        <w:jc w:val="left"/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一、合同标的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与合同金额</w:t>
      </w:r>
    </w:p>
    <w:p w14:paraId="4147A838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1.成交单价：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  <w:u w:val="none"/>
          <w:lang w:eastAsia="zh-CN"/>
        </w:rPr>
        <w:t>元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/页，单价为固定包干价，包含人工、设备、耗材、运输、质检、保密、售后、税费、风险等全部费用，合同履行期间甲方无需额外支付任何费用。</w:t>
      </w:r>
    </w:p>
    <w:p w14:paraId="76AE0749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2. 合同暂定总金额：人民币__________元（大写：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_            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），最终结算金额=成交单价×甲方验收合格的实际有效档案数量，据实结算，多退少补，未验收合格的工作量不予结算。</w:t>
      </w:r>
    </w:p>
    <w:p w14:paraId="50BACEF0">
      <w:pPr>
        <w:widowControl/>
        <w:spacing w:line="480" w:lineRule="exact"/>
        <w:ind w:firstLine="482"/>
        <w:jc w:val="left"/>
        <w:rPr>
          <w:rFonts w:hint="default" w:ascii="宋体" w:hAnsi="宋体" w:eastAsia="宋体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3. 服务量以甲方最终核定的实际合格工作量为准，乙方不得因预估量偏差提出加价、延期、索赔等诉求。</w:t>
      </w:r>
    </w:p>
    <w:p w14:paraId="4749A27A">
      <w:pPr>
        <w:widowControl/>
        <w:spacing w:line="480" w:lineRule="exact"/>
        <w:ind w:firstLine="482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二、质量标准与技术要求</w:t>
      </w:r>
    </w:p>
    <w:p w14:paraId="451C5B53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1. 本项目服务质量须严格符合国家、陕西省档案数字化相关强制性标准、行业规范、甲方档案馆管理制度及本项目采购文件、技术方案要求，最终成果达到档案合格归档、长期保存、线上查询利用标准。</w:t>
      </w:r>
    </w:p>
    <w:p w14:paraId="0DA54C84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2. 数字化成果硬性质量标准：扫描清晰、无漏扫、重扫、歪斜、黑边、模糊、破损遗漏；著录信息准确、规范、完整，与实体档案一一对应；数据挂接精准无误，可正常检索、浏览、下载；整体合格率须达到100%。</w:t>
      </w:r>
    </w:p>
    <w:p w14:paraId="1700ED28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3. 乙方提交的成果经甲方质检不合格的，必须无条件免费整改、返工、重做，直至验收合格，产生的所有人工、耗材、时间成本及全部风险由乙方自行承担。</w:t>
      </w:r>
    </w:p>
    <w:p w14:paraId="500016A1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4. 乙方未按合同、行业标准及甲方要求提供服务，产生的一切费用、损失、处罚由乙方自行承担，甲方有权不予确认工作量、不予结算款项。</w:t>
      </w:r>
    </w:p>
    <w:p w14:paraId="54871EEC">
      <w:pPr>
        <w:widowControl/>
        <w:spacing w:line="480" w:lineRule="exact"/>
        <w:ind w:firstLine="482"/>
        <w:jc w:val="left"/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三、履行期限、地点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及管理</w:t>
      </w:r>
    </w:p>
    <w:p w14:paraId="5791E401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1.履行期限：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Courier New"/>
          <w:sz w:val="28"/>
          <w:szCs w:val="28"/>
          <w:u w:val="single"/>
        </w:rPr>
        <w:t>自合同签订之日</w:t>
      </w:r>
      <w:r>
        <w:rPr>
          <w:rFonts w:hint="eastAsia" w:ascii="宋体" w:hAnsi="宋体" w:cs="Courier New"/>
          <w:color w:val="auto"/>
          <w:sz w:val="28"/>
          <w:szCs w:val="28"/>
          <w:u w:val="single"/>
        </w:rPr>
        <w:t>起12</w:t>
      </w:r>
      <w:r>
        <w:rPr>
          <w:rFonts w:hint="eastAsia" w:ascii="宋体" w:hAnsi="宋体" w:cs="Courier New"/>
          <w:sz w:val="28"/>
          <w:szCs w:val="28"/>
          <w:u w:val="single"/>
        </w:rPr>
        <w:t>个月完成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08F304D8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2.履行地点：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</w:rPr>
        <w:t>渭南师范学院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档案馆指点地点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497B16BF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 履行期限：自合同签订生效之日起12个月内完成全部服务、提交完整成果并通过甲方最终验收。</w:t>
      </w:r>
    </w:p>
    <w:p w14:paraId="4F803DD7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 阶段性要求：乙方须进场后7日内提交详细施工进度计划表，严格按进度执行，接受甲方全过程进度监管，甲方有权根据工作需要调整阶段性工期，乙方须无条件配合。</w:t>
      </w:r>
    </w:p>
    <w:p w14:paraId="46718660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 履行地点：渭南师范学院档案馆指定场地。</w:t>
      </w:r>
    </w:p>
    <w:p w14:paraId="3DACA503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 场地与校园管理：乙方所有工作人员、设备、作业流程须严格遵守甲方校园管理、档案馆安全管理、保密管理规定，服从甲方日常监管。严禁损坏甲方办公设备、档案设施、场地设施，保持作业区域干净整洁，作业完毕及时清理场地、恢复原状。</w:t>
      </w:r>
    </w:p>
    <w:p w14:paraId="6B052923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5. 乙方作业实行专人专岗管理，未经甲方书面同意，不得擅自更换工作人员、增减作业设备、变更作业流程。</w:t>
      </w:r>
    </w:p>
    <w:p w14:paraId="397C8163">
      <w:pPr>
        <w:widowControl/>
        <w:spacing w:line="480" w:lineRule="exact"/>
        <w:ind w:firstLine="482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四、履行规范、安全保密与知识产权</w:t>
      </w:r>
    </w:p>
    <w:p w14:paraId="35C06D02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 履行要求</w:t>
      </w:r>
    </w:p>
    <w:p w14:paraId="12983B03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1.1 乙方严格按照本合同、采购文件、投标承诺、国家档案行业标准提供全程服务，全程接受甲方监督、检查、抽检、考核，对甲方提出的问题及时整改。</w:t>
      </w:r>
    </w:p>
    <w:p w14:paraId="26870048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1.2 合同履行期间，甲方对乙方服务、成果、进度有异议的，乙方须在2个工作日内完成整改，逾期未整改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或</w:t>
      </w:r>
      <w:r>
        <w:rPr>
          <w:rFonts w:hint="eastAsia" w:ascii="宋体" w:hAnsi="宋体" w:cs="宋体"/>
          <w:kern w:val="0"/>
          <w:sz w:val="28"/>
          <w:szCs w:val="28"/>
        </w:rPr>
        <w:t>整改不到位的，直接认定为乙方违约。</w:t>
      </w:r>
    </w:p>
    <w:p w14:paraId="71E7820E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1.3 乙方须配备足额、专业、熟练的作业人员及符合标准的数字化设备，保障项目进度与质量，人员须提前向甲方备案，提交身份信息、无违法犯罪记录证明，未经备案人员不得进场作业。</w:t>
      </w:r>
    </w:p>
    <w:p w14:paraId="22741944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 安全责任</w:t>
      </w:r>
    </w:p>
    <w:p w14:paraId="4D090C49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2.1 项目全过程中，乙方人员人身安全、设备安全、作业安全、消防安全等一切安全事故，均由乙方独立承担全部责任与费用，与甲方无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关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3B4FB289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2.2 因乙方操作不当、管理疏漏、人员过失等原因，造成甲方档案损毁、丢失、污染、错乱，或造成甲方设施损坏、第三方人身财产损失的，由乙方全额赔偿、无偿修复、恢复原状，同时承担相应法律责任。</w:t>
      </w:r>
    </w:p>
    <w:p w14:paraId="02C989B9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2.3 乙方严禁携带手机、智能设备、存储设备、无线设备进入档案作业区域，作业终端USB端口物理封堵，全程物理隔离、网络隔离，杜绝数据外泄风险，严格遵守档案数字化加工安全规范。</w:t>
      </w:r>
    </w:p>
    <w:p w14:paraId="6D5E71F7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 保密条款</w:t>
      </w:r>
    </w:p>
    <w:p w14:paraId="0C434B99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3.1 甲方所有实体档案、电子数据、档案信息均为涉密/内部敏感信息，乙方及所有作业人员负有终身保密义务。未经甲方书面正式授权，乙方不得以任何形式复制、留存、传播、泄露、对外提供、用于本合同以外任何用途。</w:t>
      </w:r>
    </w:p>
    <w:p w14:paraId="56558B52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3.2 乙方所有进场人员须签订保密承诺书，项目结束后须全部注销作业权限、清空本地留存数据，所有作业日志、操作记录留存不少于180天，供甲方核查。</w:t>
      </w:r>
    </w:p>
    <w:p w14:paraId="3FE891F7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3.3 项目全过程所有档案实体、电子数据所有权、使用权、知识产权均完全归属甲方，乙方不享有任何权利，不得私自备份、留存、转借、商用。项目结束后，乙方须无条件移交全部成果、台账、原始数据、备份数据，自行销毁全部留存资料，并向甲方提交数据销毁承诺书。</w:t>
      </w:r>
    </w:p>
    <w:p w14:paraId="1B464D3B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3.4 若发生泄密、数据外泄、档案流失等问题，乙方承担全部法律责任、经济赔偿责任，甲方有权解除合同、扣除全部尾款，并追究乙方全部损失。</w:t>
      </w:r>
    </w:p>
    <w:p w14:paraId="515113DC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 知识产权</w:t>
      </w:r>
    </w:p>
    <w:p w14:paraId="235B7BE8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4.1 本项目所有数字化成果、电子档案、著录数据、台账资料、整理成果等全部内容，知识产权、所有权、使用权永久归甲方独家所有。</w:t>
      </w:r>
    </w:p>
    <w:p w14:paraId="4EC701B6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4.2 乙方仅可为本项目履约使用甲方提供的档案资料，不得用于任何商业用途、其他项目用途，不得授权任何第三方使用。</w:t>
      </w:r>
    </w:p>
    <w:p w14:paraId="017F49C1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4.3 乙方保证本项目交付成果无知识产权纠纷，若因乙方原因引发第三方维权的，由乙方全权负责处理并承担全部赔偿与责任，给甲方造成损失的，乙方全额赔付。</w:t>
      </w:r>
    </w:p>
    <w:p w14:paraId="1F8989F1">
      <w:pPr>
        <w:widowControl/>
        <w:spacing w:line="480" w:lineRule="exact"/>
        <w:ind w:firstLine="482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五、验收标准、流程与考核机制</w:t>
      </w:r>
    </w:p>
    <w:p w14:paraId="7C3827D5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1. 验收流程</w:t>
      </w:r>
    </w:p>
    <w:p w14:paraId="08E70F33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1.1 乙方完成全部工作后，自行完成自检、复检，确认合格后向甲方提交书面验收申请、完整成果资料、工作台账、质检报告、整改记录等全套验收资料。</w:t>
      </w:r>
    </w:p>
    <w:p w14:paraId="5E2FF99D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1.2 甲方收到验收申请及完整资料后，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及时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组织初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验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、抽检、终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验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，采取资料核查+现场抽检+系统核验的方式验收。</w:t>
      </w:r>
    </w:p>
    <w:p w14:paraId="3EBD7242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1.3 验收不合格的，甲方一次性书面告知整改问题及期限，乙方免费限期整改，整改后重新验收；多次整改仍不合格的，甲方有权终止合同、追究违约责任。</w:t>
      </w:r>
    </w:p>
    <w:p w14:paraId="23247F82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2. 验收标准</w:t>
      </w:r>
    </w:p>
    <w:p w14:paraId="18302F8E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2.1 服务资料齐全、规范、真实、有效，台账清晰可追溯；</w:t>
      </w:r>
    </w:p>
    <w:p w14:paraId="746E5B0D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2.2 数字化成果质量、数量、格式、挂接效果完全符合合同及行业标准，无错漏、无瑕疵；</w:t>
      </w:r>
    </w:p>
    <w:p w14:paraId="05D50D52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2.3 安全、保密、作业流程全程合规，无违规操作、无安全隐患、无泄密风险；</w:t>
      </w:r>
    </w:p>
    <w:p w14:paraId="75BD1A8C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2.4 全部问题整改闭环，甲方验收签字确认即为最终验收合格。</w:t>
      </w:r>
    </w:p>
    <w:p w14:paraId="0746B766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3. 评价考核机制</w:t>
      </w:r>
    </w:p>
    <w:p w14:paraId="7264C108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3.1 甲方对乙方实行全过程考核，考核内容包含进度、质量、安全、保密、服务态度、整改效率、合规性等。</w:t>
      </w:r>
    </w:p>
    <w:p w14:paraId="36D1A367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3.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 xml:space="preserve"> 考核结果作为付款、续服、追责的重要依据，乙方无条件认可甲方考核结果。</w:t>
      </w:r>
    </w:p>
    <w:p w14:paraId="4ED98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b/>
          <w:kern w:val="0"/>
          <w:sz w:val="28"/>
          <w:szCs w:val="28"/>
        </w:rPr>
        <w:t>、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结算</w:t>
      </w:r>
      <w:r>
        <w:rPr>
          <w:rFonts w:hint="eastAsia" w:ascii="宋体" w:hAnsi="宋体" w:cs="宋体"/>
          <w:b/>
          <w:kern w:val="0"/>
          <w:sz w:val="28"/>
          <w:szCs w:val="28"/>
        </w:rPr>
        <w:t>方式：</w:t>
      </w:r>
    </w:p>
    <w:p w14:paraId="043D4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t>.结算单位：本项目合同款项均以人民币为结算币种，由甲方通过银行转账方式向乙方支付全部应付费用。</w:t>
      </w:r>
    </w:p>
    <w:p w14:paraId="5CE1560B">
      <w:pPr>
        <w:ind w:firstLine="56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t>.付款方式：</w:t>
      </w:r>
    </w:p>
    <w:p w14:paraId="3540283B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u w:val="none"/>
          <w:lang w:eastAsia="zh-CN"/>
        </w:rPr>
        <w:t>）合同生效后 3个工作日内，甲方向乙方支付合同金额 50% 预付款。乙方应在收到预付款后2个工作日内，向甲方指定银行开立以甲方为受益人的预付款保函（或履约保函），保函金额为合同金额50%，有效期至项目验收合格后10日。甲方收到并审核通过保函正本后，支付剩余50%合同金额。</w:t>
      </w:r>
    </w:p>
    <w:p w14:paraId="19D2E0D6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2</w:t>
      </w:r>
      <w:r>
        <w:rPr>
          <w:rFonts w:hint="eastAsia" w:ascii="宋体" w:hAnsi="宋体"/>
          <w:sz w:val="28"/>
          <w:szCs w:val="28"/>
          <w:u w:val="none"/>
          <w:lang w:eastAsia="zh-CN"/>
        </w:rPr>
        <w:t>）项目验收合格后10个工作日内，乙方向甲方开具全额增值税专用发票（电子/纸质均可；纸质须含发票联、抵扣联）。</w:t>
      </w:r>
    </w:p>
    <w:p w14:paraId="3B52F839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3</w:t>
      </w:r>
      <w:r>
        <w:rPr>
          <w:rFonts w:hint="eastAsia" w:ascii="宋体" w:hAnsi="宋体"/>
          <w:sz w:val="28"/>
          <w:szCs w:val="28"/>
          <w:u w:val="none"/>
          <w:lang w:eastAsia="zh-CN"/>
        </w:rPr>
        <w:t>）甲方收到乙方全额增值税专用发票，且双方无任何质量争议及未结纠纷后5个工作日内，将银行保函正本退还乙方。</w:t>
      </w:r>
    </w:p>
    <w:p w14:paraId="2D788824">
      <w:pPr>
        <w:tabs>
          <w:tab w:val="left" w:pos="1784"/>
        </w:tabs>
        <w:spacing w:line="540" w:lineRule="exact"/>
        <w:ind w:firstLine="562" w:firstLineChars="200"/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  <w:t>七、质保期与售后服务</w:t>
      </w:r>
    </w:p>
    <w:p w14:paraId="33D5C8C3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1. 本项目整体质保期为项目最终验收合格之</w:t>
      </w:r>
      <w:bookmarkStart w:id="0" w:name="_GoBack"/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日起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36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个月。</w:t>
      </w:r>
      <w:bookmarkEnd w:id="0"/>
    </w:p>
    <w:p w14:paraId="2A37D8F6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2. 质保期内，乙方须提供免费售后运维服务，包括数据纠错、挂接修复、格式优化、问题答疑、技术支持等，接到甲方问题通知后24小时内响应，48小时内完成整改修复。</w:t>
      </w:r>
    </w:p>
    <w:p w14:paraId="75C6A684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3. 质保期内出现质量问题、数据错误、系统适配问题的，乙方无条件免费整改、重做，承担全部整改成本；因乙方成果问题导致甲方档案无法利用、归档失效的，乙方承担全部赔偿责任。</w:t>
      </w:r>
    </w:p>
    <w:p w14:paraId="3681AC9A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4. 质保期内乙方须留存专属技术对接人员，保障服务持续有效，不得无故推诿、拖延。</w:t>
      </w:r>
    </w:p>
    <w:p w14:paraId="4AA6F08D">
      <w:pPr>
        <w:tabs>
          <w:tab w:val="left" w:pos="1784"/>
        </w:tabs>
        <w:spacing w:line="540" w:lineRule="exact"/>
        <w:ind w:firstLine="562" w:firstLineChars="200"/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  <w:t>八、违约责任</w:t>
      </w:r>
    </w:p>
    <w:p w14:paraId="6905B4EB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1. 质量违约：乙方服务、成果不符合合同及行业标准的，甲方有权要求限期整改；逾期未整改、整改不合格的，甲方有权单方解除合同，乙方须全额退还甲方已支付所有款项，并向甲方支付合同总金额5%的违约金，同时赔偿甲方全部经济损失。</w:t>
      </w:r>
    </w:p>
    <w:p w14:paraId="0DDA36FA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2. 逾期交付违约：乙方未按合同约定期限完成全部服务并验收合格的，每逾期1日，按合同总金额0.05%向甲方支付违约金；逾期超过30日，甲方有权单方解除合同，乙方全额退款，并支付合同总金额10%的违约金，造成甲方损失的另行赔付。</w:t>
      </w:r>
    </w:p>
    <w:p w14:paraId="6FA3401B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3. 单方解约违约：乙方无正当理由单方面终止、中止合同的，须全额退还甲方已付款项，支付合同总金额10%的违约金，并赔偿甲方工期延误、重新采购、人力投入等全部损失。</w:t>
      </w:r>
    </w:p>
    <w:p w14:paraId="277C4D73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4. 保密与数据违约：乙方发生档案损毁、丢失、泄密、数据外泄、私自留存资料等行为的，甲方有权立即解除合同，乙方须支付合同总金额20%的违约金，同时承担全部法律责任及甲方全部经济、声誉损失，情节严重的移交司法机关处理。</w:t>
      </w:r>
    </w:p>
    <w:p w14:paraId="5FD9B6D3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5. 责任抵扣与追偿：乙方产生的违约金、赔偿金、整改费用，甲方有权直接从未付尾款扣除；不足抵扣的，甲方有权向乙方全额追偿，乙方须无条件补足。</w:t>
      </w:r>
    </w:p>
    <w:p w14:paraId="6DA90982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6. 甲方免责约定：因甲方场地调整、档案移交延迟、政策变更、财政管控等甲方合规原因，导致乙方工期延误、进度受阻的，乙方免于追责，工期可合理顺延，不得主张任何索赔。</w:t>
      </w:r>
    </w:p>
    <w:p w14:paraId="126188C9">
      <w:pPr>
        <w:tabs>
          <w:tab w:val="left" w:pos="1784"/>
        </w:tabs>
        <w:spacing w:line="540" w:lineRule="exact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7. 瑕疵追责：项目验收合格不免除乙方质保期、保密终身责任，质保期内及后续发现的乙方质量、保密、数据问题，乙方仍须承担全部违约责任与修复赔偿责任。</w:t>
      </w:r>
    </w:p>
    <w:p w14:paraId="2FBCE51D">
      <w:pPr>
        <w:widowControl/>
        <w:spacing w:line="480" w:lineRule="exact"/>
        <w:ind w:firstLine="482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九</w:t>
      </w:r>
      <w:r>
        <w:rPr>
          <w:rFonts w:hint="eastAsia" w:ascii="宋体" w:hAnsi="宋体" w:cs="宋体"/>
          <w:b/>
          <w:kern w:val="0"/>
          <w:sz w:val="28"/>
          <w:szCs w:val="28"/>
        </w:rPr>
        <w:t>、合同争议解决</w:t>
      </w:r>
    </w:p>
    <w:p w14:paraId="36616690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1. 合同履行过程中发生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的任何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争议，甲乙双方优先友好协商解决。</w:t>
      </w:r>
    </w:p>
    <w:p w14:paraId="2F28BC93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2. 协商不成的，</w:t>
      </w:r>
      <w:r>
        <w:rPr>
          <w:rFonts w:hint="eastAsia" w:ascii="宋体" w:hAnsi="宋体" w:cs="宋体"/>
          <w:kern w:val="0"/>
          <w:sz w:val="28"/>
          <w:szCs w:val="28"/>
        </w:rPr>
        <w:t>合同当事人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约定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向甲方所在地人民法院提起诉讼。</w:t>
      </w:r>
    </w:p>
    <w:p w14:paraId="2E2BED12">
      <w:pPr>
        <w:widowControl/>
        <w:spacing w:line="480" w:lineRule="exact"/>
        <w:ind w:firstLine="482"/>
        <w:jc w:val="left"/>
        <w:rPr>
          <w:rFonts w:hint="eastAsia" w:ascii="宋体" w:hAnsi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</w:rPr>
        <w:t>3. 争议解决期间，除争议事项外，本合同其他条款持续有效，双方须继续履行合同义务，不得擅自停工、解约。</w:t>
      </w:r>
    </w:p>
    <w:p w14:paraId="7A4E530D">
      <w:pPr>
        <w:widowControl/>
        <w:spacing w:line="480" w:lineRule="exact"/>
        <w:ind w:firstLine="482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十</w:t>
      </w:r>
      <w:r>
        <w:rPr>
          <w:rFonts w:hint="eastAsia" w:ascii="宋体" w:hAnsi="宋体" w:cs="宋体"/>
          <w:b/>
          <w:kern w:val="0"/>
          <w:sz w:val="28"/>
          <w:szCs w:val="28"/>
        </w:rPr>
        <w:t>、其他：</w:t>
      </w:r>
    </w:p>
    <w:p w14:paraId="4641CC93">
      <w:pPr>
        <w:widowControl/>
        <w:spacing w:line="480" w:lineRule="exact"/>
        <w:ind w:firstLine="482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1.合同经双方签字盖章后生效。本合同一式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eastAsia="zh-CN"/>
        </w:rPr>
        <w:t>伍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</w:rPr>
        <w:t>份，甲方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执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叁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份、乙方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执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壹 </w:t>
      </w:r>
      <w:r>
        <w:rPr>
          <w:rFonts w:hint="eastAsia" w:ascii="宋体" w:hAnsi="宋体" w:cs="宋体"/>
          <w:kern w:val="0"/>
          <w:sz w:val="28"/>
          <w:szCs w:val="28"/>
        </w:rPr>
        <w:t>份，招标代理机构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执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壹 </w:t>
      </w:r>
      <w:r>
        <w:rPr>
          <w:rFonts w:hint="eastAsia" w:ascii="宋体" w:hAnsi="宋体" w:cs="宋体"/>
          <w:kern w:val="0"/>
          <w:sz w:val="28"/>
          <w:szCs w:val="28"/>
        </w:rPr>
        <w:t>份，执行完毕后自行失效。</w:t>
      </w:r>
    </w:p>
    <w:p w14:paraId="641E3B1F">
      <w:pPr>
        <w:widowControl/>
        <w:spacing w:line="480" w:lineRule="exact"/>
        <w:ind w:firstLine="482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2.本项目招标文件、乙方投标（响应）文件、中标通知书、技术方案、服务承诺、保密协议均为本合同附件，与本合同具有同等法律效力。</w:t>
      </w:r>
    </w:p>
    <w:p w14:paraId="7886A861">
      <w:pPr>
        <w:widowControl/>
        <w:spacing w:line="480" w:lineRule="exact"/>
        <w:ind w:firstLine="482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3.合同内容与附件、采购文件冲突的，按更有利于甲方合规及档案安全的标准执行。</w:t>
      </w:r>
    </w:p>
    <w:p w14:paraId="14FA15D2">
      <w:pPr>
        <w:widowControl/>
        <w:spacing w:line="480" w:lineRule="exact"/>
        <w:ind w:firstLine="482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 本合同未尽事宜，双方可签订书面补充协议，补充协议与本合同具有同等法律效力，口头约定无效。</w:t>
      </w:r>
    </w:p>
    <w:p w14:paraId="237FDC6F">
      <w:pPr>
        <w:widowControl/>
        <w:spacing w:line="480" w:lineRule="exact"/>
        <w:ind w:firstLine="482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 乙方地址、联系方式、对接人员变更的，须提前3个工作日书面告知甲方，否则因此产生的延误、损失由乙方自行承担。</w:t>
      </w:r>
    </w:p>
    <w:p w14:paraId="3278C1C2">
      <w:pPr>
        <w:snapToGrid w:val="0"/>
        <w:spacing w:line="480" w:lineRule="exac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合同签订地点：渭南师范学院</w:t>
      </w:r>
    </w:p>
    <w:p w14:paraId="599EC729">
      <w:pPr>
        <w:snapToGrid w:val="0"/>
        <w:spacing w:line="48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合同签订时间：      年    月    日</w:t>
      </w:r>
    </w:p>
    <w:p w14:paraId="19C32FC2">
      <w:pPr>
        <w:snapToGrid w:val="0"/>
        <w:spacing w:line="480" w:lineRule="exact"/>
        <w:rPr>
          <w:rFonts w:ascii="宋体" w:hAnsi="宋体"/>
          <w:b/>
        </w:rPr>
      </w:pPr>
    </w:p>
    <w:p w14:paraId="30589FB1">
      <w:pPr>
        <w:snapToGrid w:val="0"/>
        <w:spacing w:line="480" w:lineRule="exact"/>
        <w:rPr>
          <w:rFonts w:ascii="宋体" w:hAnsi="宋体"/>
          <w:b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7"/>
        <w:gridCol w:w="4503"/>
      </w:tblGrid>
      <w:tr w14:paraId="42F10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71C0CA7C"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甲  方（盖章）：渭南师范学院</w:t>
            </w:r>
          </w:p>
        </w:tc>
        <w:tc>
          <w:tcPr>
            <w:tcW w:w="4503" w:type="dxa"/>
            <w:noWrap w:val="0"/>
            <w:vAlign w:val="center"/>
          </w:tcPr>
          <w:p w14:paraId="52E4FDB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乙  方（盖章）：</w:t>
            </w:r>
          </w:p>
        </w:tc>
      </w:tr>
      <w:tr w14:paraId="419F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46B5395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地  址：</w:t>
            </w:r>
          </w:p>
        </w:tc>
        <w:tc>
          <w:tcPr>
            <w:tcW w:w="4503" w:type="dxa"/>
            <w:noWrap w:val="0"/>
            <w:vAlign w:val="center"/>
          </w:tcPr>
          <w:p w14:paraId="04A9555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地  址：</w:t>
            </w:r>
          </w:p>
        </w:tc>
      </w:tr>
      <w:tr w14:paraId="5F39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0C19484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法定代表人或委托代理人（签字）：</w:t>
            </w:r>
          </w:p>
        </w:tc>
        <w:tc>
          <w:tcPr>
            <w:tcW w:w="4503" w:type="dxa"/>
            <w:noWrap w:val="0"/>
            <w:vAlign w:val="center"/>
          </w:tcPr>
          <w:p w14:paraId="228B0AE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法定代表人或委托代理人（签字）：</w:t>
            </w:r>
          </w:p>
        </w:tc>
      </w:tr>
      <w:tr w14:paraId="5E45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47AFB261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</w:rPr>
              <w:t>开户名：渭南师范学院</w:t>
            </w:r>
          </w:p>
        </w:tc>
        <w:tc>
          <w:tcPr>
            <w:tcW w:w="4503" w:type="dxa"/>
            <w:noWrap w:val="0"/>
            <w:vAlign w:val="center"/>
          </w:tcPr>
          <w:p w14:paraId="12BE2C4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开户名：</w:t>
            </w:r>
          </w:p>
        </w:tc>
      </w:tr>
      <w:tr w14:paraId="3674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5F42CD1E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税  号：</w:t>
            </w:r>
          </w:p>
        </w:tc>
        <w:tc>
          <w:tcPr>
            <w:tcW w:w="4503" w:type="dxa"/>
            <w:noWrap w:val="0"/>
            <w:vAlign w:val="center"/>
          </w:tcPr>
          <w:p w14:paraId="422408F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税  号：</w:t>
            </w:r>
          </w:p>
        </w:tc>
      </w:tr>
      <w:tr w14:paraId="51EE4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491D719F"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开户银行：</w:t>
            </w:r>
          </w:p>
        </w:tc>
        <w:tc>
          <w:tcPr>
            <w:tcW w:w="4503" w:type="dxa"/>
            <w:noWrap w:val="0"/>
            <w:vAlign w:val="center"/>
          </w:tcPr>
          <w:p w14:paraId="1B1F5ADE"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开户银行：</w:t>
            </w:r>
          </w:p>
        </w:tc>
      </w:tr>
      <w:tr w14:paraId="4B18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093F28DE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银行账号：</w:t>
            </w:r>
          </w:p>
        </w:tc>
        <w:tc>
          <w:tcPr>
            <w:tcW w:w="4503" w:type="dxa"/>
            <w:noWrap w:val="0"/>
            <w:vAlign w:val="center"/>
          </w:tcPr>
          <w:p w14:paraId="29AFDE4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银行账号：</w:t>
            </w:r>
          </w:p>
        </w:tc>
      </w:tr>
      <w:tr w14:paraId="053C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7500CF49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联系人： </w:t>
            </w:r>
          </w:p>
        </w:tc>
        <w:tc>
          <w:tcPr>
            <w:tcW w:w="4503" w:type="dxa"/>
            <w:noWrap w:val="0"/>
            <w:vAlign w:val="center"/>
          </w:tcPr>
          <w:p w14:paraId="76F781A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联系人：</w:t>
            </w:r>
          </w:p>
        </w:tc>
      </w:tr>
      <w:tr w14:paraId="7D09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57" w:type="dxa"/>
            <w:noWrap w:val="0"/>
            <w:vAlign w:val="center"/>
          </w:tcPr>
          <w:p w14:paraId="669A72F3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联系电话：</w:t>
            </w:r>
          </w:p>
        </w:tc>
        <w:tc>
          <w:tcPr>
            <w:tcW w:w="4503" w:type="dxa"/>
            <w:noWrap w:val="0"/>
            <w:vAlign w:val="center"/>
          </w:tcPr>
          <w:p w14:paraId="64E3067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联系电话：</w:t>
            </w:r>
          </w:p>
        </w:tc>
      </w:tr>
    </w:tbl>
    <w:p w14:paraId="7140A1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C6520"/>
    <w:rsid w:val="236C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2026-06-24T01:54:00Z</dcterms:created>
  <dc:creator>芥末拌饭</dc:creator>
  <cp:lastModifiedBy>芥末拌饭</cp:lastModifiedBy>
  <dcterms:modified xsi:type="dcterms:W3CDTF">2026-06-24T01:54:37Z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E071736174654D1BA04E9C54C6D13A5D_11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