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5AEF4">
      <w:pPr>
        <w:spacing w:line="480" w:lineRule="auto"/>
        <w:jc w:val="center"/>
        <w:rPr>
          <w:rFonts w:hint="eastAsia" w:ascii="宋体" w:hAnsi="宋体" w:eastAsia="宋体" w:cs="宋体"/>
          <w:b/>
          <w:bCs/>
          <w:color w:val="auto"/>
          <w:kern w:val="44"/>
          <w:sz w:val="32"/>
          <w:szCs w:val="32"/>
          <w:lang w:val="en-US" w:eastAsia="zh-CN"/>
        </w:rPr>
      </w:pPr>
      <w:r>
        <w:rPr>
          <w:rFonts w:hint="eastAsia" w:ascii="宋体" w:hAnsi="宋体" w:eastAsia="宋体" w:cs="宋体"/>
          <w:b/>
          <w:bCs/>
          <w:color w:val="auto"/>
          <w:kern w:val="44"/>
          <w:sz w:val="32"/>
          <w:szCs w:val="32"/>
          <w:lang w:val="en-US" w:eastAsia="zh-CN"/>
        </w:rPr>
        <w:t>添康林悦城小区配建幼儿园室内装修及室外改造工程</w:t>
      </w:r>
    </w:p>
    <w:p w14:paraId="6C92E677">
      <w:pPr>
        <w:spacing w:line="480" w:lineRule="auto"/>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kern w:val="44"/>
          <w:sz w:val="32"/>
          <w:szCs w:val="32"/>
          <w:lang w:eastAsia="zh-CN"/>
        </w:rPr>
        <w:t>采购</w:t>
      </w:r>
      <w:r>
        <w:rPr>
          <w:rFonts w:hint="eastAsia" w:ascii="宋体" w:hAnsi="宋体" w:eastAsia="宋体" w:cs="宋体"/>
          <w:b/>
          <w:bCs/>
          <w:color w:val="auto"/>
          <w:kern w:val="44"/>
          <w:sz w:val="32"/>
          <w:szCs w:val="32"/>
          <w:lang w:val="en-US" w:eastAsia="zh-CN"/>
        </w:rPr>
        <w:t>需求</w:t>
      </w:r>
      <w:r>
        <w:rPr>
          <w:rFonts w:hint="eastAsia" w:ascii="宋体" w:hAnsi="宋体" w:eastAsia="宋体" w:cs="宋体"/>
          <w:b/>
          <w:bCs/>
          <w:color w:val="auto"/>
          <w:kern w:val="44"/>
          <w:sz w:val="32"/>
          <w:szCs w:val="32"/>
          <w:lang w:eastAsia="zh-CN"/>
        </w:rPr>
        <w:t>计划</w:t>
      </w:r>
    </w:p>
    <w:p w14:paraId="5034654F">
      <w:pPr>
        <w:pageBreakBefore w:val="0"/>
        <w:widowControl w:val="0"/>
        <w:numPr>
          <w:ilvl w:val="0"/>
          <w:numId w:val="1"/>
        </w:numPr>
        <w:kinsoku/>
        <w:wordWrap/>
        <w:overflowPunct/>
        <w:topLinePunct w:val="0"/>
        <w:autoSpaceDE/>
        <w:bidi w:val="0"/>
        <w:spacing w:line="480" w:lineRule="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项目名称：</w:t>
      </w:r>
      <w:r>
        <w:rPr>
          <w:rFonts w:hint="eastAsia" w:ascii="宋体" w:hAnsi="宋体" w:eastAsia="宋体" w:cs="宋体"/>
          <w:b w:val="0"/>
          <w:bCs w:val="0"/>
          <w:color w:val="auto"/>
          <w:sz w:val="24"/>
          <w:szCs w:val="24"/>
          <w:lang w:val="en-US" w:eastAsia="zh-CN"/>
        </w:rPr>
        <w:t>添康林悦城小区配建幼儿园室内装修及室外改造工程</w:t>
      </w:r>
    </w:p>
    <w:p w14:paraId="35A806EB">
      <w:pPr>
        <w:pageBreakBefore w:val="0"/>
        <w:widowControl w:val="0"/>
        <w:numPr>
          <w:ilvl w:val="0"/>
          <w:numId w:val="1"/>
        </w:numPr>
        <w:kinsoku/>
        <w:wordWrap/>
        <w:overflowPunct/>
        <w:topLinePunct w:val="0"/>
        <w:autoSpaceDE/>
        <w:bidi w:val="0"/>
        <w:spacing w:line="480" w:lineRule="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项目明细、资金构成和采购方式：</w:t>
      </w:r>
    </w:p>
    <w:p w14:paraId="62B75BD2">
      <w:pPr>
        <w:pageBreakBefore w:val="0"/>
        <w:widowControl w:val="0"/>
        <w:kinsoku/>
        <w:wordWrap/>
        <w:overflowPunct/>
        <w:topLinePunct w:val="0"/>
        <w:autoSpaceDE/>
        <w:bidi w:val="0"/>
        <w:spacing w:line="48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1、采购项目明细：见</w:t>
      </w:r>
      <w:bookmarkStart w:id="6" w:name="_GoBack"/>
      <w:bookmarkEnd w:id="6"/>
      <w:r>
        <w:rPr>
          <w:rFonts w:hint="eastAsia" w:ascii="宋体" w:hAnsi="宋体" w:eastAsia="宋体" w:cs="宋体"/>
          <w:color w:val="auto"/>
          <w:sz w:val="24"/>
          <w:szCs w:val="24"/>
          <w:lang w:val="en-US" w:eastAsia="zh-CN"/>
        </w:rPr>
        <w:t>上传审批附件清单</w:t>
      </w:r>
    </w:p>
    <w:p w14:paraId="691EB704">
      <w:pPr>
        <w:pageBreakBefore w:val="0"/>
        <w:widowControl w:val="0"/>
        <w:kinsoku/>
        <w:wordWrap/>
        <w:overflowPunct/>
        <w:topLinePunct w:val="0"/>
        <w:autoSpaceDE/>
        <w:bidi w:val="0"/>
        <w:spacing w:line="48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2、资金来源：</w:t>
      </w:r>
      <w:r>
        <w:rPr>
          <w:rFonts w:hint="eastAsia" w:ascii="宋体" w:hAnsi="宋体" w:eastAsia="宋体" w:cs="宋体"/>
          <w:color w:val="auto"/>
          <w:sz w:val="24"/>
          <w:szCs w:val="24"/>
          <w:lang w:val="en-US" w:eastAsia="zh-CN"/>
        </w:rPr>
        <w:t>财政资金</w:t>
      </w:r>
    </w:p>
    <w:p w14:paraId="566E0793">
      <w:pPr>
        <w:pageBreakBefore w:val="0"/>
        <w:widowControl w:val="0"/>
        <w:kinsoku/>
        <w:wordWrap/>
        <w:overflowPunct/>
        <w:topLinePunct w:val="0"/>
        <w:autoSpaceDE/>
        <w:bidi w:val="0"/>
        <w:spacing w:line="48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3、采购方</w:t>
      </w:r>
      <w:r>
        <w:rPr>
          <w:rFonts w:hint="eastAsia" w:ascii="宋体" w:hAnsi="宋体" w:eastAsia="宋体" w:cs="宋体"/>
          <w:color w:val="auto"/>
          <w:sz w:val="24"/>
          <w:szCs w:val="24"/>
          <w:lang w:val="en-US" w:eastAsia="zh-CN"/>
        </w:rPr>
        <w:t>式：竞争性磋商</w:t>
      </w:r>
    </w:p>
    <w:p w14:paraId="30A6AFB4">
      <w:pPr>
        <w:pageBreakBefore w:val="0"/>
        <w:widowControl w:val="0"/>
        <w:kinsoku/>
        <w:wordWrap/>
        <w:overflowPunct/>
        <w:topLinePunct w:val="0"/>
        <w:autoSpaceDE/>
        <w:bidi w:val="0"/>
        <w:spacing w:line="48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三、项目工期、地点、工程概况</w:t>
      </w:r>
    </w:p>
    <w:p w14:paraId="2257652E">
      <w:pPr>
        <w:pageBreakBefore w:val="0"/>
        <w:widowControl w:val="0"/>
        <w:kinsoku/>
        <w:wordWrap/>
        <w:overflowPunct/>
        <w:topLinePunct w:val="0"/>
        <w:autoSpaceDE/>
        <w:bidi w:val="0"/>
        <w:spacing w:line="480" w:lineRule="auto"/>
        <w:ind w:firstLine="482" w:firstLineChars="200"/>
        <w:jc w:val="left"/>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1、项目工期：180</w:t>
      </w:r>
      <w:r>
        <w:rPr>
          <w:rFonts w:hint="eastAsia" w:ascii="宋体" w:hAnsi="宋体" w:eastAsia="宋体" w:cs="宋体"/>
          <w:color w:val="auto"/>
          <w:sz w:val="24"/>
          <w:szCs w:val="24"/>
          <w:lang w:val="en-US" w:eastAsia="zh-CN"/>
        </w:rPr>
        <w:t>日历天（因天气原因、不可抗力等因素影响施工的，工期予以顺延）。</w:t>
      </w:r>
    </w:p>
    <w:p w14:paraId="3BAE7EAD">
      <w:pPr>
        <w:pageBreakBefore w:val="0"/>
        <w:widowControl w:val="0"/>
        <w:kinsoku/>
        <w:wordWrap/>
        <w:overflowPunct/>
        <w:topLinePunct w:val="0"/>
        <w:autoSpaceDE/>
        <w:bidi w:val="0"/>
        <w:spacing w:line="480" w:lineRule="auto"/>
        <w:ind w:firstLine="482" w:firstLineChars="200"/>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2、项目实施地点：府谷县添康林悦城小区</w:t>
      </w:r>
      <w:r>
        <w:rPr>
          <w:rFonts w:hint="eastAsia" w:ascii="宋体" w:hAnsi="宋体" w:eastAsia="宋体" w:cs="宋体"/>
          <w:color w:val="auto"/>
          <w:sz w:val="24"/>
          <w:szCs w:val="24"/>
          <w:lang w:val="en-US" w:eastAsia="zh-CN"/>
        </w:rPr>
        <w:t>。</w:t>
      </w:r>
    </w:p>
    <w:p w14:paraId="001DD4F1">
      <w:pPr>
        <w:pageBreakBefore w:val="0"/>
        <w:widowControl w:val="0"/>
        <w:numPr>
          <w:ilvl w:val="0"/>
          <w:numId w:val="0"/>
        </w:numPr>
        <w:kinsoku/>
        <w:wordWrap/>
        <w:overflowPunct/>
        <w:topLinePunct w:val="0"/>
        <w:autoSpaceDE/>
        <w:bidi w:val="0"/>
        <w:spacing w:line="48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3、项目概况：</w:t>
      </w:r>
    </w:p>
    <w:p w14:paraId="635A8A9C">
      <w:pPr>
        <w:pageBreakBefore w:val="0"/>
        <w:widowControl w:val="0"/>
        <w:kinsoku/>
        <w:wordWrap/>
        <w:overflowPunct/>
        <w:topLinePunct w:val="0"/>
        <w:autoSpaceDE/>
        <w:bidi w:val="0"/>
        <w:spacing w:line="480" w:lineRule="auto"/>
        <w:ind w:firstLine="480" w:firstLineChars="200"/>
        <w:rPr>
          <w:rFonts w:hint="eastAsia" w:ascii="宋体" w:hAnsi="宋体" w:eastAsia="宋体" w:cs="宋体"/>
          <w:b/>
          <w:bCs/>
          <w:color w:val="auto"/>
          <w:sz w:val="24"/>
          <w:szCs w:val="24"/>
          <w:highlight w:val="green"/>
          <w:lang w:val="en-US" w:eastAsia="zh-CN"/>
        </w:rPr>
      </w:pPr>
      <w:r>
        <w:rPr>
          <w:rFonts w:hint="eastAsia" w:ascii="宋体" w:hAnsi="宋体" w:eastAsia="宋体" w:cs="宋体"/>
          <w:color w:val="auto"/>
          <w:sz w:val="24"/>
          <w:szCs w:val="24"/>
          <w:lang w:val="en-US" w:eastAsia="zh-CN"/>
        </w:rPr>
        <w:t>本项目为添康林悦城小区配建幼儿园室内装修及室外改造工程，主要内容包括：本次建设主要实施室内装修及室外改造工程。对全园9间幼儿活动室、配套辅助用房及各类功能部室实施室内装修，同步开展园区室外场地硬化、软化及建筑外立面保温、彩绘等工程。具体内容详见清单。</w:t>
      </w:r>
    </w:p>
    <w:p w14:paraId="2D91D128">
      <w:pPr>
        <w:pageBreakBefore w:val="0"/>
        <w:widowControl w:val="0"/>
        <w:kinsoku/>
        <w:wordWrap/>
        <w:overflowPunct/>
        <w:topLinePunct w:val="0"/>
        <w:autoSpaceDE/>
        <w:bidi w:val="0"/>
        <w:spacing w:line="480" w:lineRule="auto"/>
        <w:ind w:firstLine="482" w:firstLineChars="200"/>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4.项目总投资：3582673.33元</w:t>
      </w:r>
      <w:r>
        <w:rPr>
          <w:rFonts w:hint="eastAsia" w:ascii="宋体" w:hAnsi="宋体" w:eastAsia="宋体" w:cs="宋体"/>
          <w:color w:val="auto"/>
          <w:sz w:val="24"/>
          <w:szCs w:val="24"/>
          <w:lang w:val="en-US" w:eastAsia="zh-CN"/>
        </w:rPr>
        <w:t>。</w:t>
      </w:r>
    </w:p>
    <w:p w14:paraId="73410D5D">
      <w:pPr>
        <w:pageBreakBefore w:val="0"/>
        <w:widowControl w:val="0"/>
        <w:kinsoku/>
        <w:wordWrap/>
        <w:overflowPunct/>
        <w:topLinePunct w:val="0"/>
        <w:autoSpaceDE/>
        <w:bidi w:val="0"/>
        <w:spacing w:line="480" w:lineRule="auto"/>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四、合同模板：</w:t>
      </w:r>
    </w:p>
    <w:p w14:paraId="0350489E">
      <w:pPr>
        <w:pageBreakBefore w:val="0"/>
        <w:widowControl w:val="0"/>
        <w:kinsoku/>
        <w:wordWrap/>
        <w:overflowPunct/>
        <w:topLinePunct w:val="0"/>
        <w:autoSpaceDE/>
        <w:autoSpaceDN w:val="0"/>
        <w:bidi w:val="0"/>
        <w:adjustRightInd w:val="0"/>
        <w:snapToGrid w:val="0"/>
        <w:spacing w:line="480" w:lineRule="auto"/>
        <w:ind w:firstLine="2108" w:firstLineChars="1000"/>
        <w:jc w:val="lef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添康林悦城小区配建幼儿园室内装修及室外改造工程采购合同</w:t>
      </w:r>
    </w:p>
    <w:p w14:paraId="0746AD1A">
      <w:pPr>
        <w:pageBreakBefore w:val="0"/>
        <w:widowControl w:val="0"/>
        <w:kinsoku/>
        <w:wordWrap/>
        <w:overflowPunct/>
        <w:topLinePunct w:val="0"/>
        <w:autoSpaceDE/>
        <w:autoSpaceDN w:val="0"/>
        <w:bidi w:val="0"/>
        <w:adjustRightInd w:val="0"/>
        <w:snapToGrid w:val="0"/>
        <w:spacing w:line="48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甲方（</w:t>
      </w:r>
      <w:r>
        <w:rPr>
          <w:rFonts w:hint="eastAsia" w:ascii="宋体" w:hAnsi="宋体" w:eastAsia="宋体" w:cs="宋体"/>
          <w:snapToGrid w:val="0"/>
          <w:color w:val="auto"/>
          <w:kern w:val="0"/>
          <w:sz w:val="21"/>
          <w:szCs w:val="21"/>
        </w:rPr>
        <w:t>采购人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p>
    <w:p w14:paraId="2279D80F">
      <w:pPr>
        <w:pageBreakBefore w:val="0"/>
        <w:widowControl w:val="0"/>
        <w:kinsoku/>
        <w:wordWrap/>
        <w:overflowPunct/>
        <w:topLinePunct w:val="0"/>
        <w:autoSpaceDE/>
        <w:autoSpaceDN w:val="0"/>
        <w:bidi w:val="0"/>
        <w:adjustRightInd w:val="0"/>
        <w:snapToGrid w:val="0"/>
        <w:spacing w:line="48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乙方（</w:t>
      </w:r>
      <w:r>
        <w:rPr>
          <w:rFonts w:hint="eastAsia" w:ascii="宋体" w:hAnsi="宋体" w:eastAsia="宋体" w:cs="宋体"/>
          <w:snapToGrid w:val="0"/>
          <w:color w:val="auto"/>
          <w:kern w:val="0"/>
          <w:sz w:val="21"/>
          <w:szCs w:val="21"/>
        </w:rPr>
        <w:t>中标人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r>
        <w:rPr>
          <w:rFonts w:hint="eastAsia" w:ascii="宋体" w:hAnsi="宋体" w:eastAsia="宋体" w:cs="宋体"/>
          <w:snapToGrid w:val="0"/>
          <w:color w:val="auto"/>
          <w:kern w:val="0"/>
          <w:sz w:val="21"/>
          <w:szCs w:val="21"/>
          <w:lang w:eastAsia="zh-Hans"/>
        </w:rPr>
        <w:t xml:space="preserve">             </w:t>
      </w:r>
      <w:r>
        <w:rPr>
          <w:rFonts w:hint="eastAsia" w:ascii="宋体" w:hAnsi="宋体" w:eastAsia="宋体" w:cs="宋体"/>
          <w:snapToGrid w:val="0"/>
          <w:color w:val="auto"/>
          <w:kern w:val="0"/>
          <w:sz w:val="21"/>
          <w:szCs w:val="21"/>
        </w:rPr>
        <w:t xml:space="preserve">                        </w:t>
      </w:r>
    </w:p>
    <w:p w14:paraId="3F5825AC">
      <w:pPr>
        <w:pageBreakBefore w:val="0"/>
        <w:widowControl w:val="0"/>
        <w:numPr>
          <w:ilvl w:val="0"/>
          <w:numId w:val="0"/>
        </w:numPr>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b/>
          <w:snapToGrid w:val="0"/>
          <w:color w:val="auto"/>
          <w:kern w:val="0"/>
          <w:sz w:val="21"/>
          <w:szCs w:val="21"/>
        </w:rPr>
      </w:pPr>
      <w:r>
        <w:rPr>
          <w:rFonts w:hint="eastAsia" w:ascii="宋体" w:hAnsi="宋体" w:eastAsia="宋体" w:cs="宋体"/>
          <w:snapToGrid w:val="0"/>
          <w:color w:val="auto"/>
          <w:kern w:val="0"/>
          <w:sz w:val="21"/>
          <w:szCs w:val="21"/>
        </w:rPr>
        <w:t>根据《中华人民共和国政府采购法》、《中华人民共和国</w:t>
      </w:r>
      <w:r>
        <w:rPr>
          <w:rFonts w:hint="eastAsia" w:ascii="宋体" w:hAnsi="宋体" w:eastAsia="宋体" w:cs="宋体"/>
          <w:snapToGrid w:val="0"/>
          <w:color w:val="auto"/>
          <w:kern w:val="0"/>
          <w:sz w:val="21"/>
          <w:szCs w:val="21"/>
          <w:lang w:val="en-US" w:eastAsia="zh-CN"/>
        </w:rPr>
        <w:t>民法典</w:t>
      </w:r>
      <w:r>
        <w:rPr>
          <w:rFonts w:hint="eastAsia" w:ascii="宋体" w:hAnsi="宋体" w:eastAsia="宋体" w:cs="宋体"/>
          <w:snapToGrid w:val="0"/>
          <w:color w:val="auto"/>
          <w:kern w:val="0"/>
          <w:sz w:val="21"/>
          <w:szCs w:val="21"/>
        </w:rPr>
        <w:t>》等相关法律，甲、乙双方经平等协商一致，就“</w:t>
      </w:r>
      <w:r>
        <w:rPr>
          <w:rFonts w:hint="eastAsia" w:ascii="宋体" w:hAnsi="宋体" w:eastAsia="宋体" w:cs="宋体"/>
          <w:color w:val="auto"/>
          <w:sz w:val="21"/>
          <w:szCs w:val="21"/>
          <w:lang w:val="en-US" w:eastAsia="zh-CN"/>
        </w:rPr>
        <w:t>添康林悦城小区配建幼儿园室内装修及室外改造工程</w:t>
      </w:r>
      <w:r>
        <w:rPr>
          <w:rFonts w:hint="eastAsia" w:ascii="宋体" w:hAnsi="宋体" w:eastAsia="宋体" w:cs="宋体"/>
          <w:snapToGrid w:val="0"/>
          <w:color w:val="auto"/>
          <w:kern w:val="0"/>
          <w:sz w:val="21"/>
          <w:szCs w:val="21"/>
        </w:rPr>
        <w:t xml:space="preserve">”承办达成合同如下：                       </w:t>
      </w:r>
    </w:p>
    <w:p w14:paraId="23E41AEB">
      <w:pPr>
        <w:pageBreakBefore w:val="0"/>
        <w:widowControl w:val="0"/>
        <w:kinsoku/>
        <w:wordWrap/>
        <w:overflowPunct/>
        <w:topLinePunct w:val="0"/>
        <w:autoSpaceDE/>
        <w:bidi w:val="0"/>
        <w:adjustRightInd w:val="0"/>
        <w:snapToGrid w:val="0"/>
        <w:spacing w:line="48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一</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、合同文件</w:t>
      </w:r>
    </w:p>
    <w:p w14:paraId="6D1A2EF5">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本合同所附下列文件是构成本合同不可分割的部分，组成合同的各项文件应互相解释，互为说明，解释合同文件的优先顺序如下：</w:t>
      </w:r>
    </w:p>
    <w:p w14:paraId="67C68D28">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合同条款</w:t>
      </w:r>
    </w:p>
    <w:p w14:paraId="5B6D7E36">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通知书</w:t>
      </w:r>
    </w:p>
    <w:p w14:paraId="304741B3">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3.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人在评标过程中做出的有关澄清、说明、承诺或者补正文件</w:t>
      </w:r>
    </w:p>
    <w:p w14:paraId="78CFD8E5">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4. </w:t>
      </w:r>
      <w:r>
        <w:rPr>
          <w:rFonts w:hint="eastAsia" w:ascii="宋体" w:hAnsi="宋体" w:eastAsia="宋体" w:cs="宋体"/>
          <w:color w:val="auto"/>
          <w:sz w:val="21"/>
          <w:szCs w:val="21"/>
          <w:lang w:eastAsia="zh-CN"/>
        </w:rPr>
        <w:t>谈判</w:t>
      </w:r>
      <w:r>
        <w:rPr>
          <w:rFonts w:hint="eastAsia" w:ascii="宋体" w:hAnsi="宋体" w:eastAsia="宋体" w:cs="宋体"/>
          <w:color w:val="auto"/>
          <w:sz w:val="21"/>
          <w:szCs w:val="21"/>
        </w:rPr>
        <w:t>文件</w:t>
      </w:r>
    </w:p>
    <w:p w14:paraId="00EDBD44">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5.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人的</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w:t>
      </w:r>
    </w:p>
    <w:p w14:paraId="7A3A3D0E">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 本合同附件</w:t>
      </w:r>
    </w:p>
    <w:p w14:paraId="7791D7A8">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同一层次的合同文件规定有矛盾的以较后时间制定的为准。</w:t>
      </w:r>
    </w:p>
    <w:p w14:paraId="3DFE60F0">
      <w:pPr>
        <w:pageBreakBefore w:val="0"/>
        <w:widowControl w:val="0"/>
        <w:kinsoku/>
        <w:wordWrap/>
        <w:overflowPunct/>
        <w:topLinePunct w:val="0"/>
        <w:autoSpaceDE/>
        <w:bidi w:val="0"/>
        <w:adjustRightInd w:val="0"/>
        <w:snapToGrid w:val="0"/>
        <w:spacing w:line="48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二</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、合同的范围和条件</w:t>
      </w:r>
    </w:p>
    <w:p w14:paraId="1B37E870">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本合同的范围和条件应与上述合同文件的规定相一致。</w:t>
      </w:r>
    </w:p>
    <w:p w14:paraId="5F56F1C1">
      <w:pPr>
        <w:pageBreakBefore w:val="0"/>
        <w:widowControl w:val="0"/>
        <w:kinsoku/>
        <w:wordWrap/>
        <w:overflowPunct/>
        <w:topLinePunct w:val="0"/>
        <w:autoSpaceDE/>
        <w:bidi w:val="0"/>
        <w:adjustRightInd w:val="0"/>
        <w:snapToGrid w:val="0"/>
        <w:spacing w:line="48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三</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w:t>
      </w:r>
      <w:r>
        <w:rPr>
          <w:rFonts w:hint="eastAsia" w:ascii="宋体" w:hAnsi="宋体" w:eastAsia="宋体" w:cs="宋体"/>
          <w:b/>
          <w:color w:val="auto"/>
          <w:sz w:val="21"/>
          <w:szCs w:val="21"/>
          <w:lang w:eastAsia="zh-CN"/>
        </w:rPr>
        <w:t>工程</w:t>
      </w:r>
      <w:r>
        <w:rPr>
          <w:rFonts w:hint="eastAsia" w:ascii="宋体" w:hAnsi="宋体" w:eastAsia="宋体" w:cs="宋体"/>
          <w:b/>
          <w:color w:val="auto"/>
          <w:sz w:val="21"/>
          <w:szCs w:val="21"/>
        </w:rPr>
        <w:t>项目</w:t>
      </w:r>
    </w:p>
    <w:p w14:paraId="21B65765">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本合同所提供的</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项目内容：（与</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文件中</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明细表一致）。</w:t>
      </w:r>
    </w:p>
    <w:p w14:paraId="3EDF73C0">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                                                        </w:t>
      </w:r>
    </w:p>
    <w:p w14:paraId="3019A708">
      <w:pPr>
        <w:pageBreakBefore w:val="0"/>
        <w:widowControl w:val="0"/>
        <w:kinsoku/>
        <w:wordWrap/>
        <w:overflowPunct/>
        <w:topLinePunct w:val="0"/>
        <w:autoSpaceDE/>
        <w:bidi w:val="0"/>
        <w:adjustRightInd w:val="0"/>
        <w:snapToGrid w:val="0"/>
        <w:spacing w:line="48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四</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、合同金额</w:t>
      </w:r>
    </w:p>
    <w:p w14:paraId="194799F2">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合同金额为人民币大写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875E444">
      <w:pPr>
        <w:pageBreakBefore w:val="0"/>
        <w:widowControl w:val="0"/>
        <w:kinsoku/>
        <w:wordWrap/>
        <w:overflowPunct/>
        <w:topLinePunct w:val="0"/>
        <w:autoSpaceDE/>
        <w:bidi w:val="0"/>
        <w:adjustRightInd w:val="0"/>
        <w:snapToGrid w:val="0"/>
        <w:spacing w:line="480" w:lineRule="auto"/>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五</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、付款途径</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59C3922">
      <w:pPr>
        <w:pageBreakBefore w:val="0"/>
        <w:widowControl w:val="0"/>
        <w:kinsoku/>
        <w:wordWrap/>
        <w:overflowPunct/>
        <w:topLinePunct w:val="0"/>
        <w:autoSpaceDE/>
        <w:bidi w:val="0"/>
        <w:spacing w:line="480" w:lineRule="auto"/>
        <w:ind w:firstLine="422" w:firstLineChars="200"/>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六</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、付款方式</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按工程进度付款，工程完工验收合格后，支付到合同总价的80%，待审计结束后，付清剩余工程款。</w:t>
      </w:r>
    </w:p>
    <w:p w14:paraId="6F1ED7A3">
      <w:pPr>
        <w:pageBreakBefore w:val="0"/>
        <w:widowControl w:val="0"/>
        <w:kinsoku/>
        <w:wordWrap/>
        <w:overflowPunct/>
        <w:topLinePunct w:val="0"/>
        <w:autoSpaceDE/>
        <w:bidi w:val="0"/>
        <w:spacing w:line="48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七</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、知识产权</w:t>
      </w:r>
    </w:p>
    <w:p w14:paraId="78A6CFC9">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乙方应保证甲方所使用的服务成果免受第三方提出的侵犯其知识产权的诉讼。</w:t>
      </w:r>
    </w:p>
    <w:p w14:paraId="1ED4ECF9">
      <w:pPr>
        <w:pageBreakBefore w:val="0"/>
        <w:widowControl w:val="0"/>
        <w:kinsoku/>
        <w:wordWrap/>
        <w:overflowPunct/>
        <w:topLinePunct w:val="0"/>
        <w:autoSpaceDE/>
        <w:bidi w:val="0"/>
        <w:adjustRightInd w:val="0"/>
        <w:snapToGrid w:val="0"/>
        <w:spacing w:line="480" w:lineRule="auto"/>
        <w:ind w:firstLine="422" w:firstLineChars="200"/>
        <w:rPr>
          <w:rFonts w:hint="eastAsia" w:ascii="宋体" w:hAnsi="宋体" w:eastAsia="宋体" w:cs="宋体"/>
          <w:b/>
          <w:bCs/>
          <w:color w:val="auto"/>
          <w:sz w:val="21"/>
          <w:szCs w:val="21"/>
        </w:rPr>
      </w:pPr>
      <w:bookmarkStart w:id="0" w:name="_Toc223404485"/>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八</w:t>
      </w:r>
      <w:r>
        <w:rPr>
          <w:rFonts w:hint="eastAsia" w:ascii="宋体" w:hAnsi="宋体" w:eastAsia="宋体" w:cs="宋体"/>
          <w:b/>
          <w:color w:val="auto"/>
          <w:sz w:val="21"/>
          <w:szCs w:val="21"/>
          <w:lang w:eastAsia="zh-CN"/>
        </w:rPr>
        <w:t>）</w:t>
      </w:r>
      <w:r>
        <w:rPr>
          <w:rFonts w:hint="eastAsia" w:ascii="宋体" w:hAnsi="宋体" w:eastAsia="宋体" w:cs="宋体"/>
          <w:b/>
          <w:bCs/>
          <w:color w:val="auto"/>
          <w:sz w:val="21"/>
          <w:szCs w:val="21"/>
        </w:rPr>
        <w:t>、违约条款</w:t>
      </w:r>
      <w:bookmarkEnd w:id="0"/>
    </w:p>
    <w:p w14:paraId="098FEA80">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一方不按期履行合同，并经另一方提示后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日内仍不履行合同的，守约方有权解除合同，违约方要承担相应的法律责任。</w:t>
      </w:r>
    </w:p>
    <w:p w14:paraId="32EC1648">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如因一方违约，双方未能就赔偿损失达成协议，引起诉讼或仲裁时，违约方除应赔偿对方经济损失外，还应承担因诉讼或仲裁所支付的律师代理费等相关费用。</w:t>
      </w:r>
    </w:p>
    <w:p w14:paraId="088BB082">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 其它应承担的违约责任，以《中华人民共和国</w:t>
      </w:r>
      <w:r>
        <w:rPr>
          <w:rFonts w:hint="eastAsia" w:ascii="宋体" w:hAnsi="宋体" w:eastAsia="宋体" w:cs="宋体"/>
          <w:color w:val="auto"/>
          <w:sz w:val="21"/>
          <w:szCs w:val="21"/>
          <w:lang w:val="en-US" w:eastAsia="zh-CN"/>
        </w:rPr>
        <w:t>民法典</w:t>
      </w:r>
      <w:r>
        <w:rPr>
          <w:rFonts w:hint="eastAsia" w:ascii="宋体" w:hAnsi="宋体" w:eastAsia="宋体" w:cs="宋体"/>
          <w:color w:val="auto"/>
          <w:sz w:val="21"/>
          <w:szCs w:val="21"/>
        </w:rPr>
        <w:t>》和其它有关法律、法规规定为准，无相关规定的，双方协商解决。</w:t>
      </w:r>
    </w:p>
    <w:p w14:paraId="1F678D09">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 按照本合同规定应该偿付的违约金、赔偿金等，应当在明确责任后 7 日内，按银行规定或双方商定的结算办法付清，否则按逾期付款处理。</w:t>
      </w:r>
    </w:p>
    <w:p w14:paraId="6DB79C2B">
      <w:pPr>
        <w:keepNext/>
        <w:keepLines/>
        <w:pageBreakBefore w:val="0"/>
        <w:widowControl w:val="0"/>
        <w:kinsoku/>
        <w:wordWrap/>
        <w:overflowPunct/>
        <w:topLinePunct w:val="0"/>
        <w:autoSpaceDE/>
        <w:bidi w:val="0"/>
        <w:spacing w:beforeLines="0" w:beforeAutospacing="0" w:afterLines="0" w:afterAutospacing="0" w:line="480" w:lineRule="auto"/>
        <w:ind w:left="0" w:leftChars="0" w:firstLine="422" w:firstLineChars="200"/>
        <w:jc w:val="both"/>
        <w:outlineLvl w:val="1"/>
        <w:rPr>
          <w:rFonts w:hint="eastAsia" w:ascii="宋体" w:hAnsi="宋体" w:eastAsia="宋体" w:cs="宋体"/>
          <w:color w:val="auto"/>
          <w:kern w:val="2"/>
          <w:sz w:val="21"/>
          <w:szCs w:val="21"/>
          <w:lang w:val="en-US" w:eastAsia="zh-CN" w:bidi="ar-SA"/>
        </w:rPr>
      </w:pPr>
      <w:bookmarkStart w:id="1" w:name="_Toc31057"/>
      <w:bookmarkStart w:id="2" w:name="_Toc56066561"/>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九</w:t>
      </w:r>
      <w:r>
        <w:rPr>
          <w:rFonts w:hint="eastAsia" w:ascii="宋体" w:hAnsi="宋体" w:eastAsia="宋体" w:cs="宋体"/>
          <w:b/>
          <w:color w:val="auto"/>
          <w:sz w:val="21"/>
          <w:szCs w:val="21"/>
          <w:lang w:eastAsia="zh-CN"/>
        </w:rPr>
        <w:t>）</w:t>
      </w:r>
      <w:r>
        <w:rPr>
          <w:rFonts w:hint="eastAsia" w:ascii="宋体" w:hAnsi="宋体" w:eastAsia="宋体" w:cs="宋体"/>
          <w:b/>
          <w:bCs/>
          <w:color w:val="auto"/>
          <w:kern w:val="2"/>
          <w:sz w:val="21"/>
          <w:szCs w:val="21"/>
          <w:lang w:val="en-US" w:eastAsia="zh-CN" w:bidi="ar-SA"/>
        </w:rPr>
        <w:t>、履约验收</w:t>
      </w:r>
      <w:bookmarkEnd w:id="1"/>
      <w:bookmarkEnd w:id="2"/>
      <w:r>
        <w:rPr>
          <w:rFonts w:hint="eastAsia" w:ascii="宋体" w:hAnsi="宋体" w:eastAsia="宋体" w:cs="宋体"/>
          <w:b/>
          <w:bCs/>
          <w:color w:val="auto"/>
          <w:kern w:val="2"/>
          <w:sz w:val="21"/>
          <w:szCs w:val="21"/>
          <w:lang w:val="en-US" w:eastAsia="zh-CN" w:bidi="ar-SA"/>
        </w:rPr>
        <w:t>标准和方式</w:t>
      </w:r>
    </w:p>
    <w:p w14:paraId="1F5FE425">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1.履约验收时间：</w:t>
      </w:r>
      <w:r>
        <w:rPr>
          <w:rFonts w:hint="eastAsia" w:ascii="宋体" w:hAnsi="宋体" w:eastAsia="宋体" w:cs="宋体"/>
          <w:color w:val="auto"/>
          <w:sz w:val="21"/>
          <w:szCs w:val="21"/>
          <w:u w:val="single"/>
          <w:lang w:val="en-US" w:eastAsia="zh-CN"/>
        </w:rPr>
        <w:t>采购人指定时间</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以合同签订时间为准</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1"/>
          <w:szCs w:val="21"/>
          <w:u w:val="single"/>
          <w:lang w:val="en-US" w:eastAsia="zh-CN"/>
        </w:rPr>
        <w:t>。</w:t>
      </w:r>
    </w:p>
    <w:p w14:paraId="607CB1FC">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2.履约验收主体及内容：</w:t>
      </w:r>
      <w:r>
        <w:rPr>
          <w:rFonts w:hint="eastAsia" w:ascii="宋体" w:hAnsi="宋体" w:eastAsia="宋体" w:cs="宋体"/>
          <w:color w:val="auto"/>
          <w:sz w:val="21"/>
          <w:szCs w:val="21"/>
          <w:u w:val="single"/>
          <w:lang w:val="en-US" w:eastAsia="zh-CN"/>
        </w:rPr>
        <w:t>由采购人根据合同要求，进行验收。</w:t>
      </w:r>
    </w:p>
    <w:p w14:paraId="05603DEA">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3.验收标准：</w:t>
      </w:r>
      <w:r>
        <w:rPr>
          <w:rFonts w:hint="eastAsia" w:ascii="宋体" w:hAnsi="宋体" w:eastAsia="宋体" w:cs="宋体"/>
          <w:color w:val="auto"/>
          <w:sz w:val="21"/>
          <w:szCs w:val="21"/>
          <w:u w:val="single"/>
          <w:lang w:val="en-US" w:eastAsia="zh-CN"/>
        </w:rPr>
        <w:t xml:space="preserve">工程质量达到国家、行业验收合格标准。        </w:t>
      </w:r>
    </w:p>
    <w:p w14:paraId="65185640">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4.验收方式：</w:t>
      </w:r>
      <w:r>
        <w:rPr>
          <w:rFonts w:hint="eastAsia" w:ascii="宋体" w:hAnsi="宋体" w:eastAsia="宋体" w:cs="宋体"/>
          <w:color w:val="auto"/>
          <w:sz w:val="21"/>
          <w:szCs w:val="21"/>
          <w:u w:val="single"/>
        </w:rPr>
        <w:t>由采购单位组织有关专业人员按相关的国家标准、质量标准和</w:t>
      </w:r>
      <w:r>
        <w:rPr>
          <w:rFonts w:hint="eastAsia" w:ascii="宋体" w:hAnsi="宋体" w:eastAsia="宋体" w:cs="宋体"/>
          <w:color w:val="auto"/>
          <w:sz w:val="21"/>
          <w:szCs w:val="21"/>
          <w:u w:val="single"/>
          <w:lang w:eastAsia="zh-CN"/>
        </w:rPr>
        <w:t>采购文件</w:t>
      </w:r>
      <w:r>
        <w:rPr>
          <w:rFonts w:hint="eastAsia" w:ascii="宋体" w:hAnsi="宋体" w:eastAsia="宋体" w:cs="宋体"/>
          <w:color w:val="auto"/>
          <w:sz w:val="21"/>
          <w:szCs w:val="21"/>
          <w:u w:val="single"/>
        </w:rPr>
        <w:t>所列的各项要求进行验收。</w:t>
      </w:r>
    </w:p>
    <w:p w14:paraId="1EE4F11E">
      <w:pPr>
        <w:pageBreakBefore w:val="0"/>
        <w:widowControl w:val="0"/>
        <w:kinsoku/>
        <w:wordWrap/>
        <w:overflowPunct/>
        <w:topLinePunct w:val="0"/>
        <w:autoSpaceDE/>
        <w:bidi w:val="0"/>
        <w:adjustRightInd w:val="0"/>
        <w:snapToGrid w:val="0"/>
        <w:spacing w:line="480" w:lineRule="auto"/>
        <w:ind w:firstLine="422" w:firstLineChars="200"/>
        <w:rPr>
          <w:rFonts w:hint="eastAsia" w:ascii="宋体" w:hAnsi="宋体" w:eastAsia="宋体" w:cs="宋体"/>
          <w:b/>
          <w:bCs/>
          <w:color w:val="auto"/>
          <w:sz w:val="21"/>
          <w:szCs w:val="21"/>
        </w:rPr>
      </w:pPr>
      <w:bookmarkStart w:id="3" w:name="_Toc223404486"/>
      <w:r>
        <w:rPr>
          <w:rFonts w:hint="eastAsia" w:ascii="宋体" w:hAnsi="宋体" w:eastAsia="宋体" w:cs="宋体"/>
          <w:b/>
          <w:bCs/>
          <w:color w:val="auto"/>
          <w:sz w:val="21"/>
          <w:szCs w:val="21"/>
          <w:lang w:eastAsia="zh-CN"/>
        </w:rPr>
        <w:t>（十）</w:t>
      </w:r>
      <w:r>
        <w:rPr>
          <w:rFonts w:hint="eastAsia" w:ascii="宋体" w:hAnsi="宋体" w:eastAsia="宋体" w:cs="宋体"/>
          <w:b/>
          <w:bCs/>
          <w:color w:val="auto"/>
          <w:sz w:val="21"/>
          <w:szCs w:val="21"/>
        </w:rPr>
        <w:t>、不可抗力条款</w:t>
      </w:r>
      <w:bookmarkEnd w:id="3"/>
    </w:p>
    <w:p w14:paraId="523BD656">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12BA7EC4">
      <w:pPr>
        <w:pageBreakBefore w:val="0"/>
        <w:widowControl w:val="0"/>
        <w:kinsoku/>
        <w:wordWrap/>
        <w:overflowPunct/>
        <w:topLinePunct w:val="0"/>
        <w:autoSpaceDE/>
        <w:bidi w:val="0"/>
        <w:adjustRightInd w:val="0"/>
        <w:snapToGrid w:val="0"/>
        <w:spacing w:line="480" w:lineRule="auto"/>
        <w:ind w:firstLine="422" w:firstLineChars="200"/>
        <w:rPr>
          <w:rFonts w:hint="eastAsia" w:ascii="宋体" w:hAnsi="宋体" w:eastAsia="宋体" w:cs="宋体"/>
          <w:b/>
          <w:bCs/>
          <w:color w:val="auto"/>
          <w:sz w:val="21"/>
          <w:szCs w:val="21"/>
        </w:rPr>
      </w:pPr>
      <w:bookmarkStart w:id="4" w:name="_Toc223404487"/>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一）</w:t>
      </w:r>
      <w:r>
        <w:rPr>
          <w:rFonts w:hint="eastAsia" w:ascii="宋体" w:hAnsi="宋体" w:eastAsia="宋体" w:cs="宋体"/>
          <w:b/>
          <w:bCs/>
          <w:color w:val="auto"/>
          <w:sz w:val="21"/>
          <w:szCs w:val="21"/>
        </w:rPr>
        <w:t>、争议的解决方式</w:t>
      </w:r>
      <w:bookmarkEnd w:id="4"/>
    </w:p>
    <w:p w14:paraId="04EDAB9A">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本合同执行过程中如发生争议，应本着友好的原则协商解决。协商不成产生的诉讼，由甲方所在地人民法院管辖</w:t>
      </w:r>
      <w:r>
        <w:rPr>
          <w:rFonts w:hint="eastAsia" w:ascii="宋体" w:hAnsi="宋体" w:eastAsia="宋体" w:cs="宋体"/>
          <w:color w:val="auto"/>
          <w:sz w:val="21"/>
          <w:szCs w:val="21"/>
          <w:lang w:eastAsia="zh-CN"/>
        </w:rPr>
        <w:t>。</w:t>
      </w:r>
    </w:p>
    <w:p w14:paraId="69713051">
      <w:pPr>
        <w:pageBreakBefore w:val="0"/>
        <w:widowControl w:val="0"/>
        <w:kinsoku/>
        <w:wordWrap/>
        <w:overflowPunct/>
        <w:topLinePunct w:val="0"/>
        <w:autoSpaceDE/>
        <w:bidi w:val="0"/>
        <w:adjustRightInd w:val="0"/>
        <w:snapToGrid w:val="0"/>
        <w:spacing w:line="480" w:lineRule="auto"/>
        <w:ind w:firstLine="422" w:firstLineChars="200"/>
        <w:rPr>
          <w:rFonts w:hint="eastAsia" w:ascii="宋体" w:hAnsi="宋体" w:eastAsia="宋体" w:cs="宋体"/>
          <w:b/>
          <w:bCs/>
          <w:color w:val="auto"/>
          <w:sz w:val="21"/>
          <w:szCs w:val="21"/>
        </w:rPr>
      </w:pPr>
      <w:bookmarkStart w:id="5" w:name="_Toc223404488"/>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二）</w:t>
      </w:r>
      <w:r>
        <w:rPr>
          <w:rFonts w:hint="eastAsia" w:ascii="宋体" w:hAnsi="宋体" w:eastAsia="宋体" w:cs="宋体"/>
          <w:b/>
          <w:bCs/>
          <w:color w:val="auto"/>
          <w:sz w:val="21"/>
          <w:szCs w:val="21"/>
        </w:rPr>
        <w:t>、补充协议</w:t>
      </w:r>
      <w:bookmarkEnd w:id="5"/>
    </w:p>
    <w:p w14:paraId="59EAD121">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合同未尽事宜，经双方协商可签订补充协议，所签订的补充协议与本合同具有同等的法律效力，补充协议的生效应符合本合同的有关规定。</w:t>
      </w:r>
    </w:p>
    <w:p w14:paraId="69BA1088">
      <w:pPr>
        <w:pageBreakBefore w:val="0"/>
        <w:widowControl w:val="0"/>
        <w:kinsoku/>
        <w:wordWrap/>
        <w:overflowPunct/>
        <w:topLinePunct w:val="0"/>
        <w:autoSpaceDE/>
        <w:bidi w:val="0"/>
        <w:adjustRightInd w:val="0"/>
        <w:snapToGrid w:val="0"/>
        <w:spacing w:line="48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十</w:t>
      </w:r>
      <w:r>
        <w:rPr>
          <w:rFonts w:hint="eastAsia" w:ascii="宋体" w:hAnsi="宋体" w:eastAsia="宋体" w:cs="宋体"/>
          <w:b/>
          <w:color w:val="auto"/>
          <w:sz w:val="21"/>
          <w:szCs w:val="21"/>
          <w:lang w:eastAsia="zh-CN"/>
        </w:rPr>
        <w:t>三）</w:t>
      </w:r>
      <w:r>
        <w:rPr>
          <w:rFonts w:hint="eastAsia" w:ascii="宋体" w:hAnsi="宋体" w:eastAsia="宋体" w:cs="宋体"/>
          <w:b/>
          <w:color w:val="auto"/>
          <w:sz w:val="21"/>
          <w:szCs w:val="21"/>
        </w:rPr>
        <w:t>、合同生效</w:t>
      </w:r>
    </w:p>
    <w:p w14:paraId="72DE3909">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合同双方签订后生效。</w:t>
      </w:r>
    </w:p>
    <w:p w14:paraId="73BE58C9">
      <w:pPr>
        <w:pageBreakBefore w:val="0"/>
        <w:widowControl w:val="0"/>
        <w:kinsoku/>
        <w:wordWrap/>
        <w:overflowPunct/>
        <w:topLinePunct w:val="0"/>
        <w:autoSpaceDE/>
        <w:bidi w:val="0"/>
        <w:adjustRightInd w:val="0"/>
        <w:snapToGrid w:val="0"/>
        <w:spacing w:line="48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本合同一式</w:t>
      </w:r>
      <w:r>
        <w:rPr>
          <w:rFonts w:hint="eastAsia" w:ascii="宋体" w:hAnsi="宋体" w:eastAsia="宋体" w:cs="宋体"/>
          <w:color w:val="auto"/>
          <w:sz w:val="21"/>
          <w:szCs w:val="21"/>
          <w:lang w:val="en-US" w:eastAsia="zh-CN"/>
        </w:rPr>
        <w:t>四</w:t>
      </w:r>
      <w:r>
        <w:rPr>
          <w:rFonts w:hint="eastAsia" w:ascii="宋体" w:hAnsi="宋体" w:eastAsia="宋体" w:cs="宋体"/>
          <w:color w:val="auto"/>
          <w:sz w:val="21"/>
          <w:szCs w:val="21"/>
        </w:rPr>
        <w:t>份，甲、乙双方各执两份。</w:t>
      </w:r>
    </w:p>
    <w:p w14:paraId="7530F3AA">
      <w:pPr>
        <w:pageBreakBefore w:val="0"/>
        <w:widowControl w:val="0"/>
        <w:kinsoku/>
        <w:wordWrap/>
        <w:overflowPunct/>
        <w:topLinePunct w:val="0"/>
        <w:autoSpaceDE/>
        <w:bidi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甲方（盖章）                               乙方（盖章）</w:t>
      </w:r>
    </w:p>
    <w:p w14:paraId="37ACBCC3">
      <w:pPr>
        <w:pageBreakBefore w:val="0"/>
        <w:widowControl w:val="0"/>
        <w:kinsoku/>
        <w:wordWrap/>
        <w:overflowPunct/>
        <w:topLinePunct w:val="0"/>
        <w:autoSpaceDE/>
        <w:bidi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法定代表人或授权人：                      法定代表人或授权人：</w:t>
      </w:r>
    </w:p>
    <w:p w14:paraId="7C367562">
      <w:pPr>
        <w:pageBreakBefore w:val="0"/>
        <w:widowControl w:val="0"/>
        <w:kinsoku/>
        <w:wordWrap/>
        <w:overflowPunct/>
        <w:topLinePunct w:val="0"/>
        <w:autoSpaceDE/>
        <w:bidi w:val="0"/>
        <w:spacing w:line="480" w:lineRule="auto"/>
        <w:ind w:firstLine="420" w:firstLineChars="200"/>
        <w:jc w:val="both"/>
        <w:rPr>
          <w:rFonts w:hint="eastAsia" w:ascii="宋体" w:hAnsi="宋体" w:eastAsia="宋体" w:cs="宋体"/>
          <w:b/>
          <w:color w:val="auto"/>
          <w:sz w:val="24"/>
          <w:szCs w:val="24"/>
          <w:lang w:val="en-US" w:eastAsia="zh-CN"/>
        </w:rPr>
      </w:pPr>
      <w:r>
        <w:rPr>
          <w:rFonts w:hint="eastAsia" w:ascii="宋体" w:hAnsi="宋体" w:eastAsia="宋体" w:cs="宋体"/>
          <w:color w:val="auto"/>
          <w:kern w:val="2"/>
          <w:sz w:val="21"/>
          <w:szCs w:val="21"/>
          <w:lang w:val="en-US" w:eastAsia="zh-CN" w:bidi="ar-SA"/>
        </w:rPr>
        <w:t>日期：                                     日期：</w:t>
      </w:r>
    </w:p>
    <w:p w14:paraId="3FCFDB8A">
      <w:pPr>
        <w:adjustRightInd w:val="0"/>
        <w:snapToGrid w:val="0"/>
        <w:spacing w:line="48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五</w:t>
      </w:r>
      <w:r>
        <w:rPr>
          <w:rFonts w:hint="eastAsia" w:ascii="宋体" w:hAnsi="宋体" w:eastAsia="宋体" w:cs="宋体"/>
          <w:b/>
          <w:color w:val="auto"/>
          <w:sz w:val="24"/>
          <w:szCs w:val="24"/>
        </w:rPr>
        <w:t>、采购单位、采购单位地址、项目联系人及联系电话</w:t>
      </w:r>
    </w:p>
    <w:p w14:paraId="14729190">
      <w:pPr>
        <w:adjustRightInd w:val="0"/>
        <w:snapToGrid w:val="0"/>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1、采购单位：</w:t>
      </w:r>
      <w:r>
        <w:rPr>
          <w:rFonts w:hint="eastAsia" w:ascii="宋体" w:hAnsi="宋体" w:eastAsia="宋体" w:cs="宋体"/>
          <w:color w:val="auto"/>
          <w:sz w:val="24"/>
          <w:szCs w:val="24"/>
          <w:lang w:eastAsia="zh-CN"/>
        </w:rPr>
        <w:t>府谷县教育和体育局</w:t>
      </w:r>
    </w:p>
    <w:p w14:paraId="25E86689">
      <w:pPr>
        <w:adjustRightInd w:val="0"/>
        <w:snapToGrid w:val="0"/>
        <w:spacing w:line="48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2、采购单位地址：陕西省榆林市府谷县府谷镇教育综合大楼</w:t>
      </w:r>
    </w:p>
    <w:p w14:paraId="5AFB5FEE">
      <w:pPr>
        <w:adjustRightInd w:val="0"/>
        <w:snapToGrid w:val="0"/>
        <w:spacing w:line="48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3、项目联系人：</w:t>
      </w:r>
      <w:r>
        <w:rPr>
          <w:rFonts w:hint="eastAsia" w:ascii="宋体" w:hAnsi="宋体" w:eastAsia="宋体" w:cs="宋体"/>
          <w:color w:val="auto"/>
          <w:sz w:val="24"/>
          <w:szCs w:val="24"/>
          <w:lang w:val="en-US" w:eastAsia="zh-CN"/>
        </w:rPr>
        <w:t>王先生  联系电话：15929685979</w:t>
      </w:r>
    </w:p>
    <w:p w14:paraId="456C9513">
      <w:pPr>
        <w:adjustRightInd w:val="0"/>
        <w:snapToGrid w:val="0"/>
        <w:spacing w:line="480" w:lineRule="auto"/>
        <w:rPr>
          <w:rFonts w:hint="eastAsia" w:ascii="宋体" w:hAnsi="宋体" w:eastAsia="宋体" w:cs="宋体"/>
          <w:color w:val="auto"/>
          <w:sz w:val="24"/>
          <w:szCs w:val="24"/>
          <w:lang w:eastAsia="zh-CN"/>
        </w:rPr>
      </w:pPr>
    </w:p>
    <w:p w14:paraId="5DD765B1">
      <w:pPr>
        <w:adjustRightInd w:val="0"/>
        <w:snapToGrid w:val="0"/>
        <w:spacing w:line="480" w:lineRule="auto"/>
        <w:ind w:firstLine="5040" w:firstLineChars="21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府谷县教育和体育局</w:t>
      </w:r>
    </w:p>
    <w:p w14:paraId="290FD9E4">
      <w:pPr>
        <w:tabs>
          <w:tab w:val="left" w:pos="756"/>
        </w:tabs>
        <w:spacing w:line="48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F70458"/>
    <w:multiLevelType w:val="singleLevel"/>
    <w:tmpl w:val="73F7045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RjOWEwYWU2MDk5OTIwNDkwNGY5OTFlY2NjZWI0YWIifQ=="/>
  </w:docVars>
  <w:rsids>
    <w:rsidRoot w:val="00000000"/>
    <w:rsid w:val="01D17056"/>
    <w:rsid w:val="03585AD2"/>
    <w:rsid w:val="0361265C"/>
    <w:rsid w:val="037E28EF"/>
    <w:rsid w:val="08236132"/>
    <w:rsid w:val="097C515A"/>
    <w:rsid w:val="09C71E94"/>
    <w:rsid w:val="09E32BD9"/>
    <w:rsid w:val="09EA33AB"/>
    <w:rsid w:val="0D3D16BC"/>
    <w:rsid w:val="0D7640B1"/>
    <w:rsid w:val="0D817B82"/>
    <w:rsid w:val="0EDD34DE"/>
    <w:rsid w:val="12A54313"/>
    <w:rsid w:val="16421E79"/>
    <w:rsid w:val="16EF2672"/>
    <w:rsid w:val="17382A37"/>
    <w:rsid w:val="1A305C02"/>
    <w:rsid w:val="1A3348FA"/>
    <w:rsid w:val="1A367F46"/>
    <w:rsid w:val="1BF74D53"/>
    <w:rsid w:val="1C6B2111"/>
    <w:rsid w:val="1CDC56C2"/>
    <w:rsid w:val="1D0A37C7"/>
    <w:rsid w:val="1F6E1F30"/>
    <w:rsid w:val="20567911"/>
    <w:rsid w:val="20694A16"/>
    <w:rsid w:val="2ADF4321"/>
    <w:rsid w:val="2CE11F94"/>
    <w:rsid w:val="2F3F1ACB"/>
    <w:rsid w:val="2F4862FA"/>
    <w:rsid w:val="2FB54BB9"/>
    <w:rsid w:val="324C7EAF"/>
    <w:rsid w:val="32D63C1D"/>
    <w:rsid w:val="32DC7485"/>
    <w:rsid w:val="335722A1"/>
    <w:rsid w:val="35907484"/>
    <w:rsid w:val="36A579BC"/>
    <w:rsid w:val="38B7004D"/>
    <w:rsid w:val="3AEE2345"/>
    <w:rsid w:val="3E420192"/>
    <w:rsid w:val="4081166C"/>
    <w:rsid w:val="41697D0E"/>
    <w:rsid w:val="42356F07"/>
    <w:rsid w:val="429A7051"/>
    <w:rsid w:val="453D5029"/>
    <w:rsid w:val="454F3AE7"/>
    <w:rsid w:val="463C4B8F"/>
    <w:rsid w:val="47DF019E"/>
    <w:rsid w:val="4AFB1452"/>
    <w:rsid w:val="4E086E6A"/>
    <w:rsid w:val="4E0D2791"/>
    <w:rsid w:val="505461FE"/>
    <w:rsid w:val="52607BCE"/>
    <w:rsid w:val="52EB1FE1"/>
    <w:rsid w:val="52F45CCD"/>
    <w:rsid w:val="555E469B"/>
    <w:rsid w:val="56097CE2"/>
    <w:rsid w:val="579B6102"/>
    <w:rsid w:val="5AB15B96"/>
    <w:rsid w:val="5B90561D"/>
    <w:rsid w:val="5C026A96"/>
    <w:rsid w:val="5C693288"/>
    <w:rsid w:val="5E843E5A"/>
    <w:rsid w:val="5F6367D1"/>
    <w:rsid w:val="60773A12"/>
    <w:rsid w:val="610A34BF"/>
    <w:rsid w:val="614900BB"/>
    <w:rsid w:val="62AD3045"/>
    <w:rsid w:val="63644CF4"/>
    <w:rsid w:val="63DA2CBD"/>
    <w:rsid w:val="66C8504F"/>
    <w:rsid w:val="682E529D"/>
    <w:rsid w:val="6A236A13"/>
    <w:rsid w:val="6A275166"/>
    <w:rsid w:val="6A6B28C1"/>
    <w:rsid w:val="6B950F74"/>
    <w:rsid w:val="6BF6265F"/>
    <w:rsid w:val="6C4B53D2"/>
    <w:rsid w:val="6DF96B24"/>
    <w:rsid w:val="6F7F3B2A"/>
    <w:rsid w:val="703479EE"/>
    <w:rsid w:val="704B010A"/>
    <w:rsid w:val="73C17C6B"/>
    <w:rsid w:val="748B1F2B"/>
    <w:rsid w:val="753E1660"/>
    <w:rsid w:val="77F652AA"/>
    <w:rsid w:val="7A302F01"/>
    <w:rsid w:val="7A857625"/>
    <w:rsid w:val="7B47063E"/>
    <w:rsid w:val="7F6851CA"/>
    <w:rsid w:val="7F69484E"/>
    <w:rsid w:val="7F7A23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21"/>
    <w:autoRedefine/>
    <w:qFormat/>
    <w:uiPriority w:val="9"/>
    <w:pPr>
      <w:keepNext/>
      <w:keepLines/>
      <w:spacing w:line="240" w:lineRule="auto"/>
      <w:jc w:val="center"/>
      <w:outlineLvl w:val="0"/>
    </w:pPr>
    <w:rPr>
      <w:rFonts w:ascii="Times New Roman" w:hAnsi="Times New Roman" w:eastAsia="宋体"/>
      <w:b/>
      <w:bCs/>
      <w:kern w:val="44"/>
      <w:sz w:val="36"/>
      <w:szCs w:val="44"/>
    </w:rPr>
  </w:style>
  <w:style w:type="paragraph" w:styleId="4">
    <w:name w:val="heading 2"/>
    <w:basedOn w:val="1"/>
    <w:next w:val="1"/>
    <w:autoRedefine/>
    <w:qFormat/>
    <w:uiPriority w:val="9"/>
    <w:pPr>
      <w:keepNext/>
      <w:keepLines/>
      <w:spacing w:line="240" w:lineRule="auto"/>
      <w:outlineLvl w:val="1"/>
    </w:pPr>
    <w:rPr>
      <w:rFonts w:ascii="Calibri" w:hAnsi="Calibri"/>
      <w:b/>
      <w:bCs/>
      <w:kern w:val="0"/>
      <w:sz w:val="32"/>
      <w:szCs w:val="32"/>
    </w:rPr>
  </w:style>
  <w:style w:type="paragraph" w:styleId="2">
    <w:name w:val="heading 4"/>
    <w:next w:val="1"/>
    <w:qFormat/>
    <w:uiPriority w:val="0"/>
    <w:pPr>
      <w:keepNext/>
      <w:keepLines/>
      <w:widowControl w:val="0"/>
      <w:spacing w:before="280" w:after="290" w:line="240" w:lineRule="auto"/>
      <w:jc w:val="left"/>
      <w:outlineLvl w:val="3"/>
    </w:pPr>
    <w:rPr>
      <w:rFonts w:ascii="Calibri" w:hAnsi="Calibri" w:eastAsia="宋体" w:cs="Times New Roman"/>
      <w:b/>
      <w:bCs/>
      <w:kern w:val="2"/>
      <w:sz w:val="21"/>
      <w:szCs w:val="24"/>
      <w:lang w:val="en-US" w:eastAsia="zh-CN" w:bidi="ar-SA"/>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Normal Indent"/>
    <w:basedOn w:val="1"/>
    <w:autoRedefine/>
    <w:unhideWhenUsed/>
    <w:qFormat/>
    <w:uiPriority w:val="99"/>
    <w:pPr>
      <w:ind w:firstLine="420"/>
    </w:pPr>
  </w:style>
  <w:style w:type="paragraph" w:styleId="6">
    <w:name w:val="Body Text"/>
    <w:basedOn w:val="1"/>
    <w:next w:val="7"/>
    <w:autoRedefine/>
    <w:qFormat/>
    <w:uiPriority w:val="0"/>
    <w:pPr>
      <w:spacing w:afterLines="50" w:line="360" w:lineRule="auto"/>
    </w:pPr>
    <w:rPr>
      <w:rFonts w:ascii="宋体" w:hAnsi="宋体"/>
      <w:color w:val="000000"/>
      <w:sz w:val="24"/>
    </w:rPr>
  </w:style>
  <w:style w:type="paragraph" w:styleId="7">
    <w:name w:val="Body Text 2"/>
    <w:basedOn w:val="1"/>
    <w:autoRedefine/>
    <w:qFormat/>
    <w:uiPriority w:val="0"/>
    <w:pPr>
      <w:spacing w:line="360" w:lineRule="auto"/>
    </w:pPr>
    <w:rPr>
      <w:rFonts w:ascii="幼圆" w:eastAsia="幼圆"/>
      <w:sz w:val="24"/>
      <w:u w:val="single"/>
    </w:rPr>
  </w:style>
  <w:style w:type="paragraph" w:styleId="8">
    <w:name w:val="Body Text Indent"/>
    <w:basedOn w:val="1"/>
    <w:autoRedefine/>
    <w:qFormat/>
    <w:uiPriority w:val="0"/>
    <w:pPr>
      <w:ind w:left="1083" w:leftChars="30" w:hanging="1020" w:hangingChars="425"/>
    </w:pPr>
    <w:rPr>
      <w:rFonts w:ascii="宋体" w:hAnsi="宋体"/>
      <w:sz w:val="24"/>
    </w:rPr>
  </w:style>
  <w:style w:type="paragraph" w:styleId="9">
    <w:name w:val="footer"/>
    <w:basedOn w:val="1"/>
    <w:next w:val="1"/>
    <w:autoRedefine/>
    <w:qFormat/>
    <w:uiPriority w:val="0"/>
    <w:pPr>
      <w:tabs>
        <w:tab w:val="center" w:pos="4153"/>
        <w:tab w:val="right" w:pos="8306"/>
      </w:tabs>
      <w:snapToGrid w:val="0"/>
      <w:jc w:val="left"/>
    </w:pPr>
    <w:rPr>
      <w:sz w:val="18"/>
    </w:rPr>
  </w:style>
  <w:style w:type="paragraph" w:styleId="10">
    <w:name w:val="envelope return"/>
    <w:basedOn w:val="1"/>
    <w:qFormat/>
    <w:uiPriority w:val="0"/>
    <w:pPr>
      <w:snapToGrid w:val="0"/>
    </w:pPr>
    <w:rPr>
      <w:rFonts w:ascii="Arial" w:hAnsi="Arial"/>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13">
    <w:name w:val="Normal (Web)"/>
    <w:basedOn w:val="1"/>
    <w:next w:val="10"/>
    <w:qFormat/>
    <w:uiPriority w:val="0"/>
    <w:pPr>
      <w:widowControl/>
      <w:spacing w:before="100" w:beforeAutospacing="1" w:after="100" w:afterAutospacing="1"/>
      <w:jc w:val="left"/>
    </w:pPr>
    <w:rPr>
      <w:rFonts w:ascii="宋体" w:hAnsi="宋体" w:cs="宋体"/>
      <w:kern w:val="0"/>
      <w:sz w:val="24"/>
    </w:rPr>
  </w:style>
  <w:style w:type="paragraph" w:styleId="14">
    <w:name w:val="Body Text First Indent"/>
    <w:basedOn w:val="6"/>
    <w:autoRedefine/>
    <w:qFormat/>
    <w:uiPriority w:val="0"/>
    <w:pPr>
      <w:adjustRightInd w:val="0"/>
      <w:ind w:firstLine="420"/>
      <w:jc w:val="left"/>
      <w:textAlignment w:val="baseline"/>
    </w:pPr>
    <w:rPr>
      <w:kern w:val="0"/>
      <w:sz w:val="21"/>
    </w:rPr>
  </w:style>
  <w:style w:type="paragraph" w:styleId="15">
    <w:name w:val="Body Text First Indent 2"/>
    <w:basedOn w:val="8"/>
    <w:next w:val="14"/>
    <w:autoRedefine/>
    <w:unhideWhenUsed/>
    <w:qFormat/>
    <w:uiPriority w:val="99"/>
    <w:pPr>
      <w:ind w:firstLine="420" w:firstLineChars="200"/>
    </w:pPr>
  </w:style>
  <w:style w:type="paragraph" w:customStyle="1" w:styleId="18">
    <w:name w:val="正文缩进1"/>
    <w:basedOn w:val="1"/>
    <w:autoRedefine/>
    <w:qFormat/>
    <w:uiPriority w:val="0"/>
    <w:pPr>
      <w:ind w:firstLine="420" w:firstLineChars="200"/>
    </w:pPr>
  </w:style>
  <w:style w:type="character" w:customStyle="1" w:styleId="19">
    <w:name w:val="font101"/>
    <w:basedOn w:val="17"/>
    <w:autoRedefine/>
    <w:qFormat/>
    <w:uiPriority w:val="0"/>
    <w:rPr>
      <w:rFonts w:hint="default" w:ascii="Times New Roman" w:hAnsi="Times New Roman" w:cs="Times New Roman"/>
      <w:color w:val="000000"/>
      <w:sz w:val="22"/>
      <w:szCs w:val="22"/>
      <w:u w:val="none"/>
    </w:rPr>
  </w:style>
  <w:style w:type="character" w:customStyle="1" w:styleId="20">
    <w:name w:val="font81"/>
    <w:basedOn w:val="17"/>
    <w:autoRedefine/>
    <w:qFormat/>
    <w:uiPriority w:val="0"/>
    <w:rPr>
      <w:rFonts w:hint="eastAsia" w:ascii="宋体" w:hAnsi="宋体" w:eastAsia="宋体" w:cs="宋体"/>
      <w:color w:val="000000"/>
      <w:sz w:val="22"/>
      <w:szCs w:val="22"/>
      <w:u w:val="none"/>
    </w:rPr>
  </w:style>
  <w:style w:type="character" w:customStyle="1" w:styleId="21">
    <w:name w:val="标题 1 Char"/>
    <w:link w:val="3"/>
    <w:autoRedefine/>
    <w:qFormat/>
    <w:uiPriority w:val="9"/>
    <w:rPr>
      <w:rFonts w:ascii="Times New Roman" w:hAnsi="Times New Roman" w:eastAsia="宋体"/>
      <w:b/>
      <w:bCs/>
      <w:kern w:val="44"/>
      <w:sz w:val="36"/>
      <w:szCs w:val="44"/>
    </w:rPr>
  </w:style>
  <w:style w:type="paragraph" w:customStyle="1" w:styleId="22">
    <w:name w:val="正文（缩进 2 字符）"/>
    <w:basedOn w:val="1"/>
    <w:autoRedefine/>
    <w:qFormat/>
    <w:uiPriority w:val="0"/>
    <w:pPr>
      <w:ind w:firstLine="20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1614</Words>
  <Characters>1660</Characters>
  <Lines>0</Lines>
  <Paragraphs>0</Paragraphs>
  <TotalTime>3</TotalTime>
  <ScaleCrop>false</ScaleCrop>
  <LinksUpToDate>false</LinksUpToDate>
  <CharactersWithSpaces>1972</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12229</dc:creator>
  <cp:lastModifiedBy>命運不堪浮華</cp:lastModifiedBy>
  <dcterms:modified xsi:type="dcterms:W3CDTF">2026-10-23T07:54:45Z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340FA0605D844F789EA5771F5DC0B2D3_13</vt:lpwstr>
  </property>
  <property fmtid="{D5CDD505-2E9C-101B-9397-08002B2CF9AE}" pid="4" name="KSOTemplateDocerSaveRecord">
    <vt:lpwstr>eyJoZGlkIjoiYmY0N2FlYmU3NmZjODExMDFlZWI2YWUwMDg4ZDgyZjQiLCJ1c2VySWQiOiIzMDQyNzUwNDgifQ==</vt:lpwstr>
  </property>
</Properties>
</file>