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版本号：WYZB-2026-05020260710001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富平县城区和镇区范围确定工作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WYZB-2026-050</w:t>
      </w:r>
      <w:r>
        <w:br/>
      </w:r>
      <w:r>
        <w:br/>
      </w:r>
      <w:r>
        <w:br/>
      </w:r>
    </w:p>
    <w:p>
      <w:pPr>
        <w:pStyle w:val="null3"/>
        <w:jc w:val="center"/>
        <w:outlineLvl w:val="2"/>
      </w:pPr>
      <w:r>
        <w:rPr>
          <w:rFonts w:ascii="仿宋_GB2312" w:hAnsi="仿宋_GB2312" w:cs="仿宋_GB2312" w:eastAsia="仿宋_GB2312"/>
          <w:sz w:val="28"/>
          <w:b/>
        </w:rPr>
        <w:t>富平县自然资源局（本级）</w:t>
      </w:r>
    </w:p>
    <w:p>
      <w:pPr>
        <w:pStyle w:val="null3"/>
        <w:jc w:val="center"/>
        <w:outlineLvl w:val="2"/>
      </w:pPr>
      <w:r>
        <w:rPr>
          <w:rFonts w:ascii="仿宋_GB2312" w:hAnsi="仿宋_GB2312" w:cs="仿宋_GB2312" w:eastAsia="仿宋_GB2312"/>
          <w:sz w:val="28"/>
          <w:b/>
        </w:rPr>
        <w:t>万远（陕西）国际招标代理有限公司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万远（陕西）国际招标代理有限公司</w:t>
      </w:r>
      <w:r>
        <w:rPr>
          <w:rFonts w:ascii="仿宋_GB2312" w:hAnsi="仿宋_GB2312" w:cs="仿宋_GB2312" w:eastAsia="仿宋_GB2312"/>
        </w:rPr>
        <w:t>（以下简称“代理机构”）受</w:t>
      </w:r>
      <w:r>
        <w:rPr>
          <w:rFonts w:ascii="仿宋_GB2312" w:hAnsi="仿宋_GB2312" w:cs="仿宋_GB2312" w:eastAsia="仿宋_GB2312"/>
        </w:rPr>
        <w:t>富平县自然资源局（本级）</w:t>
      </w:r>
      <w:r>
        <w:rPr>
          <w:rFonts w:ascii="仿宋_GB2312" w:hAnsi="仿宋_GB2312" w:cs="仿宋_GB2312" w:eastAsia="仿宋_GB2312"/>
        </w:rPr>
        <w:t>委托，拟对</w:t>
      </w:r>
      <w:r>
        <w:rPr>
          <w:rFonts w:ascii="仿宋_GB2312" w:hAnsi="仿宋_GB2312" w:cs="仿宋_GB2312" w:eastAsia="仿宋_GB2312"/>
        </w:rPr>
        <w:t>富平县城区和镇区范围确定工作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WYZB-2026-050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富平县城区和镇区范围确定工作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自然资源部办公厅关于深入推进城区和镇区范围确定工作的通知》（自然资办发〔2025〕21号）、《陕西省自然资源厅办公室关于组织做好城区和镇区范围确定工作的通知》（陕自然资办发〔2025〕233号）等文件精神，精准识别富平县镇区实体地域与对应镇区范围边界，构建城镇空间监测评估的基础数据体系，特开展本次富平县城区和镇区范围确定工作。此举既是落实市、县、镇级国土空间规划编制、实施与监督管理的核心前提，也为富平县优化城镇资源配置、推进新型城镇化建设、保障基础设施与公共服务设施精准落地提供空间坐标依据，对引导镇区合理发展、提升城镇治理效能具有重要现实意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采购包1（富平县城区和镇区范围确定工作）：属于专门面向中小企业采购。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2、企业资质：供应商须具备相关行政主管部门颁发的城乡规划编制乙级及以上或土地规划编制乙级及以上资质证书；项目负责人须具备相关专业中级及以上技术职称。</w:t>
      </w:r>
    </w:p>
    <w:p>
      <w:pPr>
        <w:pStyle w:val="null3"/>
      </w:pPr>
      <w:r>
        <w:rPr>
          <w:rFonts w:ascii="仿宋_GB2312" w:hAnsi="仿宋_GB2312" w:cs="仿宋_GB2312" w:eastAsia="仿宋_GB2312"/>
        </w:rPr>
        <w:t>3、财务状况报告：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4、税收缴纳证明：提供磋商截止日前六个月内任意一个月的纳税证明或完税证明（增值税、印花税、城市维护建设费、企业所得税等一种或多种税种），依法免税的单位提供相关证明材料。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5、社保缴纳证明：提供磋商截止日前六个月内任意一个月的社保资金缴纳证明，依法不需要缴纳社保资金的单位提供相关证明材料。</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7、无重大违法记录：参加本次政府采购活动前三年内在经营活动中没有重大违法记录的书面声明。</w:t>
      </w:r>
    </w:p>
    <w:p>
      <w:pPr>
        <w:pStyle w:val="null3"/>
      </w:pPr>
      <w:r>
        <w:rPr>
          <w:rFonts w:ascii="仿宋_GB2312" w:hAnsi="仿宋_GB2312" w:cs="仿宋_GB2312" w:eastAsia="仿宋_GB2312"/>
        </w:rPr>
        <w:t>8、法定代表人授权书/法定代表人身份证明：法定代表人授权书（附法定代表人、被授权人身份证复印件），法定代表人直接参加磋商，须提供法定代表人身份证明、法定代表人身份证复印件。</w:t>
      </w:r>
    </w:p>
    <w:p>
      <w:pPr>
        <w:pStyle w:val="null3"/>
      </w:pPr>
      <w:r>
        <w:rPr>
          <w:rFonts w:ascii="仿宋_GB2312" w:hAnsi="仿宋_GB2312" w:cs="仿宋_GB2312" w:eastAsia="仿宋_GB2312"/>
        </w:rPr>
        <w:t>9、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富平县自然资源局（本级）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富平县莲湖大街东段83号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党股长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13347451615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万远（陕西）国际招标代理有限公司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陕西省西安市雁塔区丈八街道唐延·九珺2号楼601室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权晓妹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17612935938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代理服务费收费标准：参照国家计委颁发的《招标代理服务收费管理暂行办法》（计价格[2002]1980号）和发改革颁发的《关于招标代理服务收费有关问题的通知》（发改办价格[2003] 857号）的有关规定，不足10000.00元按10000.00元计取，中标单位在领取中标通知书前，须向采购代理机构一次性支付招标代理服务费。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富平县自然资源局（本级）</w:t>
      </w:r>
      <w:r>
        <w:rPr>
          <w:rFonts w:ascii="仿宋_GB2312" w:hAnsi="仿宋_GB2312" w:cs="仿宋_GB2312" w:eastAsia="仿宋_GB2312"/>
        </w:rPr>
        <w:t>和</w:t>
      </w:r>
      <w:r>
        <w:rPr>
          <w:rFonts w:ascii="仿宋_GB2312" w:hAnsi="仿宋_GB2312" w:cs="仿宋_GB2312" w:eastAsia="仿宋_GB2312"/>
        </w:rPr>
        <w:t>万远（陕西）国际招标代理有限公司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富平县自然资源局（本级）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万远（陕西）国际招标代理有限公司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富平县自然资源局（本级）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万远（陕西）国际招标代理有限公司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万远（陕西）国际招标代理有限公司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联系人：权晓妹</w:t>
      </w:r>
    </w:p>
    <w:p>
      <w:pPr>
        <w:pStyle w:val="null3"/>
      </w:pPr>
      <w:r>
        <w:rPr>
          <w:rFonts w:ascii="仿宋_GB2312" w:hAnsi="仿宋_GB2312" w:cs="仿宋_GB2312" w:eastAsia="仿宋_GB2312"/>
        </w:rPr>
        <w:t>联系电话：17612935938</w:t>
      </w:r>
    </w:p>
    <w:p>
      <w:pPr>
        <w:pStyle w:val="null3"/>
      </w:pPr>
      <w:r>
        <w:rPr>
          <w:rFonts w:ascii="仿宋_GB2312" w:hAnsi="仿宋_GB2312" w:cs="仿宋_GB2312" w:eastAsia="仿宋_GB2312"/>
        </w:rPr>
        <w:t>地址：陕西省西安市雁塔区丈八街道唐延·九珺2号楼601室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为贯彻落实《自然资源部办公厅关于深入推进城区和镇区范围确定工作的通知》（自然资办发〔2025〕21号）、《陕西省自然资源厅办公室 关于组织做好城区和镇区范围确定工作的通知》（陕自然资办发〔2025〕233号）等文件精神，精准识别富平县镇区实体地域与对应镇区范围边界，构建城镇空间监测评估的基础数据体系，特开展本次富平县城区和镇区范围确定工作。此举既是落实市、县、镇级国土空间规划编制、实施与监督管理的核心前提，也为富平县优化城镇资源配置、推进新型城镇化建设、保障基础设施与公共服务设施精准落地提供空间坐标依据，对引导镇区合理发展、提升城镇治理效能具有重要现实意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富平县城区和镇区范围确定工作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标的名称：富平县城区和镇区范围确定工作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基本情况</w:t>
            </w:r>
          </w:p>
          <w:p>
            <w:pPr>
              <w:pStyle w:val="null3"/>
              <w:ind w:firstLine="480"/>
            </w:pPr>
            <w:r>
              <w:rPr>
                <w:rFonts w:ascii="仿宋_GB2312" w:hAnsi="仿宋_GB2312" w:cs="仿宋_GB2312" w:eastAsia="仿宋_GB2312"/>
                <w:sz w:val="24"/>
              </w:rPr>
              <w:t>为贯彻落实</w:t>
            </w:r>
            <w:r>
              <w:rPr>
                <w:rFonts w:ascii="仿宋_GB2312" w:hAnsi="仿宋_GB2312" w:cs="仿宋_GB2312" w:eastAsia="仿宋_GB2312"/>
                <w:sz w:val="24"/>
              </w:rPr>
              <w:t>《自然资源部办公厅关于深入推进城区和镇区范围确定工作的通知》（自然资办发〔</w:t>
            </w:r>
            <w:r>
              <w:rPr>
                <w:rFonts w:ascii="仿宋_GB2312" w:hAnsi="仿宋_GB2312" w:cs="仿宋_GB2312" w:eastAsia="仿宋_GB2312"/>
                <w:sz w:val="24"/>
              </w:rPr>
              <w:t>2025〕21号）、《陕西省自然资源厅办公室关于组织做好城区和镇区范围确定工作的通知》（陕自然资办发〔2025〕233号）</w:t>
            </w:r>
            <w:r>
              <w:rPr>
                <w:rFonts w:ascii="仿宋_GB2312" w:hAnsi="仿宋_GB2312" w:cs="仿宋_GB2312" w:eastAsia="仿宋_GB2312"/>
                <w:sz w:val="24"/>
              </w:rPr>
              <w:t>等文件精神，</w:t>
            </w:r>
            <w:r>
              <w:rPr>
                <w:rFonts w:ascii="仿宋_GB2312" w:hAnsi="仿宋_GB2312" w:cs="仿宋_GB2312" w:eastAsia="仿宋_GB2312"/>
                <w:sz w:val="24"/>
              </w:rPr>
              <w:t>精准识别富平县镇区实体地域与对应镇区范围边界，构建城镇空间监测评估的基础数据体系，特开展本次富平县城区和镇区范围确定工作。此举既是落实市、县、镇级国土空间规划编制、实施与监督管理的核心前提，也为富平县优化城镇资源配置、推进新型城镇化建设、保障基础设施与公共服务设施精准落地提供空间坐标依据，对引导镇区合理发展、提升城镇治理效能具有重要现实意义。</w:t>
            </w:r>
          </w:p>
          <w:p>
            <w:pPr>
              <w:pStyle w:val="null3"/>
            </w:pPr>
            <w:r>
              <w:rPr>
                <w:rFonts w:ascii="仿宋_GB2312" w:hAnsi="仿宋_GB2312" w:cs="仿宋_GB2312" w:eastAsia="仿宋_GB2312"/>
                <w:sz w:val="24"/>
                <w:b/>
              </w:rPr>
              <w:t>（二）服务期及服务地点</w:t>
            </w:r>
          </w:p>
          <w:p>
            <w:pPr>
              <w:pStyle w:val="null3"/>
              <w:ind w:firstLine="480"/>
            </w:pPr>
            <w:r>
              <w:rPr>
                <w:rFonts w:ascii="仿宋_GB2312" w:hAnsi="仿宋_GB2312" w:cs="仿宋_GB2312" w:eastAsia="仿宋_GB2312"/>
                <w:sz w:val="24"/>
              </w:rPr>
              <w:t>1、服务期：自合同签订之日起 90日历天。</w:t>
            </w:r>
          </w:p>
          <w:p>
            <w:pPr>
              <w:pStyle w:val="null3"/>
              <w:ind w:firstLine="480"/>
            </w:pPr>
            <w:r>
              <w:rPr>
                <w:rFonts w:ascii="仿宋_GB2312" w:hAnsi="仿宋_GB2312" w:cs="仿宋_GB2312" w:eastAsia="仿宋_GB2312"/>
                <w:sz w:val="24"/>
              </w:rPr>
              <w:t>2、服务地点：富平县</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供</w:t>
            </w:r>
            <w:r>
              <w:rPr>
                <w:rFonts w:ascii="仿宋_GB2312" w:hAnsi="仿宋_GB2312" w:cs="仿宋_GB2312" w:eastAsia="仿宋_GB2312"/>
                <w:sz w:val="24"/>
              </w:rPr>
              <w:t>应商应按照国家和省关于</w:t>
            </w:r>
            <w:r>
              <w:rPr>
                <w:rFonts w:ascii="仿宋_GB2312" w:hAnsi="仿宋_GB2312" w:cs="仿宋_GB2312" w:eastAsia="仿宋_GB2312"/>
                <w:sz w:val="24"/>
              </w:rPr>
              <w:t>城区和镇区范围确定</w:t>
            </w:r>
            <w:r>
              <w:rPr>
                <w:rFonts w:ascii="仿宋_GB2312" w:hAnsi="仿宋_GB2312" w:cs="仿宋_GB2312" w:eastAsia="仿宋_GB2312"/>
                <w:sz w:val="24"/>
              </w:rPr>
              <w:t>的相关技术标准和要求，结合富平县实际情况，开展</w:t>
            </w:r>
            <w:r>
              <w:rPr>
                <w:rFonts w:ascii="仿宋_GB2312" w:hAnsi="仿宋_GB2312" w:cs="仿宋_GB2312" w:eastAsia="仿宋_GB2312"/>
                <w:sz w:val="24"/>
              </w:rPr>
              <w:t>城区和镇区范围确定</w:t>
            </w:r>
            <w:r>
              <w:rPr>
                <w:rFonts w:ascii="仿宋_GB2312" w:hAnsi="仿宋_GB2312" w:cs="仿宋_GB2312" w:eastAsia="仿宋_GB2312"/>
                <w:sz w:val="24"/>
              </w:rPr>
              <w:t>工作，具体服务内容如下：</w:t>
            </w:r>
          </w:p>
          <w:p>
            <w:pPr>
              <w:pStyle w:val="null3"/>
              <w:numPr>
                <w:ilvl w:val="0"/>
                <w:numId w:val="1"/>
              </w:numPr>
              <w:jc w:val="both"/>
            </w:pPr>
            <w:r>
              <w:rPr>
                <w:rFonts w:ascii="仿宋_GB2312" w:hAnsi="仿宋_GB2312" w:cs="仿宋_GB2312" w:eastAsia="仿宋_GB2312"/>
                <w:sz w:val="24"/>
              </w:rPr>
              <w:t>数据准备</w:t>
            </w:r>
          </w:p>
          <w:p>
            <w:pPr>
              <w:pStyle w:val="null3"/>
              <w:ind w:firstLine="480"/>
              <w:jc w:val="both"/>
            </w:pPr>
            <w:r>
              <w:rPr>
                <w:rFonts w:ascii="仿宋_GB2312" w:hAnsi="仿宋_GB2312" w:cs="仿宋_GB2312" w:eastAsia="仿宋_GB2312"/>
                <w:sz w:val="24"/>
              </w:rPr>
              <w:t>收集整理</w:t>
            </w:r>
            <w:r>
              <w:rPr>
                <w:rFonts w:ascii="仿宋_GB2312" w:hAnsi="仿宋_GB2312" w:cs="仿宋_GB2312" w:eastAsia="仿宋_GB2312"/>
                <w:sz w:val="24"/>
              </w:rPr>
              <w:t>2021-2024年的年度国土变更调查数据、年度遥感影像数据、行政界线数据、基础设施与公共服务设施数据等基础资料。通过资料收集、现场踏勘、部门座谈等方式完成现状调研资料梳理，形成现状镇区底图与底数清单，开展镇区实体地域范围分析与确定。</w:t>
            </w:r>
          </w:p>
          <w:p>
            <w:pPr>
              <w:pStyle w:val="null3"/>
              <w:numPr>
                <w:ilvl w:val="0"/>
                <w:numId w:val="1"/>
              </w:numPr>
              <w:jc w:val="both"/>
            </w:pPr>
            <w:r>
              <w:rPr>
                <w:rFonts w:ascii="仿宋_GB2312" w:hAnsi="仿宋_GB2312" w:cs="仿宋_GB2312" w:eastAsia="仿宋_GB2312"/>
                <w:sz w:val="24"/>
              </w:rPr>
              <w:t>镇区初始范围确定</w:t>
            </w:r>
          </w:p>
          <w:p>
            <w:pPr>
              <w:pStyle w:val="null3"/>
              <w:ind w:firstLine="480"/>
              <w:jc w:val="both"/>
            </w:pPr>
            <w:r>
              <w:rPr>
                <w:rFonts w:ascii="仿宋_GB2312" w:hAnsi="仿宋_GB2312" w:cs="仿宋_GB2312" w:eastAsia="仿宋_GB2312"/>
                <w:sz w:val="24"/>
              </w:rPr>
              <w:t>确定镇区初始范围时，以自然资源主管部门核定的最新年度国土调查成果数据</w:t>
            </w:r>
            <w:r>
              <w:rPr>
                <w:rFonts w:ascii="仿宋_GB2312" w:hAnsi="仿宋_GB2312" w:cs="仿宋_GB2312" w:eastAsia="仿宋_GB2312"/>
                <w:sz w:val="24"/>
              </w:rPr>
              <w:t>(以下简称“国土调 查”)为基底，选取国土调查成果中城镇村属性码为202(建制镇)及202A(建制镇独立工业用地)的图斑数据所明确的空间范围作为镇区初始范围。以国土调查成果数据形成的镇区初始范围，完整使用，不做取舍。</w:t>
            </w:r>
          </w:p>
          <w:p>
            <w:pPr>
              <w:pStyle w:val="null3"/>
              <w:ind w:firstLine="480"/>
              <w:jc w:val="both"/>
            </w:pPr>
            <w:r>
              <w:rPr>
                <w:rFonts w:ascii="仿宋_GB2312" w:hAnsi="仿宋_GB2312" w:cs="仿宋_GB2312" w:eastAsia="仿宋_GB2312"/>
                <w:sz w:val="24"/>
              </w:rPr>
              <w:t>3、镇区实体地域范围确定</w:t>
            </w:r>
          </w:p>
          <w:p>
            <w:pPr>
              <w:pStyle w:val="null3"/>
              <w:ind w:firstLine="480"/>
              <w:jc w:val="both"/>
            </w:pPr>
            <w:r>
              <w:rPr>
                <w:rFonts w:ascii="仿宋_GB2312" w:hAnsi="仿宋_GB2312" w:cs="仿宋_GB2312" w:eastAsia="仿宋_GB2312"/>
                <w:sz w:val="24"/>
              </w:rPr>
              <w:t>以镇区初始范围为基础，依次判断向外延伸</w:t>
            </w:r>
            <w:r>
              <w:rPr>
                <w:rFonts w:ascii="仿宋_GB2312" w:hAnsi="仿宋_GB2312" w:cs="仿宋_GB2312" w:eastAsia="仿宋_GB2312"/>
                <w:sz w:val="24"/>
              </w:rPr>
              <w:t>100m 范围内(含与100m 范围相交)的图斑地类是否符合规定的镇区实体地物必选类别或候选类别。通过迭代分析、连接条件判断、人工确认、基础设施、公共服务设施判断、校核及修正、边界核查等步骤，逐步确定并更新镇区实体地域范围。</w:t>
            </w:r>
          </w:p>
          <w:p>
            <w:pPr>
              <w:pStyle w:val="null3"/>
              <w:ind w:firstLine="480"/>
              <w:jc w:val="both"/>
            </w:pPr>
            <w:r>
              <w:rPr>
                <w:rFonts w:ascii="仿宋_GB2312" w:hAnsi="仿宋_GB2312" w:cs="仿宋_GB2312" w:eastAsia="仿宋_GB2312"/>
                <w:sz w:val="24"/>
              </w:rPr>
              <w:t>4、镇区范围确定</w:t>
            </w:r>
          </w:p>
          <w:p>
            <w:pPr>
              <w:pStyle w:val="null3"/>
              <w:ind w:firstLine="480"/>
              <w:jc w:val="both"/>
            </w:pPr>
            <w:r>
              <w:rPr>
                <w:rFonts w:ascii="仿宋_GB2312" w:hAnsi="仿宋_GB2312" w:cs="仿宋_GB2312" w:eastAsia="仿宋_GB2312"/>
                <w:sz w:val="24"/>
              </w:rPr>
              <w:t>叠加镇区最小统计单元管辖范围数据和镇区实体地域范围，将镇政府所在地的最小统计单元直接纳入镇区范围，镇区实体地域范围所涉及的其他最小统计单元，按镇区实体地域范围图斑面积与所在最小统计单元内指定地类</w:t>
            </w:r>
            <w:r>
              <w:rPr>
                <w:rFonts w:ascii="仿宋_GB2312" w:hAnsi="仿宋_GB2312" w:cs="仿宋_GB2312" w:eastAsia="仿宋_GB2312"/>
                <w:sz w:val="24"/>
              </w:rPr>
              <w:t>(具体见下述)面积总和的比值大于或等于50%的最小统计单元纳入镇区范围。镇区范围与全国国土调查周期保持一致，基于自然资源主管部门核定的最近一次全国国土调查成果数据形成的镇区最小统计单元管辖范围和镇区实体地域范围，根据规定的步骤进行更新。</w:t>
            </w:r>
          </w:p>
          <w:p>
            <w:pPr>
              <w:pStyle w:val="null3"/>
              <w:ind w:firstLine="480"/>
              <w:jc w:val="both"/>
            </w:pPr>
            <w:r>
              <w:rPr>
                <w:rFonts w:ascii="仿宋_GB2312" w:hAnsi="仿宋_GB2312" w:cs="仿宋_GB2312" w:eastAsia="仿宋_GB2312"/>
                <w:sz w:val="24"/>
              </w:rPr>
              <w:t>5、成果整理与汇交</w:t>
            </w:r>
          </w:p>
          <w:p>
            <w:pPr>
              <w:pStyle w:val="null3"/>
              <w:ind w:firstLine="480"/>
              <w:jc w:val="both"/>
            </w:pPr>
            <w:r>
              <w:rPr>
                <w:rFonts w:ascii="仿宋_GB2312" w:hAnsi="仿宋_GB2312" w:cs="仿宋_GB2312" w:eastAsia="仿宋_GB2312"/>
                <w:sz w:val="24"/>
              </w:rPr>
              <w:t>按照相关规范要求、分年度（</w:t>
            </w:r>
            <w:r>
              <w:rPr>
                <w:rFonts w:ascii="仿宋_GB2312" w:hAnsi="仿宋_GB2312" w:cs="仿宋_GB2312" w:eastAsia="仿宋_GB2312"/>
                <w:sz w:val="24"/>
              </w:rPr>
              <w:t>2021-2024）共4年完成对应年度矢量数据、统计表格、报告、举证材料编制，确保成果通过审查、批复并汇交备案。</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）规划依据</w:t>
            </w:r>
          </w:p>
          <w:p>
            <w:pPr>
              <w:pStyle w:val="null3"/>
              <w:ind w:firstLine="480"/>
              <w:jc w:val="both"/>
            </w:pPr>
            <w:r>
              <w:rPr>
                <w:rFonts w:ascii="仿宋_GB2312" w:hAnsi="仿宋_GB2312" w:cs="仿宋_GB2312" w:eastAsia="仿宋_GB2312"/>
                <w:sz w:val="24"/>
              </w:rPr>
              <w:t>本项目编制应遵循以下主要法律法规、政策文件及技术规范：</w:t>
            </w:r>
          </w:p>
          <w:p>
            <w:pPr>
              <w:pStyle w:val="null3"/>
              <w:ind w:firstLine="480"/>
              <w:jc w:val="both"/>
            </w:pPr>
            <w:r>
              <w:rPr>
                <w:rFonts w:ascii="仿宋_GB2312" w:hAnsi="仿宋_GB2312" w:cs="仿宋_GB2312" w:eastAsia="仿宋_GB2312"/>
                <w:sz w:val="24"/>
              </w:rPr>
              <w:t>1、法律法规：</w:t>
            </w:r>
          </w:p>
          <w:p>
            <w:pPr>
              <w:pStyle w:val="null3"/>
              <w:ind w:firstLine="7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《中华人民共和国土地管理法》（</w:t>
            </w:r>
            <w:r>
              <w:rPr>
                <w:rFonts w:ascii="仿宋_GB2312" w:hAnsi="仿宋_GB2312" w:cs="仿宋_GB2312" w:eastAsia="仿宋_GB2312"/>
                <w:sz w:val="24"/>
              </w:rPr>
              <w:t>2019年修正）；</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《中华人民共和国城乡规划法》（</w:t>
            </w:r>
            <w:r>
              <w:rPr>
                <w:rFonts w:ascii="仿宋_GB2312" w:hAnsi="仿宋_GB2312" w:cs="仿宋_GB2312" w:eastAsia="仿宋_GB2312"/>
                <w:sz w:val="24"/>
              </w:rPr>
              <w:t>2019年修正）；</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《中华人民共和国政府采购法》及其实施条例等。</w:t>
            </w:r>
          </w:p>
          <w:p>
            <w:pPr>
              <w:pStyle w:val="null3"/>
              <w:ind w:firstLine="480"/>
              <w:jc w:val="both"/>
            </w:pPr>
            <w:r>
              <w:rPr>
                <w:rFonts w:ascii="仿宋_GB2312" w:hAnsi="仿宋_GB2312" w:cs="仿宋_GB2312" w:eastAsia="仿宋_GB2312"/>
                <w:sz w:val="24"/>
              </w:rPr>
              <w:t>2、国家层面政策文件：</w:t>
            </w:r>
          </w:p>
          <w:p>
            <w:pPr>
              <w:pStyle w:val="null3"/>
              <w:ind w:firstLine="720"/>
              <w:jc w:val="both"/>
            </w:pPr>
            <w:r>
              <w:rPr>
                <w:rFonts w:ascii="仿宋_GB2312" w:hAnsi="仿宋_GB2312" w:cs="仿宋_GB2312" w:eastAsia="仿宋_GB2312"/>
                <w:sz w:val="24"/>
              </w:rPr>
              <w:t>1)《自然资源部办公厅关于深入推进城区和镇区范围确定工作的通知》（自然资办发〔2025〕21号）；</w:t>
            </w:r>
          </w:p>
          <w:p>
            <w:pPr>
              <w:pStyle w:val="null3"/>
              <w:ind w:firstLine="720"/>
              <w:jc w:val="both"/>
            </w:pPr>
            <w:r>
              <w:rPr>
                <w:rFonts w:ascii="仿宋_GB2312" w:hAnsi="仿宋_GB2312" w:cs="仿宋_GB2312" w:eastAsia="仿宋_GB2312"/>
                <w:sz w:val="24"/>
              </w:rPr>
              <w:t>2)自然资源部国土卫星遥感应用中心关于印发《城区范围确定相关工作问题及解答情况汇总》等文件的函（国土卫星函〔2025〕170号）；</w:t>
            </w:r>
          </w:p>
          <w:p>
            <w:pPr>
              <w:pStyle w:val="null3"/>
              <w:ind w:firstLine="720"/>
              <w:jc w:val="both"/>
            </w:pPr>
            <w:r>
              <w:rPr>
                <w:rFonts w:ascii="仿宋_GB2312" w:hAnsi="仿宋_GB2312" w:cs="仿宋_GB2312" w:eastAsia="仿宋_GB2312"/>
                <w:sz w:val="24"/>
              </w:rPr>
              <w:t>3)《镇区范围确定规程》（TD/T1094—2024）；</w:t>
            </w:r>
          </w:p>
          <w:p>
            <w:pPr>
              <w:pStyle w:val="null3"/>
              <w:ind w:firstLine="720"/>
              <w:jc w:val="both"/>
            </w:pPr>
            <w:r>
              <w:rPr>
                <w:rFonts w:ascii="仿宋_GB2312" w:hAnsi="仿宋_GB2312" w:cs="仿宋_GB2312" w:eastAsia="仿宋_GB2312"/>
                <w:sz w:val="24"/>
              </w:rPr>
              <w:t>4)《第三次全国国土调查技术规程》（TD/T1055—2019）；</w:t>
            </w:r>
          </w:p>
          <w:p>
            <w:pPr>
              <w:pStyle w:val="null3"/>
              <w:ind w:firstLine="720"/>
              <w:jc w:val="both"/>
            </w:pPr>
            <w:r>
              <w:rPr>
                <w:rFonts w:ascii="仿宋_GB2312" w:hAnsi="仿宋_GB2312" w:cs="仿宋_GB2312" w:eastAsia="仿宋_GB2312"/>
                <w:sz w:val="24"/>
              </w:rPr>
              <w:t>5)《国土空间调查、规划、用途管制用地用海分类指南》(2023年）；</w:t>
            </w:r>
          </w:p>
          <w:p>
            <w:pPr>
              <w:pStyle w:val="null3"/>
              <w:ind w:firstLine="480"/>
              <w:jc w:val="both"/>
            </w:pPr>
            <w:r>
              <w:rPr>
                <w:rFonts w:ascii="仿宋_GB2312" w:hAnsi="仿宋_GB2312" w:cs="仿宋_GB2312" w:eastAsia="仿宋_GB2312"/>
                <w:sz w:val="24"/>
              </w:rPr>
              <w:t>3、省级技术文件：</w:t>
            </w:r>
          </w:p>
          <w:p>
            <w:pPr>
              <w:pStyle w:val="null3"/>
              <w:ind w:firstLine="7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《陕西省自然资源厅办公室关于组织做好城区和镇区范围确定工作的通知》（陕自然资办发〔</w:t>
            </w:r>
            <w:r>
              <w:rPr>
                <w:rFonts w:ascii="仿宋_GB2312" w:hAnsi="仿宋_GB2312" w:cs="仿宋_GB2312" w:eastAsia="仿宋_GB2312"/>
                <w:sz w:val="24"/>
              </w:rPr>
              <w:t>2025〕233号）</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）成果提交</w:t>
            </w:r>
          </w:p>
          <w:p>
            <w:pPr>
              <w:pStyle w:val="null3"/>
              <w:ind w:firstLine="480"/>
              <w:jc w:val="both"/>
            </w:pPr>
            <w:r>
              <w:rPr>
                <w:rFonts w:ascii="仿宋_GB2312" w:hAnsi="仿宋_GB2312" w:cs="仿宋_GB2312" w:eastAsia="仿宋_GB2312"/>
                <w:sz w:val="24"/>
              </w:rPr>
              <w:t>供应商应提交的成果包括但不限于以下内容：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2021年成果数据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矢量数据：镇区初始范围矢量数据、镇区实体地域范围矢</w:t>
            </w:r>
            <w:r>
              <w:rPr>
                <w:rFonts w:ascii="仿宋_GB2312" w:hAnsi="仿宋_GB2312" w:cs="仿宋_GB2312" w:eastAsia="仿宋_GB2312"/>
                <w:sz w:val="24"/>
              </w:rPr>
              <w:t>量数据、镇区范围矢量数据、最小统计单元矢量数据、涉及镇区实体地域范围边界的最小统计单元地类图斑矢量数据、街道</w:t>
            </w:r>
            <w:r>
              <w:rPr>
                <w:rFonts w:ascii="仿宋_GB2312" w:hAnsi="仿宋_GB2312" w:cs="仿宋_GB2312" w:eastAsia="仿宋_GB2312"/>
                <w:sz w:val="24"/>
              </w:rPr>
              <w:t>1乡镇级行政界线等。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表格数据：镇区实体地域范围所涉及的镇区最小统计单元</w:t>
            </w:r>
            <w:r>
              <w:rPr>
                <w:rFonts w:ascii="仿宋_GB2312" w:hAnsi="仿宋_GB2312" w:cs="仿宋_GB2312" w:eastAsia="仿宋_GB2312"/>
                <w:sz w:val="24"/>
              </w:rPr>
              <w:t>的面积数据表</w:t>
            </w:r>
            <w:r>
              <w:rPr>
                <w:rFonts w:ascii="仿宋_GB2312" w:hAnsi="仿宋_GB2312" w:cs="仿宋_GB2312" w:eastAsia="仿宋_GB2312"/>
                <w:sz w:val="24"/>
              </w:rPr>
              <w:t>(总面积、指定地类面积、实体地域面积)、市政公用设施和公共服务设施统计表。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市政公用设施及公共服务设施数据：可以是矢量数据</w:t>
            </w:r>
            <w:r>
              <w:rPr>
                <w:rFonts w:ascii="仿宋_GB2312" w:hAnsi="仿宋_GB2312" w:cs="仿宋_GB2312" w:eastAsia="仿宋_GB2312"/>
                <w:sz w:val="24"/>
              </w:rPr>
              <w:t>(市 政公用设施和公共服务设施的分布总图)、栅格数据、调查表等 形式，并附简要文字说明。</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举证材料：作为特殊情况纳入镇区实体地域范围的独立型</w:t>
            </w:r>
            <w:r>
              <w:rPr>
                <w:rFonts w:ascii="仿宋_GB2312" w:hAnsi="仿宋_GB2312" w:cs="仿宋_GB2312" w:eastAsia="仿宋_GB2312"/>
                <w:sz w:val="24"/>
              </w:rPr>
              <w:t>城镇区域、重大交通基础设施、已建成的服务镇区的市政公用设</w:t>
            </w:r>
            <w:r>
              <w:rPr>
                <w:rFonts w:ascii="仿宋_GB2312" w:hAnsi="仿宋_GB2312" w:cs="仿宋_GB2312" w:eastAsia="仿宋_GB2312"/>
                <w:sz w:val="24"/>
              </w:rPr>
              <w:t>施和公共服务设施、具有历史文化遗产保护、守边固边等重要功</w:t>
            </w:r>
            <w:r>
              <w:rPr>
                <w:rFonts w:ascii="仿宋_GB2312" w:hAnsi="仿宋_GB2312" w:cs="仿宋_GB2312" w:eastAsia="仿宋_GB2312"/>
                <w:sz w:val="24"/>
              </w:rPr>
              <w:t>能的图斑等均需提交举证材料。</w:t>
            </w:r>
          </w:p>
          <w:p>
            <w:pPr>
              <w:pStyle w:val="null3"/>
              <w:ind w:firstLine="480"/>
              <w:jc w:val="both"/>
            </w:pPr>
            <w:r>
              <w:rPr>
                <w:rFonts w:ascii="仿宋_GB2312" w:hAnsi="仿宋_GB2312" w:cs="仿宋_GB2312" w:eastAsia="仿宋_GB2312"/>
                <w:sz w:val="24"/>
              </w:rPr>
              <w:t>5）镇区范围确定报告：包括总体结论、镇区实体地域确定、镇区初始范围、镇区实体地域范围、镇区范围确定、等内容问题和建议。</w:t>
            </w:r>
          </w:p>
          <w:p>
            <w:pPr>
              <w:pStyle w:val="null3"/>
              <w:ind w:firstLine="482"/>
              <w:jc w:val="both"/>
            </w:pPr>
            <w:r>
              <w:rPr>
                <w:rFonts w:ascii="仿宋_GB2312" w:hAnsi="仿宋_GB2312" w:cs="仿宋_GB2312" w:eastAsia="仿宋_GB2312"/>
                <w:sz w:val="24"/>
                <w:b/>
              </w:rPr>
              <w:t>2、2022-2024年成果数据</w:t>
            </w:r>
          </w:p>
          <w:p>
            <w:pPr>
              <w:pStyle w:val="null3"/>
              <w:ind w:firstLine="480"/>
              <w:jc w:val="both"/>
            </w:pPr>
            <w:r>
              <w:rPr>
                <w:rFonts w:ascii="仿宋_GB2312" w:hAnsi="仿宋_GB2312" w:cs="仿宋_GB2312" w:eastAsia="仿宋_GB2312"/>
                <w:sz w:val="24"/>
              </w:rPr>
              <w:t>1)矢量数据：镇区初始范围矢量数据、镇区实体地域范围矢 量数据、镇区实体地域范围增加图斑矢量数据、镇区实体地域范 围减少图斑矢量数据等。</w:t>
            </w:r>
          </w:p>
          <w:p>
            <w:pPr>
              <w:pStyle w:val="null3"/>
              <w:ind w:firstLine="480"/>
              <w:jc w:val="both"/>
            </w:pPr>
            <w:r>
              <w:rPr>
                <w:rFonts w:ascii="仿宋_GB2312" w:hAnsi="仿宋_GB2312" w:cs="仿宋_GB2312" w:eastAsia="仿宋_GB2312"/>
                <w:sz w:val="24"/>
              </w:rPr>
              <w:t>2)表格数据：镇区实体地域范围所涉及最小统计单元的市政 公用设施和公共服务设施统计表。</w:t>
            </w:r>
          </w:p>
          <w:p>
            <w:pPr>
              <w:pStyle w:val="null3"/>
              <w:ind w:firstLine="480"/>
              <w:jc w:val="both"/>
            </w:pPr>
            <w:r>
              <w:rPr>
                <w:rFonts w:ascii="仿宋_GB2312" w:hAnsi="仿宋_GB2312" w:cs="仿宋_GB2312" w:eastAsia="仿宋_GB2312"/>
                <w:sz w:val="24"/>
              </w:rPr>
              <w:t>3)举证材料：作为特殊情况纳入镇区实体地域范围的独立型 城镇区域、重大交通基础设施、已建成的服务镇区的市政公用设 施和公共服务设施、具有历史文化遗产保护、守边固边等重要功 能的图斑等均需提交举证材料。</w:t>
            </w:r>
          </w:p>
          <w:p>
            <w:pPr>
              <w:pStyle w:val="null3"/>
              <w:ind w:firstLine="480"/>
              <w:jc w:val="both"/>
            </w:pPr>
            <w:r>
              <w:rPr>
                <w:rFonts w:ascii="仿宋_GB2312" w:hAnsi="仿宋_GB2312" w:cs="仿宋_GB2312" w:eastAsia="仿宋_GB2312"/>
                <w:sz w:val="24"/>
              </w:rPr>
              <w:t>4）镇区范围确定报告：包括总体结论、镇区实体地域确定、镇区初始范围、镇区实体地域范围、镇区范围确定、等内容问题和建议。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配备足够的专业设备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进度款，第一期在成果提交至主管部门验收后，达到付款条件起15个工作日内，支付合同总金额的40.0%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进度款，乙方完成成果文件并上报陕西省自然资源厅，并经陕西省自然资源厅核查确认通过后，达到付款条件起15个工作日内，支付合同总金额的60.0%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供应商须具备相关行政主管部门颁发的城乡规划编制乙级及以上或土地规划编制乙级及以上资质证书；项目负责人须具备相关专业中级及以上技术职称。</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提供磋商截止日前六个月内任意一个月的社保资金缴纳证明，依法不需要缴纳社保资金的单位提供相关证明材料。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法定代表人授权书（附法定代表人、被授权人身份证复印件），法定代表人直接参加磋商，须提供法定代表人身份证明、法定代表人身份证复印件。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磋商响应文件上法定代表人或其委托代理人的签字按规定要求齐全，并加盖单位公章</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商务应答表 服务内容及服务要求应答表 标的清单 响应函 资格证明文件.pdf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只能有一个有效报价，不得提交选择性报价，且报价不超过采购预算金额和最高限价。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投标文件内容齐全、完整、无遗漏</w:t>
            </w:r>
          </w:p>
        </w:tc>
        <w:tc>
          <w:tcPr>
            <w:tcW w:type="dxa" w:w="1661"/>
          </w:tcPr>
          <w:p>
            <w:pPr>
              <w:pStyle w:val="null3"/>
            </w:pPr>
            <w:r>
              <w:rPr>
                <w:rFonts w:ascii="仿宋_GB2312" w:hAnsi="仿宋_GB2312" w:cs="仿宋_GB2312" w:eastAsia="仿宋_GB2312"/>
              </w:rPr>
              <w:t>响应文件封面 供应商参加政府采购活动承诺书.docx 中小企业声明函 残疾人福利性单位声明函 商务应答表 服务内容及服务要求应答表 标的清单 响应函 资格证明文件.pdf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项目采购需求分析</w:t>
            </w:r>
          </w:p>
        </w:tc>
        <w:tc>
          <w:tcPr>
            <w:tcW w:type="dxa" w:w="2492"/>
          </w:tcPr>
          <w:p>
            <w:pPr>
              <w:pStyle w:val="null3"/>
            </w:pPr>
            <w:r>
              <w:rPr>
                <w:rFonts w:ascii="仿宋_GB2312" w:hAnsi="仿宋_GB2312" w:cs="仿宋_GB2312" w:eastAsia="仿宋_GB2312"/>
              </w:rPr>
              <w:t>一、评审内容针对本项目提供项目采购需求分析，包括但不限于①对工作内容理解；②对项目重点难点分析；③重难点工作解决方案。 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针对本项目提供总体实施方案，包括但不限于①工作思路；②项目编制的依据；③针对服务内容所需的具体方案；④项目工作成果。二、评审依据各项内容全面详细、阐述条理清晰详尽、符合本项目采购需求，能有效保障本项目实施的得16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项目进度计划及质量保障措施</w:t>
            </w:r>
          </w:p>
        </w:tc>
        <w:tc>
          <w:tcPr>
            <w:tcW w:type="dxa" w:w="2492"/>
          </w:tcPr>
          <w:p>
            <w:pPr>
              <w:pStyle w:val="null3"/>
            </w:pPr>
            <w:r>
              <w:rPr>
                <w:rFonts w:ascii="仿宋_GB2312" w:hAnsi="仿宋_GB2312" w:cs="仿宋_GB2312" w:eastAsia="仿宋_GB2312"/>
              </w:rPr>
              <w:t>一、评审内容针对本项目提供项目进度计划及质量保障措施，包括但不限于①项目进度计划安排；②项目进度保障措施；③服务质量保障措施；二、评审依据各项内容全面详细、阐述条理清晰详尽、符合本项目采购需求，能有效保障本项目实施的得12分，每有一项内容存在缺陷，扣1-4分，扣完为止。未提供不得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1、服务团队：①实施团队人员配备7人及以上得 9分；②实施团队人员配 备4-6人得6分；③实施团队人员配备1-3人得 3分。需提供佐证材料，包括但不限于身份证、毕业证、岗位证等，本项最高得9分，未提供不得分。 2、服务团队人员（不包含项目负责人）每具有一个相关专业中级职称得1 分，相关专业高级职称得 2分，本项最多得6分， 需提供佐证材料，未提供不得分。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①拟派项目负责人具备注册城乡规划师执业资格得3分；具有城乡规划或土地规划相关专业高级工程师的得2分，不满足不得分。 ②拟派项目负责人具有2023年7月1日起至今类似项目业绩，每提供1个业绩得2.5分，最多得10分。 说明：需按要求提供拟派项目负责人的(不限)职称证、业绩及2026年至今任意三个月在本单位的社保缴纳证明等证明材料(符合评审要求即可)，无法直接体现的可进行佐证材料补充。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供应商提供2023年7月1日至今所完成的类似项目业绩的，每提供一项得5分，最高得10分。注：①日期以合同签订之日为准；②证明材料须提供项目完整合同复印件并加盖公章。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采购文件要求，通过资格审查且在规定时间内提交最终报价的为有效报价；价格最低的磋商总报价为评审基准价，其价格分为满分。其他供应商的价格分统一按照下列公式计算：磋商报价得分=（评审基准价/磋商总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