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版本号：DCZX2026-ZCCS-GC108420260812001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排水改造及厨房改造项目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DCZX2026-ZCCS-GC1084</w:t>
      </w:r>
      <w:r>
        <w:br/>
      </w:r>
      <w:r>
        <w:br/>
      </w:r>
      <w:r>
        <w:br/>
      </w:r>
    </w:p>
    <w:p>
      <w:pPr>
        <w:pStyle w:val="null3"/>
        <w:jc w:val="center"/>
        <w:outlineLvl w:val="2"/>
      </w:pPr>
      <w:r>
        <w:rPr>
          <w:rFonts w:ascii="仿宋_GB2312" w:hAnsi="仿宋_GB2312" w:cs="仿宋_GB2312" w:eastAsia="仿宋_GB2312"/>
          <w:sz w:val="28"/>
          <w:b/>
        </w:rPr>
        <w:t>西安高新区第五十三幼儿园</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西安高新区第五十三幼儿园</w:t>
      </w:r>
      <w:r>
        <w:rPr>
          <w:rFonts w:ascii="仿宋_GB2312" w:hAnsi="仿宋_GB2312" w:cs="仿宋_GB2312" w:eastAsia="仿宋_GB2312"/>
        </w:rPr>
        <w:t>委托，拟对</w:t>
      </w:r>
      <w:r>
        <w:rPr>
          <w:rFonts w:ascii="仿宋_GB2312" w:hAnsi="仿宋_GB2312" w:cs="仿宋_GB2312" w:eastAsia="仿宋_GB2312"/>
        </w:rPr>
        <w:t>排水改造及厨房改造项目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DCZX2026-ZCCS-GC1084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排水改造及厨房改造项目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西安高新区第五十三幼儿园排水改造及厨房改造项目，具体详见图纸及工程量清单。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采购包1（排水改造及厨房改造）：属于专门面向中小企业采购。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1、法定代表人授权书：法定代表人授权书（法定代表人直接参加投标，须提供法定代表人身份证明）；</w:t>
      </w:r>
    </w:p>
    <w:p>
      <w:pPr>
        <w:pStyle w:val="null3"/>
      </w:pPr>
      <w:r>
        <w:rPr>
          <w:rFonts w:ascii="仿宋_GB2312" w:hAnsi="仿宋_GB2312" w:cs="仿宋_GB2312" w:eastAsia="仿宋_GB2312"/>
        </w:rPr>
        <w:t>2、企业资质：投标供应商须具备行业主管部门颁发的建筑装修装饰工程专业承包二级及以上资质并具有有效的安全生产许可证；</w:t>
      </w:r>
    </w:p>
    <w:p>
      <w:pPr>
        <w:pStyle w:val="null3"/>
      </w:pPr>
      <w:r>
        <w:rPr>
          <w:rFonts w:ascii="仿宋_GB2312" w:hAnsi="仿宋_GB2312" w:cs="仿宋_GB2312" w:eastAsia="仿宋_GB2312"/>
        </w:rPr>
        <w:t>3、项目经理资质：投标供应商拟派项目经理须具备行业主管部门颁发的建筑工程专业二级及以上注册建造师资质及有效的B类安全生产考核合格证书（建安B证），在本单位注册且无在建工程；</w:t>
      </w:r>
    </w:p>
    <w:p>
      <w:pPr>
        <w:pStyle w:val="null3"/>
      </w:pPr>
      <w:r>
        <w:rPr>
          <w:rFonts w:ascii="仿宋_GB2312" w:hAnsi="仿宋_GB2312" w:cs="仿宋_GB2312" w:eastAsia="仿宋_GB2312"/>
        </w:rPr>
        <w:t>4、投标供应商基本信息及项目经理基本信息：投标供应商基本信息及项目经理基本信息应在“陕西建设网（http://js.shaanxi.gov.cn/ ）或陕西省建筑市场监管与诚信信息发布平台”可查询；</w:t>
      </w:r>
    </w:p>
    <w:p>
      <w:pPr>
        <w:pStyle w:val="null3"/>
      </w:pPr>
      <w:r>
        <w:rPr>
          <w:rFonts w:ascii="仿宋_GB2312" w:hAnsi="仿宋_GB2312" w:cs="仿宋_GB2312" w:eastAsia="仿宋_GB2312"/>
        </w:rPr>
        <w:t>5、承诺：投标供应商不得在各级诚信信息平台被列为投标受限制的行为人（提供承诺）；</w:t>
      </w:r>
    </w:p>
    <w:p>
      <w:pPr>
        <w:pStyle w:val="null3"/>
      </w:pPr>
      <w:r>
        <w:rPr>
          <w:rFonts w:ascii="仿宋_GB2312" w:hAnsi="仿宋_GB2312" w:cs="仿宋_GB2312" w:eastAsia="仿宋_GB2312"/>
        </w:rPr>
        <w:t>6、联合体投标：本项目不接受联合体投标，单位负责人为同一人或者存在直接控股、管理关系的不同供应商，不得参加同一合同项下的政府采购活动；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7、中小企业声明函：本项目专门面向中小企业采购，仅限符合《政府采购促进中小企业发展管理办法》的通知(财库〔2020〕46 号) 条件的中小企业参与，并提供中小企业声明函，残疾人福利企业、监狱企业视同中小企业。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西安高新区第五十三幼儿园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西安市高新技术产业开发区云上路北，兴隆鑫苑小区内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029-81145068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胡丽珠、刘玮哲、彭宏飞、潘娟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采购包1：699,237.78元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代理服务费收费标准：1、参照《招标代理服务收费管理暂行办法》（计价格[2002]1980号）和《关于招标代理服务收费有关问题的通知》(发改办价格[2003]857号）的有关规定执行。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开户银行：中国民生银行股份有限公司西安高新科技支行；账号：171277297 （备注：项目名称+项目编号） 3、成交供应商在领取成交通知书时须携带法定代表人授权书及加盖单位公章的被授权人身份证复印件。</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西安高新区第五十三幼儿园</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西安高新区第五十三幼儿园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西安高新区第五十三幼儿园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采购⼈对合同约定的全部内容享有完全的知识产权及所有权。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联系人：胡丽珠</w:t>
      </w:r>
    </w:p>
    <w:p>
      <w:pPr>
        <w:pStyle w:val="null3"/>
      </w:pPr>
      <w:r>
        <w:rPr>
          <w:rFonts w:ascii="仿宋_GB2312" w:hAnsi="仿宋_GB2312" w:cs="仿宋_GB2312" w:eastAsia="仿宋_GB2312"/>
        </w:rPr>
        <w:t>联系电话：0269-81773523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699,237.78</w:t>
      </w:r>
    </w:p>
    <w:p>
      <w:pPr>
        <w:pStyle w:val="null3"/>
      </w:pPr>
      <w:r>
        <w:rPr>
          <w:rFonts w:ascii="仿宋_GB2312" w:hAnsi="仿宋_GB2312" w:cs="仿宋_GB2312" w:eastAsia="仿宋_GB2312"/>
        </w:rPr>
        <w:t>采购包最高限价（元）: 699,237.78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排水改造及厨房改造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699,237.78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标的名称：排水改造及厨房改造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一、计划工期</w:t>
            </w:r>
            <w:r>
              <w:rPr>
                <w:rFonts w:ascii="仿宋_GB2312" w:hAnsi="仿宋_GB2312" w:cs="仿宋_GB2312" w:eastAsia="仿宋_GB2312"/>
              </w:rPr>
              <w:t>：</w:t>
            </w:r>
          </w:p>
          <w:p>
            <w:pPr>
              <w:pStyle w:val="null3"/>
            </w:pPr>
            <w:r>
              <w:rPr>
                <w:rFonts w:ascii="仿宋_GB2312" w:hAnsi="仿宋_GB2312" w:cs="仿宋_GB2312" w:eastAsia="仿宋_GB2312"/>
              </w:rPr>
              <w:t xml:space="preserve"> </w:t>
            </w:r>
            <w:r>
              <w:rPr>
                <w:rFonts w:ascii="仿宋_GB2312" w:hAnsi="仿宋_GB2312" w:cs="仿宋_GB2312" w:eastAsia="仿宋_GB2312"/>
              </w:rPr>
              <w:t>120</w:t>
            </w:r>
            <w:r>
              <w:rPr>
                <w:rFonts w:ascii="仿宋_GB2312" w:hAnsi="仿宋_GB2312" w:cs="仿宋_GB2312" w:eastAsia="仿宋_GB2312"/>
              </w:rPr>
              <w:t>日历天。</w:t>
            </w:r>
          </w:p>
          <w:p>
            <w:pPr>
              <w:pStyle w:val="null3"/>
            </w:pPr>
            <w:r>
              <w:rPr>
                <w:rFonts w:ascii="仿宋_GB2312" w:hAnsi="仿宋_GB2312" w:cs="仿宋_GB2312" w:eastAsia="仿宋_GB2312"/>
                <w:b/>
              </w:rPr>
              <w:t>二、质保期：</w:t>
            </w:r>
          </w:p>
          <w:p>
            <w:pPr>
              <w:pStyle w:val="null3"/>
            </w:pPr>
            <w:r>
              <w:rPr>
                <w:rFonts w:ascii="仿宋_GB2312" w:hAnsi="仿宋_GB2312" w:cs="仿宋_GB2312" w:eastAsia="仿宋_GB2312"/>
              </w:rPr>
              <w:t>1、基础设施工程、房屋建筑的地基基础工程和主体结构工程，为设计文件规定的该工程的合理使用年限。</w:t>
            </w:r>
          </w:p>
          <w:p>
            <w:pPr>
              <w:pStyle w:val="null3"/>
            </w:pPr>
            <w:r>
              <w:rPr>
                <w:rFonts w:ascii="仿宋_GB2312" w:hAnsi="仿宋_GB2312" w:cs="仿宋_GB2312" w:eastAsia="仿宋_GB2312"/>
              </w:rPr>
              <w:t>2、屋面防水工程、有防水要求的卫生间、房间和外墙面的防渗漏，为5年。</w:t>
            </w:r>
          </w:p>
          <w:p>
            <w:pPr>
              <w:pStyle w:val="null3"/>
            </w:pPr>
            <w:r>
              <w:rPr>
                <w:rFonts w:ascii="仿宋_GB2312" w:hAnsi="仿宋_GB2312" w:cs="仿宋_GB2312" w:eastAsia="仿宋_GB2312"/>
              </w:rPr>
              <w:t>3、电气管线、给排水管道、设备安装和装修工程，为2年。</w:t>
            </w:r>
          </w:p>
          <w:p>
            <w:pPr>
              <w:pStyle w:val="null3"/>
            </w:pPr>
            <w:r>
              <w:rPr>
                <w:rFonts w:ascii="仿宋_GB2312" w:hAnsi="仿宋_GB2312" w:cs="仿宋_GB2312" w:eastAsia="仿宋_GB2312"/>
                <w:b/>
              </w:rPr>
              <w:t>三、缺陷责任期：</w:t>
            </w:r>
          </w:p>
          <w:p>
            <w:pPr>
              <w:pStyle w:val="null3"/>
            </w:pPr>
            <w:r>
              <w:rPr>
                <w:rFonts w:ascii="仿宋_GB2312" w:hAnsi="仿宋_GB2312" w:cs="仿宋_GB2312" w:eastAsia="仿宋_GB2312"/>
              </w:rPr>
              <w:t>自</w:t>
            </w:r>
            <w:r>
              <w:rPr>
                <w:rFonts w:ascii="仿宋_GB2312" w:hAnsi="仿宋_GB2312" w:cs="仿宋_GB2312" w:eastAsia="仿宋_GB2312"/>
              </w:rPr>
              <w:t>竣工验收之日起</w:t>
            </w:r>
            <w:r>
              <w:rPr>
                <w:rFonts w:ascii="仿宋_GB2312" w:hAnsi="仿宋_GB2312" w:cs="仿宋_GB2312" w:eastAsia="仿宋_GB2312"/>
              </w:rPr>
              <w:t xml:space="preserve"> </w:t>
            </w:r>
            <w:r>
              <w:rPr>
                <w:rFonts w:ascii="仿宋_GB2312" w:hAnsi="仿宋_GB2312" w:cs="仿宋_GB2312" w:eastAsia="仿宋_GB2312"/>
              </w:rPr>
              <w:t>1 年。</w:t>
            </w:r>
          </w:p>
          <w:p>
            <w:pPr>
              <w:pStyle w:val="null3"/>
            </w:pPr>
            <w:r>
              <w:rPr>
                <w:rFonts w:ascii="仿宋_GB2312" w:hAnsi="仿宋_GB2312" w:cs="仿宋_GB2312" w:eastAsia="仿宋_GB2312"/>
                <w:b/>
              </w:rPr>
              <w:t>四、</w:t>
            </w:r>
            <w:r>
              <w:rPr>
                <w:rFonts w:ascii="仿宋_GB2312" w:hAnsi="仿宋_GB2312" w:cs="仿宋_GB2312" w:eastAsia="仿宋_GB2312"/>
                <w:b/>
              </w:rPr>
              <w:t>付款条件及比例：</w:t>
            </w:r>
          </w:p>
          <w:p>
            <w:pPr>
              <w:pStyle w:val="null3"/>
            </w:pPr>
            <w:r>
              <w:rPr>
                <w:rFonts w:ascii="仿宋_GB2312" w:hAnsi="仿宋_GB2312" w:cs="仿宋_GB2312" w:eastAsia="仿宋_GB2312"/>
              </w:rPr>
              <w:t>1、合同签订后，甲方向乙方支付合同价款的40%作为预付款。</w:t>
            </w:r>
          </w:p>
          <w:p>
            <w:pPr>
              <w:pStyle w:val="null3"/>
            </w:pPr>
            <w:r>
              <w:rPr>
                <w:rFonts w:ascii="仿宋_GB2312" w:hAnsi="仿宋_GB2312" w:cs="仿宋_GB2312" w:eastAsia="仿宋_GB2312"/>
              </w:rPr>
              <w:t>2、乙方完成全部工程量时，经甲方组织有关部门验收合格后，甲方向乙方支付至合同总价款的80%。</w:t>
            </w:r>
          </w:p>
          <w:p>
            <w:pPr>
              <w:pStyle w:val="null3"/>
            </w:pPr>
            <w:r>
              <w:rPr>
                <w:rFonts w:ascii="仿宋_GB2312" w:hAnsi="仿宋_GB2312" w:cs="仿宋_GB2312" w:eastAsia="仿宋_GB2312"/>
              </w:rPr>
              <w:t>3、经政府相关审计部门审计完成后，支付至审计结算价款的100%。</w:t>
            </w:r>
          </w:p>
          <w:p>
            <w:pPr>
              <w:pStyle w:val="null3"/>
            </w:pPr>
            <w:r>
              <w:rPr>
                <w:rFonts w:ascii="仿宋_GB2312" w:hAnsi="仿宋_GB2312" w:cs="仿宋_GB2312" w:eastAsia="仿宋_GB2312"/>
                <w:b/>
              </w:rPr>
              <w:t>五、质量要求：</w:t>
            </w:r>
          </w:p>
          <w:p>
            <w:pPr>
              <w:pStyle w:val="null3"/>
            </w:pPr>
            <w:r>
              <w:rPr>
                <w:rFonts w:ascii="仿宋_GB2312" w:hAnsi="仿宋_GB2312" w:cs="仿宋_GB2312" w:eastAsia="仿宋_GB2312"/>
              </w:rPr>
              <w:t xml:space="preserve">    </w:t>
            </w:r>
            <w:r>
              <w:rPr>
                <w:rFonts w:ascii="仿宋_GB2312" w:hAnsi="仿宋_GB2312" w:cs="仿宋_GB2312" w:eastAsia="仿宋_GB2312"/>
              </w:rPr>
              <w:t>达到国家现行行业施工验收规范</w:t>
            </w:r>
            <w:r>
              <w:rPr>
                <w:rFonts w:ascii="仿宋_GB2312" w:hAnsi="仿宋_GB2312" w:cs="仿宋_GB2312" w:eastAsia="仿宋_GB2312"/>
              </w:rPr>
              <w:t>“合格”标准。</w:t>
            </w:r>
          </w:p>
          <w:p>
            <w:pPr>
              <w:pStyle w:val="null3"/>
            </w:pPr>
            <w:r>
              <w:rPr>
                <w:rFonts w:ascii="仿宋_GB2312" w:hAnsi="仿宋_GB2312" w:cs="仿宋_GB2312" w:eastAsia="仿宋_GB2312"/>
                <w:b/>
              </w:rPr>
              <w:t>六、合同定价方式</w:t>
            </w:r>
            <w:r>
              <w:rPr>
                <w:rFonts w:ascii="仿宋_GB2312" w:hAnsi="仿宋_GB2312" w:cs="仿宋_GB2312" w:eastAsia="仿宋_GB2312"/>
              </w:rPr>
              <w:t>：</w:t>
            </w:r>
          </w:p>
          <w:p>
            <w:pPr>
              <w:pStyle w:val="null3"/>
            </w:pPr>
            <w:r>
              <w:rPr>
                <w:rFonts w:ascii="仿宋_GB2312" w:hAnsi="仿宋_GB2312" w:cs="仿宋_GB2312" w:eastAsia="仿宋_GB2312"/>
              </w:rPr>
              <w:t xml:space="preserve">  </w:t>
            </w:r>
            <w:r>
              <w:rPr>
                <w:rFonts w:ascii="仿宋_GB2312" w:hAnsi="仿宋_GB2312" w:cs="仿宋_GB2312" w:eastAsia="仿宋_GB2312"/>
                <w:sz w:val="21"/>
              </w:rPr>
              <w:t>本合同价款采用</w:t>
            </w:r>
            <w:r>
              <w:rPr>
                <w:rFonts w:ascii="仿宋_GB2312" w:hAnsi="仿宋_GB2312" w:cs="仿宋_GB2312" w:eastAsia="仿宋_GB2312"/>
                <w:sz w:val="21"/>
                <w:b/>
                <w:u w:val="single"/>
              </w:rPr>
              <w:t>（</w:t>
            </w:r>
            <w:r>
              <w:rPr>
                <w:rFonts w:ascii="仿宋_GB2312" w:hAnsi="仿宋_GB2312" w:cs="仿宋_GB2312" w:eastAsia="仿宋_GB2312"/>
                <w:sz w:val="21"/>
                <w:b/>
                <w:u w:val="single"/>
              </w:rPr>
              <w:t>固定</w:t>
            </w:r>
            <w:r>
              <w:rPr>
                <w:rFonts w:ascii="仿宋_GB2312" w:hAnsi="仿宋_GB2312" w:cs="仿宋_GB2312" w:eastAsia="仿宋_GB2312"/>
                <w:sz w:val="21"/>
                <w:b/>
                <w:u w:val="single"/>
              </w:rPr>
              <w:t>总价</w:t>
            </w:r>
            <w:r>
              <w:rPr>
                <w:rFonts w:ascii="仿宋_GB2312" w:hAnsi="仿宋_GB2312" w:cs="仿宋_GB2312" w:eastAsia="仿宋_GB2312"/>
                <w:sz w:val="21"/>
                <w:b/>
                <w:u w:val="single"/>
              </w:rPr>
              <w:t>）</w:t>
            </w:r>
            <w:r>
              <w:rPr>
                <w:rFonts w:ascii="仿宋_GB2312" w:hAnsi="仿宋_GB2312" w:cs="仿宋_GB2312" w:eastAsia="仿宋_GB2312"/>
                <w:b/>
                <w:u w:val="single"/>
              </w:rPr>
              <w:t xml:space="preserve"> </w:t>
            </w:r>
            <w:r>
              <w:rPr>
                <w:rFonts w:ascii="仿宋_GB2312" w:hAnsi="仿宋_GB2312" w:cs="仿宋_GB2312" w:eastAsia="仿宋_GB2312"/>
                <w:sz w:val="21"/>
              </w:rPr>
              <w:t>方式确定</w:t>
            </w:r>
            <w:r>
              <w:rPr>
                <w:rFonts w:ascii="仿宋_GB2312" w:hAnsi="仿宋_GB2312" w:cs="仿宋_GB2312" w:eastAsia="仿宋_GB2312"/>
                <w:sz w:val="21"/>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竞争性磋商文件第六章6.3.4：“（五）若采用项目包干价的，供应商直接给出其完成本项目全部工作内容所需的总价，不再提供已标价工程量清单（报价格式要求见第六章）。”为系统自动生成内容，无法更改，本项目需要提供已标价工程量清单。 （3）“若供应商的最后报价只有一个总价，则供应商应当提交相应调整部分的报价构成及明细，并结合首次报价提供的已标价工程量清单，重新计算总报价。”为系统自动生成，无法更改，本项目二次报价只需填报项目总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2、《基本资格条件承诺函》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磋商响应文件截止时间不足一年的可提供成立后任意时段的资产负债表），或磋商响应文件递交截止时间前6个月内银行出具的资信证明或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投标供应商须具备行业主管部门颁发的建筑装修装饰工程专业承包二级及以上资质并具有有效的安全生产许可证；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投标供应商拟派项目经理须具备行业主管部门颁发的建筑工程专业二级及以上注册建造师资质及有效的B类安全生产考核合格证书（建安B证），在本单位注册且无在建工程；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投标供应商基本信息及项目经理基本信息</w:t>
            </w:r>
          </w:p>
        </w:tc>
        <w:tc>
          <w:tcPr>
            <w:tcW w:type="dxa" w:w="3322"/>
          </w:tcPr>
          <w:p>
            <w:pPr>
              <w:pStyle w:val="null3"/>
            </w:pPr>
            <w:r>
              <w:rPr>
                <w:rFonts w:ascii="仿宋_GB2312" w:hAnsi="仿宋_GB2312" w:cs="仿宋_GB2312" w:eastAsia="仿宋_GB2312"/>
              </w:rPr>
              <w:t>投标供应商基本信息及项目经理基本信息应在“陕西建设网（http://js.shaanxi.gov.cn/ ）或陕西省建筑市场监管与诚信信息发布平台”可查询；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投标供应商不得在各级诚信信息平台被列为投标受限制的行为人（提供承诺）；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已标价工程量清单.docx 商务、技术条款偏离表.docx 中小企业声明函 残疾人福利性单位声明函 拒绝政府采购领域商业贿赂承诺书.docx 报价函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技术方案.docx 已标价工程量清单.docx 商务、技术条款偏离表.docx 中小企业声明函 残疾人福利性单位声明函 拒绝政府采购领域商业贿赂承诺书.docx 报价函 标的清单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缺陷责任期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付款条件及比例</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已标价工程量清单.docx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施工环保、“治污减霾”措施计划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确保文明施工的技术组织措施及保护措施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施工机械配备和材料投入计划包括但不限于新材料、新工艺、绿色建材的使用</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投标供应商提供2023年8月1日至今（以合同签订日期为准）类似项目业绩（以合同复印件或扫描件加盖公章为准）每个有效业绩得1分，满分共计5分。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详见附件：商务、技术条款偏离表.docx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