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版本号：ZRD-2026XAZC65820260526001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韩城市雷寺庄林场松树蛀干害虫防控项目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ZRD-2026XAZC658</w:t>
      </w:r>
      <w:r>
        <w:br/>
      </w:r>
      <w:r>
        <w:br/>
      </w:r>
      <w:r>
        <w:br/>
      </w:r>
    </w:p>
    <w:p>
      <w:pPr>
        <w:pStyle w:val="null3"/>
        <w:jc w:val="center"/>
        <w:outlineLvl w:val="2"/>
      </w:pPr>
      <w:r>
        <w:rPr>
          <w:rFonts w:ascii="仿宋_GB2312" w:hAnsi="仿宋_GB2312" w:cs="仿宋_GB2312" w:eastAsia="仿宋_GB2312"/>
          <w:sz w:val="28"/>
          <w:b/>
        </w:rPr>
        <w:t>韩城市林业局</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韩城市林业局</w:t>
      </w:r>
      <w:r>
        <w:rPr>
          <w:rFonts w:ascii="仿宋_GB2312" w:hAnsi="仿宋_GB2312" w:cs="仿宋_GB2312" w:eastAsia="仿宋_GB2312"/>
        </w:rPr>
        <w:t>委托，拟对</w:t>
      </w:r>
      <w:r>
        <w:rPr>
          <w:rFonts w:ascii="仿宋_GB2312" w:hAnsi="仿宋_GB2312" w:cs="仿宋_GB2312" w:eastAsia="仿宋_GB2312"/>
        </w:rPr>
        <w:t>韩城市雷寺庄林场松树蛀干害虫防控项目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ZRD-2026XAZC658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韩城市雷寺庄林场松树蛀干害虫防控项目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采用直升飞机空中喷洒药物的方式对雷寺庄林区松树蛀干害虫防治2次，主要针对松褐天牛、红脂大小蠹等虫害，防治面积13580亩。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采购包1（韩城市雷寺庄林场松树蛀干害虫防控项目）：属于专门面向中小企业采购。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2、财务状况：提供2024年或2025年任意一年完整的财务审计报告或响应文件提交截止时间前六个月内银行出具的资信证明，其他组织和自然人提供银行出具的资信证明。</w:t>
      </w:r>
    </w:p>
    <w:p>
      <w:pPr>
        <w:pStyle w:val="null3"/>
      </w:pPr>
      <w:r>
        <w:rPr>
          <w:rFonts w:ascii="仿宋_GB2312" w:hAnsi="仿宋_GB2312" w:cs="仿宋_GB2312" w:eastAsia="仿宋_GB2312"/>
        </w:rPr>
        <w:t>3、社会保障资金缴纳证明：提供响应文件提交截止时间前六个月内至少一个月的社会保障资金缴存单据或社保机构开具的社会保险参保缴费情况证明，依法不需要缴纳社会保障资金的单位应提供相关证明材料。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4、税收缴纳证明：提供响应文件提交截止时间前六个月内已缴纳的至少一个月的纳税证明或完税证明，依法免税的单位应提供相关证明材料。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6、提供具有履行合同所必需的设备和专业技术能力的承诺：提供具有履行合同所必需的设备和专业技术能力的承诺。</w:t>
      </w:r>
    </w:p>
    <w:p>
      <w:pPr>
        <w:pStyle w:val="null3"/>
      </w:pPr>
      <w:r>
        <w:rPr>
          <w:rFonts w:ascii="仿宋_GB2312" w:hAnsi="仿宋_GB2312" w:cs="仿宋_GB2312" w:eastAsia="仿宋_GB2312"/>
        </w:rPr>
        <w:t>7、法定代表人授权书或法定代表人身份证明书：法定代表人授权书（附法定代表人及被授权人身份证复印件）（法定代表人直接参加投标，须提供法定代表人身份证明书）</w:t>
      </w:r>
    </w:p>
    <w:p>
      <w:pPr>
        <w:pStyle w:val="null3"/>
      </w:pPr>
      <w:r>
        <w:rPr>
          <w:rFonts w:ascii="仿宋_GB2312" w:hAnsi="仿宋_GB2312" w:cs="仿宋_GB2312" w:eastAsia="仿宋_GB2312"/>
        </w:rPr>
        <w:t>8、供应商资质：供应商应具备林业有害生物防治丙级或以上资质证书。</w:t>
      </w:r>
    </w:p>
    <w:p>
      <w:pPr>
        <w:pStyle w:val="null3"/>
      </w:pPr>
      <w:r>
        <w:rPr>
          <w:rFonts w:ascii="仿宋_GB2312" w:hAnsi="仿宋_GB2312" w:cs="仿宋_GB2312" w:eastAsia="仿宋_GB2312"/>
        </w:rPr>
        <w:t>9、项目负责人资质：项目负责人需具有林业相关专业中级及以上职称。</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韩城市新城区太史大街政府1号楼四楼东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贾大伟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13909130773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陕西省西安市经济技术开发区凤城五路明光路向西 200 米恒石国际 B 座 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昌俊、郭丹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15039820627、029-86263596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韩城市林业局</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联系人：昌俊</w:t>
      </w:r>
    </w:p>
    <w:p>
      <w:pPr>
        <w:pStyle w:val="null3"/>
      </w:pPr>
      <w:r>
        <w:rPr>
          <w:rFonts w:ascii="仿宋_GB2312" w:hAnsi="仿宋_GB2312" w:cs="仿宋_GB2312" w:eastAsia="仿宋_GB2312"/>
        </w:rPr>
        <w:t>联系电话：029-86263596</w:t>
      </w:r>
    </w:p>
    <w:p>
      <w:pPr>
        <w:pStyle w:val="null3"/>
      </w:pPr>
      <w:r>
        <w:rPr>
          <w:rFonts w:ascii="仿宋_GB2312" w:hAnsi="仿宋_GB2312" w:cs="仿宋_GB2312" w:eastAsia="仿宋_GB2312"/>
        </w:rPr>
        <w:t>地址：西安市经济技术开发区凤城五路明光路向西 200 米恒石国际 B 座 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采用直升飞机空中喷洒药物的方式对雷寺庄林区松树蛀干害虫防治2次，主要针对松褐天牛、红脂大小蠹等虫害，防治面积13580亩。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韩城市雷寺庄林场松树蛀干害虫防控项目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标的名称：韩城市雷寺庄林场松树蛀干害虫防控项目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一、项目名称：韩城市雷寺庄林场松树蛀干害虫防控项目</w:t>
            </w:r>
          </w:p>
          <w:p>
            <w:pPr>
              <w:pStyle w:val="null3"/>
              <w:jc w:val="both"/>
            </w:pPr>
            <w:r>
              <w:rPr>
                <w:rFonts w:ascii="仿宋_GB2312" w:hAnsi="仿宋_GB2312" w:cs="仿宋_GB2312" w:eastAsia="仿宋_GB2312"/>
                <w:sz w:val="24"/>
              </w:rPr>
              <w:t>二、项目地点：韩城市西庄镇道口梁村、桑树坪镇窑头村</w:t>
            </w:r>
          </w:p>
          <w:p>
            <w:pPr>
              <w:pStyle w:val="null3"/>
              <w:jc w:val="both"/>
            </w:pPr>
            <w:r>
              <w:rPr>
                <w:rFonts w:ascii="仿宋_GB2312" w:hAnsi="仿宋_GB2312" w:cs="仿宋_GB2312" w:eastAsia="仿宋_GB2312"/>
                <w:sz w:val="24"/>
              </w:rPr>
              <w:t>三、项目金额：</w:t>
            </w:r>
            <w:r>
              <w:rPr>
                <w:rFonts w:ascii="仿宋_GB2312" w:hAnsi="仿宋_GB2312" w:cs="仿宋_GB2312" w:eastAsia="仿宋_GB2312"/>
                <w:sz w:val="24"/>
              </w:rPr>
              <w:t>90万元</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、服务期：</w:t>
            </w:r>
            <w:r>
              <w:rPr>
                <w:rFonts w:ascii="仿宋_GB2312" w:hAnsi="仿宋_GB2312" w:cs="仿宋_GB2312" w:eastAsia="仿宋_GB2312"/>
                <w:sz w:val="24"/>
              </w:rPr>
              <w:t>6个月</w:t>
            </w:r>
          </w:p>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、防治原则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1）精准聚焦、全域覆盖</w:t>
            </w:r>
          </w:p>
          <w:p>
            <w:pPr>
              <w:pStyle w:val="null3"/>
              <w:ind w:firstLine="480"/>
              <w:jc w:val="both"/>
            </w:pPr>
            <w:r>
              <w:rPr>
                <w:rFonts w:ascii="仿宋_GB2312" w:hAnsi="仿宋_GB2312" w:cs="仿宋_GB2312" w:eastAsia="仿宋_GB2312"/>
                <w:sz w:val="24"/>
              </w:rPr>
              <w:t>对病虫害严重区域</w:t>
            </w:r>
            <w:r>
              <w:rPr>
                <w:rFonts w:ascii="仿宋_GB2312" w:hAnsi="仿宋_GB2312" w:cs="仿宋_GB2312" w:eastAsia="仿宋_GB2312"/>
                <w:sz w:val="24"/>
              </w:rPr>
              <w:t>13580亩全部纳入防治范围，连续防治两次，达到防治全覆盖，无死角。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2）科学选药、交叉增效</w:t>
            </w:r>
          </w:p>
          <w:p>
            <w:pPr>
              <w:pStyle w:val="null3"/>
              <w:ind w:firstLine="480"/>
              <w:jc w:val="both"/>
            </w:pPr>
            <w:r>
              <w:rPr>
                <w:rFonts w:ascii="仿宋_GB2312" w:hAnsi="仿宋_GB2312" w:cs="仿宋_GB2312" w:eastAsia="仿宋_GB2312"/>
                <w:sz w:val="24"/>
              </w:rPr>
              <w:t>采用经验证对环境、人蓄无损害的复配药剂，兼顾防效与生态安全。</w:t>
            </w:r>
          </w:p>
          <w:p>
            <w:pPr>
              <w:pStyle w:val="null3"/>
              <w:numPr>
                <w:ilvl w:val="0"/>
                <w:numId w:val="1"/>
              </w:numPr>
              <w:jc w:val="both"/>
            </w:pPr>
            <w:r>
              <w:rPr>
                <w:rFonts w:ascii="仿宋_GB2312" w:hAnsi="仿宋_GB2312" w:cs="仿宋_GB2312" w:eastAsia="仿宋_GB2312"/>
                <w:sz w:val="24"/>
              </w:rPr>
              <w:t>成本可控、专款专用</w:t>
            </w:r>
          </w:p>
          <w:p>
            <w:pPr>
              <w:pStyle w:val="null3"/>
              <w:ind w:firstLine="480"/>
              <w:jc w:val="both"/>
            </w:pPr>
            <w:r>
              <w:rPr>
                <w:rFonts w:ascii="仿宋_GB2312" w:hAnsi="仿宋_GB2312" w:cs="仿宋_GB2312" w:eastAsia="仿宋_GB2312"/>
                <w:sz w:val="24"/>
              </w:rPr>
              <w:t>由森林病虫害专业调查设计单位对防治成本进行调查核算，确保专项资金全部用于直升机飞行服务和采购防治药品。</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、工作目标</w:t>
            </w:r>
          </w:p>
          <w:p>
            <w:pPr>
              <w:pStyle w:val="null3"/>
              <w:ind w:firstLine="480"/>
              <w:jc w:val="both"/>
            </w:pPr>
            <w:r>
              <w:rPr>
                <w:rFonts w:ascii="仿宋_GB2312" w:hAnsi="仿宋_GB2312" w:cs="仿宋_GB2312" w:eastAsia="仿宋_GB2312"/>
                <w:sz w:val="24"/>
              </w:rPr>
              <w:t>以保障森林生态安全为目标，以</w:t>
            </w:r>
            <w:r>
              <w:rPr>
                <w:rFonts w:ascii="仿宋_GB2312" w:hAnsi="仿宋_GB2312" w:cs="仿宋_GB2312" w:eastAsia="仿宋_GB2312"/>
                <w:sz w:val="24"/>
              </w:rPr>
              <w:t>松褐天牛、红脂大小蠹等蛀干害虫</w:t>
            </w:r>
            <w:r>
              <w:rPr>
                <w:rFonts w:ascii="仿宋_GB2312" w:hAnsi="仿宋_GB2312" w:cs="仿宋_GB2312" w:eastAsia="仿宋_GB2312"/>
                <w:sz w:val="24"/>
              </w:rPr>
              <w:t>危害治理为重点，落实分区分级管理要求，科学精准施策，通过实施飞机喷药</w:t>
            </w:r>
            <w:r>
              <w:rPr>
                <w:rFonts w:ascii="仿宋_GB2312" w:hAnsi="仿宋_GB2312" w:cs="仿宋_GB2312" w:eastAsia="仿宋_GB2312"/>
                <w:sz w:val="24"/>
              </w:rPr>
              <w:t>13580亩，有效阻止松褐天牛、红脂大小蠹等虫害发生和传入，保护森林资源，提高林分质量，促进林业可持续发展。通过对防治效果的监测和评估，可以不断优化防治措施，提高防治效果。</w:t>
            </w:r>
          </w:p>
          <w:p>
            <w:pPr>
              <w:pStyle w:val="null3"/>
              <w:jc w:val="both"/>
            </w:pPr>
            <w:r>
              <w:rPr>
                <w:rFonts w:ascii="仿宋_GB2312" w:hAnsi="仿宋_GB2312" w:cs="仿宋_GB2312" w:eastAsia="仿宋_GB2312"/>
                <w:sz w:val="24"/>
              </w:rPr>
              <w:t>七</w:t>
            </w:r>
            <w:r>
              <w:rPr>
                <w:rFonts w:ascii="仿宋_GB2312" w:hAnsi="仿宋_GB2312" w:cs="仿宋_GB2312" w:eastAsia="仿宋_GB2312"/>
                <w:sz w:val="24"/>
              </w:rPr>
              <w:t>、项目内容：采用直升飞机空中喷洒药物的方式对雷寺庄林区松树蛀干害虫防治</w:t>
            </w:r>
            <w:r>
              <w:rPr>
                <w:rFonts w:ascii="仿宋_GB2312" w:hAnsi="仿宋_GB2312" w:cs="仿宋_GB2312" w:eastAsia="仿宋_GB2312"/>
                <w:sz w:val="24"/>
              </w:rPr>
              <w:t>2次，主要针对松褐天牛、红脂大小蠹等虫害，防治面积13580亩。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供应商应该按照项目的需求配备合理的人员，以保证工作质量和进度。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供应商提出验收申请，采购人同意后，采购人相关部门及人员形成验收小组，验收小组根据磋商文件、响应文件、合同等项目文件约定内容对项目进行综合验收，并签字确认合格飞防作业面积，作为结账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1、发布中标结果公告后，中标供应商需向代理机构提供一正两副纸质版投标文件。 2、代理服务费缴纳账号： 单位名称：中瑞达项目管理有限公司 开户行名称：中国建设银行股份有限公司西安海璟国际支行 帐 号：61050174860000000509 备注：项目编号+代理服务费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提供2024年或2025年任意一年完整的财务审计报告或响应文件提交截止时间前六个月内银行出具的资信证明，其他组织和自然人提供银行出具的资信证明。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提供2024年或2025年任意一年完整的财务审计报告或响应文件提交截止时间前六个月内银行出具的资信证明，其他组织和自然人提供银行出具的资信证明。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法定代表人授权书（附法定代表人及被授权人身份证复印件）（法定代表人直接参加投标，须提供法定代表人身份证明书）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供应商应具备林业有害生物防治丙级或以上资质证书。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项目负责人需具有林业相关专业中级及以上职称。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关于符合本国产品标准的声明函.docx 服务内容及服务邀请应答表 中小企业声明函 商务应答表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业绩.docx 关于符合本国产品标准的声明函.docx 服务内容及服务邀请应答表 中小企业声明函 商务应答表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整体防控方案</w:t>
            </w:r>
          </w:p>
        </w:tc>
        <w:tc>
          <w:tcPr>
            <w:tcW w:type="dxa" w:w="2492"/>
          </w:tcPr>
          <w:p>
            <w:pPr>
              <w:pStyle w:val="null3"/>
            </w:pPr>
            <w:r>
              <w:rPr>
                <w:rFonts w:ascii="仿宋_GB2312" w:hAnsi="仿宋_GB2312" w:cs="仿宋_GB2312" w:eastAsia="仿宋_GB2312"/>
              </w:rPr>
              <w:t>内容至少包括①防控区域现状分析；②防控目标和标准；③防治措施；④重难点分析及解决措施；⑤成果资料收集整理措施。以上内容专门针对本项目且阐述明晰、全面、合理得20分，每缺一项内容扣4分，若上述内容存在瑕疵，每存在1处瑕疵扣1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内容至少包括①质量保障措施；②安全保障措施；③验收保证措施等。以上内容专门针对本项目且阐述明晰、全面、合理得15分，每缺一项内容扣5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进度安排及措施</w:t>
            </w:r>
          </w:p>
        </w:tc>
        <w:tc>
          <w:tcPr>
            <w:tcW w:type="dxa" w:w="2492"/>
          </w:tcPr>
          <w:p>
            <w:pPr>
              <w:pStyle w:val="null3"/>
            </w:pPr>
            <w:r>
              <w:rPr>
                <w:rFonts w:ascii="仿宋_GB2312" w:hAnsi="仿宋_GB2312" w:cs="仿宋_GB2312" w:eastAsia="仿宋_GB2312"/>
              </w:rPr>
              <w:t>内容至少包括①总体计划安排；②各项任务衔接方案；③进度保障措施。以上内容专门针对本项目且阐述明晰、全面、合理得15分，每缺一项内容扣5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岗位职责；③团队人员管理制度。以上内容专门针对本项目且阐述明晰、全面、合理得12分，每缺一项内容扣4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1.承诺：接受采购人对服务的监督及管理，并对服务质量加以改进，确保服务工作的优质高效， 2.承诺：供应商具有足够的可调度人员储备，以应对突发事件等工作任务。若人员因事、病不能及时上岗时，请调其他服务人员补充，确保各项服务工作正常进行。 3.承诺：供应商应当对涉及采购人的信息严格保密，未经采购人许可，不得将信息泄露给第三方。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①应急小组成员及职责；②应急处置流程；③应急响应具体措施等。上述各部分内容全面详细、阐述条理清晰详尽、符合且针对本项目采购需求得12分，每缺一项内容扣4分，若上述内容存在瑕疵，每存在1处瑕疵扣1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供应商具有2023年1月1日至今（以合同签订时间为准）类似项目业绩，响应文件中提供合同复印件加盖公章，每提供一个得2分，最高得10分。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采用低价优先法计算，即满足磋商文件要求且最后磋商报价最低的磋商价格为磋商基准价，其价格分为满分。其他供应商价格分统一按照下列公式计算：磋商报价得分＝（磋商基准价/最后磋商报价）×价格权值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