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D422A7">
      <w:pPr>
        <w:spacing w:line="360" w:lineRule="auto"/>
        <w:jc w:val="center"/>
        <w:outlineLvl w:val="0"/>
        <w:rPr>
          <w:rFonts w:hint="eastAsia" w:ascii="宋体" w:hAnsi="宋体"/>
          <w:b/>
          <w:sz w:val="32"/>
          <w:szCs w:val="32"/>
        </w:rPr>
      </w:pPr>
      <w:r>
        <w:rPr>
          <w:rFonts w:hint="eastAsia" w:ascii="宋体" w:hAnsi="宋体"/>
          <w:b/>
          <w:sz w:val="32"/>
          <w:szCs w:val="32"/>
        </w:rPr>
        <w:t>技术参数及要求</w:t>
      </w:r>
    </w:p>
    <w:p w14:paraId="2777C0FF">
      <w:pPr>
        <w:spacing w:line="560" w:lineRule="exact"/>
        <w:ind w:firstLine="422" w:firstLineChars="200"/>
        <w:rPr>
          <w:rFonts w:ascii="仿宋_GB2312" w:hAnsi="仿宋" w:eastAsia="仿宋_GB2312"/>
          <w:b/>
          <w:bCs/>
          <w:szCs w:val="32"/>
        </w:rPr>
      </w:pPr>
      <w:r>
        <w:rPr>
          <w:rFonts w:hint="eastAsia" w:ascii="仿宋_GB2312" w:hAnsi="仿宋" w:eastAsia="仿宋_GB2312"/>
          <w:b/>
          <w:bCs/>
          <w:szCs w:val="32"/>
        </w:rPr>
        <w:t>一、工程概况</w:t>
      </w:r>
    </w:p>
    <w:p w14:paraId="65D97113">
      <w:pPr>
        <w:spacing w:line="560" w:lineRule="exact"/>
        <w:ind w:firstLine="420" w:firstLineChars="200"/>
        <w:rPr>
          <w:rFonts w:ascii="仿宋_GB2312" w:hAnsi="仿宋" w:eastAsia="仿宋_GB2312"/>
          <w:szCs w:val="32"/>
        </w:rPr>
      </w:pPr>
      <w:r>
        <w:rPr>
          <w:rFonts w:hint="eastAsia" w:ascii="仿宋_GB2312" w:hAnsi="仿宋" w:eastAsia="仿宋_GB2312"/>
          <w:szCs w:val="32"/>
        </w:rPr>
        <w:t>1.建设单位：西北政法大学；</w:t>
      </w:r>
    </w:p>
    <w:p w14:paraId="6E250462">
      <w:pPr>
        <w:spacing w:line="560" w:lineRule="exact"/>
        <w:ind w:firstLine="420" w:firstLineChars="200"/>
        <w:rPr>
          <w:rFonts w:ascii="仿宋_GB2312" w:hAnsi="仿宋" w:eastAsia="仿宋_GB2312"/>
          <w:szCs w:val="32"/>
        </w:rPr>
      </w:pPr>
      <w:r>
        <w:rPr>
          <w:rFonts w:hint="eastAsia" w:ascii="仿宋_GB2312" w:hAnsi="仿宋" w:eastAsia="仿宋_GB2312"/>
          <w:szCs w:val="32"/>
        </w:rPr>
        <w:t>2.建设地点：西安市雁塔区长安南路300号，西北政法大学雁塔校区内；</w:t>
      </w:r>
    </w:p>
    <w:p w14:paraId="274C4A62">
      <w:pPr>
        <w:spacing w:line="560" w:lineRule="exact"/>
        <w:ind w:firstLine="420" w:firstLineChars="200"/>
        <w:rPr>
          <w:rFonts w:hint="eastAsia" w:ascii="仿宋_GB2312" w:hAnsi="仿宋" w:eastAsia="仿宋_GB2312"/>
          <w:szCs w:val="32"/>
          <w:lang w:eastAsia="zh-CN"/>
        </w:rPr>
      </w:pPr>
      <w:r>
        <w:rPr>
          <w:rFonts w:hint="eastAsia" w:ascii="仿宋_GB2312" w:hAnsi="仿宋" w:eastAsia="仿宋_GB2312"/>
          <w:szCs w:val="32"/>
        </w:rPr>
        <w:t>3.工程概况：西北政法大学雁塔校区运动场总建筑面积约17000平方米，含有塑胶跑道、五人制人造草皮足球场3块、硅pu篮球场等场地</w:t>
      </w:r>
      <w:r>
        <w:rPr>
          <w:rFonts w:hint="eastAsia" w:ascii="仿宋_GB2312" w:hAnsi="仿宋" w:eastAsia="仿宋_GB2312"/>
          <w:szCs w:val="32"/>
          <w:lang w:eastAsia="zh-CN"/>
        </w:rPr>
        <w:t>。</w:t>
      </w:r>
    </w:p>
    <w:p w14:paraId="23DCA1D2">
      <w:pPr>
        <w:spacing w:line="560" w:lineRule="exact"/>
        <w:ind w:firstLine="420" w:firstLineChars="200"/>
        <w:rPr>
          <w:rFonts w:ascii="仿宋_GB2312" w:hAnsi="仿宋" w:eastAsia="仿宋_GB2312"/>
          <w:szCs w:val="32"/>
        </w:rPr>
      </w:pPr>
      <w:r>
        <w:rPr>
          <w:rFonts w:hint="eastAsia" w:ascii="仿宋_GB2312" w:hAnsi="仿宋" w:eastAsia="仿宋_GB2312"/>
          <w:szCs w:val="32"/>
        </w:rPr>
        <w:t>4.工期：50天</w:t>
      </w:r>
    </w:p>
    <w:p w14:paraId="786119F7">
      <w:pPr>
        <w:spacing w:line="560" w:lineRule="exact"/>
        <w:ind w:firstLine="422" w:firstLineChars="200"/>
        <w:rPr>
          <w:rFonts w:ascii="仿宋_GB2312" w:hAnsi="仿宋" w:eastAsia="仿宋_GB2312"/>
          <w:b/>
          <w:bCs/>
          <w:szCs w:val="32"/>
        </w:rPr>
      </w:pPr>
      <w:r>
        <w:rPr>
          <w:rFonts w:hint="eastAsia" w:ascii="仿宋_GB2312" w:hAnsi="仿宋" w:eastAsia="仿宋_GB2312"/>
          <w:b/>
          <w:bCs/>
          <w:szCs w:val="32"/>
        </w:rPr>
        <w:t>二、招标范围</w:t>
      </w:r>
    </w:p>
    <w:p w14:paraId="415EB941">
      <w:pPr>
        <w:spacing w:line="560" w:lineRule="exact"/>
        <w:ind w:firstLine="420" w:firstLineChars="200"/>
        <w:rPr>
          <w:rFonts w:ascii="仿宋_GB2312" w:hAnsi="仿宋" w:eastAsia="仿宋_GB2312" w:cs="仿宋_GB2312"/>
          <w:color w:val="000000"/>
          <w:kern w:val="0"/>
          <w:szCs w:val="32"/>
          <w:lang w:bidi="ar"/>
        </w:rPr>
      </w:pPr>
      <w:bookmarkStart w:id="0" w:name="_Hlk200099309"/>
      <w:r>
        <w:rPr>
          <w:rFonts w:hint="eastAsia" w:ascii="仿宋_GB2312" w:hAnsi="仿宋" w:eastAsia="仿宋_GB2312" w:cs="仿宋_GB2312"/>
          <w:color w:val="000000"/>
          <w:kern w:val="0"/>
          <w:szCs w:val="32"/>
          <w:lang w:bidi="ar"/>
        </w:rPr>
        <w:t>对雁塔校区运动场现有塑胶跑道、人造草坪足球场、篮球场进行改造，改造内容包括：</w:t>
      </w:r>
    </w:p>
    <w:p w14:paraId="18B074CE">
      <w:pPr>
        <w:adjustRightInd w:val="0"/>
        <w:snapToGrid w:val="0"/>
        <w:spacing w:line="560" w:lineRule="exact"/>
        <w:ind w:firstLine="420" w:firstLineChars="200"/>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改造内容：</w:t>
      </w:r>
    </w:p>
    <w:p w14:paraId="13B12A35">
      <w:pPr>
        <w:adjustRightInd w:val="0"/>
        <w:snapToGrid w:val="0"/>
        <w:spacing w:line="560" w:lineRule="exact"/>
        <w:ind w:firstLine="420" w:firstLineChars="200"/>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（一）基础施工要求</w:t>
      </w:r>
    </w:p>
    <w:p w14:paraId="474EF0C0">
      <w:pPr>
        <w:adjustRightInd w:val="0"/>
        <w:snapToGrid w:val="0"/>
        <w:spacing w:line="560" w:lineRule="exact"/>
        <w:ind w:firstLine="420" w:firstLineChars="200"/>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1.彻底去除场地现有塑胶面层、人造草坪、篮球场等面层材料，对场地基础按照竖向标高进行打磨（其中跑道及跑道外区域打磨厚度≥5mm）、修补、找平，避免残留面层材料影响新面层的附着；</w:t>
      </w:r>
    </w:p>
    <w:p w14:paraId="71A6CF12">
      <w:pPr>
        <w:adjustRightInd w:val="0"/>
        <w:snapToGrid w:val="0"/>
        <w:spacing w:line="560" w:lineRule="exact"/>
        <w:ind w:firstLine="420" w:firstLineChars="200"/>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2.对现有场地基础按照面层排水的要求进行打磨，满足排水坡度要求，确保不同构造厚度的场地面层标高一致，各场地接缝密实，平滑衔接；</w:t>
      </w:r>
    </w:p>
    <w:p w14:paraId="5B0C3C99">
      <w:pPr>
        <w:adjustRightInd w:val="0"/>
        <w:snapToGrid w:val="0"/>
        <w:spacing w:line="560" w:lineRule="exact"/>
        <w:ind w:firstLine="420" w:firstLineChars="200"/>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3.对于沥青基础存在坑洼、塌陷、空鼓、松散、掉渣等问题，对问题区域进行铣刨，重新摊铺AC-10细沥青混凝土；</w:t>
      </w:r>
    </w:p>
    <w:p w14:paraId="25EB7857">
      <w:pPr>
        <w:adjustRightInd w:val="0"/>
        <w:snapToGrid w:val="0"/>
        <w:spacing w:line="560" w:lineRule="exact"/>
        <w:ind w:firstLine="420" w:firstLineChars="200"/>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4.对沥青基层裂缝修补：对基层裂缝切割扩缝（宽度≥5mm），填充专用弹性填缝剂并压实，防止反射性开裂；</w:t>
      </w:r>
    </w:p>
    <w:p w14:paraId="10CDA9A0">
      <w:pPr>
        <w:adjustRightInd w:val="0"/>
        <w:snapToGrid w:val="0"/>
        <w:spacing w:line="560" w:lineRule="exact"/>
        <w:ind w:firstLine="420" w:firstLineChars="200"/>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5.打磨找平：使用研磨机或抛丸机打磨基层，清除浮尘并提高粗糙度，确保底漆附着力达标。测量基础层的平整度，必要时应进行找平；</w:t>
      </w:r>
    </w:p>
    <w:p w14:paraId="1CD611AA">
      <w:pPr>
        <w:adjustRightInd w:val="0"/>
        <w:snapToGrid w:val="0"/>
        <w:spacing w:line="560" w:lineRule="exact"/>
        <w:ind w:firstLine="420" w:firstLineChars="200"/>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6.沥青混凝土面层表面应平整、坚实，不得有脱落、掉渣、裂缝、推挤、烂边、粗细料集中等现象；接缝应紧密、平顺，烫缝不应枯焦；面层与路缘石以及其他构筑物之间的接缝应顺畅，确保无积水现象；厚度、质量均符合设计要求。</w:t>
      </w:r>
    </w:p>
    <w:p w14:paraId="3B3B6658">
      <w:pPr>
        <w:adjustRightInd w:val="0"/>
        <w:snapToGrid w:val="0"/>
        <w:spacing w:line="560" w:lineRule="exact"/>
        <w:ind w:firstLine="420" w:firstLineChars="200"/>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（二）跑道</w:t>
      </w:r>
    </w:p>
    <w:p w14:paraId="75124D48">
      <w:pPr>
        <w:adjustRightInd w:val="0"/>
        <w:snapToGrid w:val="0"/>
        <w:spacing w:line="560" w:lineRule="exact"/>
        <w:ind w:firstLine="420" w:firstLineChars="200"/>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铣刨拆除跑道现有塑胶面层，将胶结材料清理干净。拆除垃圾外运。对塑胶面层基础进行打磨，跑道及跑道区</w:t>
      </w:r>
      <w:bookmarkStart w:id="1" w:name="OLE_LINK1"/>
      <w:r>
        <w:rPr>
          <w:rFonts w:hint="eastAsia" w:ascii="仿宋_GB2312" w:hAnsi="仿宋" w:eastAsia="仿宋_GB2312" w:cs="仿宋_GB2312"/>
          <w:color w:val="000000"/>
          <w:kern w:val="0"/>
          <w:szCs w:val="32"/>
          <w:lang w:bidi="ar"/>
        </w:rPr>
        <w:t>外打磨厚度≥5mm</w:t>
      </w:r>
      <w:bookmarkEnd w:id="1"/>
      <w:r>
        <w:rPr>
          <w:rFonts w:hint="eastAsia" w:ascii="仿宋_GB2312" w:hAnsi="仿宋" w:eastAsia="仿宋_GB2312" w:cs="仿宋_GB2312"/>
          <w:color w:val="000000"/>
          <w:kern w:val="0"/>
          <w:szCs w:val="32"/>
          <w:lang w:bidi="ar"/>
        </w:rPr>
        <w:t>，半圆区打磨厚度能够满足面层与跑道面层标高一致，修补、找平后铺设预制型橡胶跑道面层，主跑道铺设13mm预制型橡胶跑道面层；副场及半圆区铺设9mm预制型橡胶跑道面层，预制型橡胶跑道面层与其他场地面层接缝严密平整平滑过渡。</w:t>
      </w:r>
    </w:p>
    <w:p w14:paraId="1DDF7101">
      <w:pPr>
        <w:adjustRightInd w:val="0"/>
        <w:snapToGrid w:val="0"/>
        <w:spacing w:line="560" w:lineRule="exact"/>
        <w:ind w:firstLine="420" w:firstLineChars="200"/>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（三）排水沟清理</w:t>
      </w:r>
    </w:p>
    <w:p w14:paraId="4C056704">
      <w:pPr>
        <w:adjustRightInd w:val="0"/>
        <w:snapToGrid w:val="0"/>
        <w:spacing w:line="560" w:lineRule="exact"/>
        <w:ind w:firstLine="420" w:firstLineChars="200"/>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保护性拆除排水沟盖板塑胶面层，清理排水沟，对损坏盖板进行更换，确保排水沟排水通畅。</w:t>
      </w:r>
    </w:p>
    <w:p w14:paraId="2BCAD9FF">
      <w:pPr>
        <w:adjustRightInd w:val="0"/>
        <w:snapToGrid w:val="0"/>
        <w:spacing w:line="560" w:lineRule="exact"/>
        <w:ind w:firstLine="420" w:firstLineChars="200"/>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（四）人造草坪</w:t>
      </w:r>
    </w:p>
    <w:p w14:paraId="3A421D54">
      <w:pPr>
        <w:adjustRightInd w:val="0"/>
        <w:snapToGrid w:val="0"/>
        <w:spacing w:line="560" w:lineRule="exact"/>
        <w:ind w:firstLine="420" w:firstLineChars="200"/>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拆除人造草坪，拆除垃圾外运。对人造草坪基础进行修补、打磨、找平，将胶结材料清理干净后铺设9mm混合型现浇塑胶弹性层，上铺30mm高免填充人造草坪。</w:t>
      </w:r>
    </w:p>
    <w:p w14:paraId="24017DC2">
      <w:pPr>
        <w:spacing w:line="560" w:lineRule="exact"/>
        <w:ind w:firstLine="411" w:firstLineChars="196"/>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（五）硅pu篮球场</w:t>
      </w:r>
    </w:p>
    <w:p w14:paraId="4B5E291F">
      <w:pPr>
        <w:adjustRightInd w:val="0"/>
        <w:snapToGrid w:val="0"/>
        <w:spacing w:line="560" w:lineRule="exact"/>
        <w:ind w:firstLine="420" w:firstLineChars="200"/>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铣刨拆除篮球场现有硅pu面层，拆除垃圾外运。对场地基础进行修补、打磨、找平，将胶结材料清理干净后对基层全场满刮双组份高强度薄层树脂修补乳液材料进行满刮封底流平，提高基础强度和密实度，确保塑胶粘接牢固。上铺设硅pu面层，硅pu场地成型后厚度不低于9mm；</w:t>
      </w:r>
    </w:p>
    <w:p w14:paraId="42FEA07A">
      <w:pPr>
        <w:spacing w:line="560" w:lineRule="exact"/>
        <w:ind w:firstLine="411" w:firstLineChars="196"/>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（六）按照标准场地进行划线，场地配色由招标人任选，篮球场中间需增加校徽；</w:t>
      </w:r>
    </w:p>
    <w:p w14:paraId="2F4D597B">
      <w:pPr>
        <w:spacing w:line="560" w:lineRule="exact"/>
        <w:ind w:firstLine="411" w:firstLineChars="196"/>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（七）拆除场地东侧护栏，在场地东侧人行道新作护栏，原护栏安装位置改为看台，表面刷涂彩色</w:t>
      </w:r>
      <w:r>
        <w:rPr>
          <w:rFonts w:hint="eastAsia" w:ascii="仿宋_GB2312" w:hAnsi="仿宋" w:eastAsia="仿宋_GB2312"/>
          <w:szCs w:val="32"/>
        </w:rPr>
        <w:t>硅PU晶罡地坪，</w:t>
      </w:r>
      <w:r>
        <w:rPr>
          <w:rFonts w:hint="eastAsia" w:ascii="仿宋_GB2312" w:hAnsi="仿宋" w:eastAsia="仿宋_GB2312" w:cs="仿宋_GB2312"/>
          <w:color w:val="000000"/>
          <w:kern w:val="0"/>
          <w:szCs w:val="32"/>
          <w:lang w:bidi="ar"/>
        </w:rPr>
        <w:t>颜色、图案由中标单位提供建设单位任选不增加费用；</w:t>
      </w:r>
    </w:p>
    <w:p w14:paraId="0E344018">
      <w:pPr>
        <w:spacing w:line="560" w:lineRule="exact"/>
        <w:ind w:firstLine="411" w:firstLineChars="196"/>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（八）对周围破损沥青混凝土道路、人行道进行翻新改造。</w:t>
      </w:r>
    </w:p>
    <w:p w14:paraId="27B813E4">
      <w:pPr>
        <w:spacing w:line="560" w:lineRule="exact"/>
        <w:ind w:firstLine="411" w:firstLineChars="196"/>
        <w:rPr>
          <w:rFonts w:ascii="仿宋_GB2312" w:hAnsi="仿宋" w:eastAsia="仿宋_GB2312" w:cs="仿宋_GB2312"/>
          <w:color w:val="000000"/>
          <w:kern w:val="0"/>
          <w:szCs w:val="32"/>
          <w:lang w:bidi="ar"/>
        </w:rPr>
      </w:pPr>
      <w:r>
        <w:rPr>
          <w:rFonts w:hint="eastAsia" w:ascii="仿宋_GB2312" w:hAnsi="仿宋" w:eastAsia="仿宋_GB2312" w:cs="仿宋_GB2312"/>
          <w:color w:val="000000"/>
          <w:kern w:val="0"/>
          <w:szCs w:val="32"/>
          <w:lang w:bidi="ar"/>
        </w:rPr>
        <w:t>（九）拆除更换场地内排烟口顶棚，对场地内钢结构出入口的钢构件原油漆面层进行拆除、打磨、除锈后，重新喷涂防锈底漆、氟碳底漆和面漆。</w:t>
      </w:r>
    </w:p>
    <w:p w14:paraId="7317A534">
      <w:pPr>
        <w:spacing w:line="560" w:lineRule="exact"/>
        <w:ind w:firstLine="645"/>
        <w:rPr>
          <w:rFonts w:ascii="仿宋_GB2312" w:hAnsi="仿宋" w:eastAsia="仿宋_GB2312"/>
          <w:szCs w:val="32"/>
        </w:rPr>
      </w:pPr>
      <w:r>
        <w:rPr>
          <w:rFonts w:hint="eastAsia" w:ascii="仿宋_GB2312" w:hAnsi="仿宋" w:eastAsia="仿宋_GB2312"/>
          <w:szCs w:val="32"/>
        </w:rPr>
        <w:t>（十）拆除场地现有灯头，新装体育场地专用照明灯具；</w:t>
      </w:r>
    </w:p>
    <w:p w14:paraId="1E3002A9">
      <w:pPr>
        <w:spacing w:line="560" w:lineRule="exact"/>
        <w:ind w:firstLine="645"/>
        <w:rPr>
          <w:rFonts w:ascii="仿宋_GB2312" w:hAnsi="仿宋" w:eastAsia="仿宋_GB2312"/>
          <w:szCs w:val="32"/>
        </w:rPr>
      </w:pPr>
      <w:r>
        <w:rPr>
          <w:rFonts w:hint="eastAsia" w:ascii="仿宋_GB2312" w:hAnsi="仿宋" w:eastAsia="仿宋_GB2312"/>
          <w:szCs w:val="32"/>
        </w:rPr>
        <w:t>（十一）体育器械采购，包括室外篮球架</w:t>
      </w:r>
      <w:r>
        <w:rPr>
          <w:rFonts w:ascii="仿宋_GB2312" w:hAnsi="仿宋" w:eastAsia="仿宋_GB2312"/>
          <w:szCs w:val="32"/>
        </w:rPr>
        <w:t>12</w:t>
      </w:r>
      <w:r>
        <w:rPr>
          <w:rFonts w:hint="eastAsia" w:ascii="仿宋_GB2312" w:hAnsi="仿宋" w:eastAsia="仿宋_GB2312"/>
          <w:szCs w:val="32"/>
        </w:rPr>
        <w:t>个，乒乓球台8个，五人制足球门6个，移动式羽毛球柱及球网3个。</w:t>
      </w:r>
    </w:p>
    <w:p w14:paraId="63459F50">
      <w:pPr>
        <w:spacing w:line="560" w:lineRule="exact"/>
        <w:ind w:firstLine="645"/>
        <w:rPr>
          <w:rFonts w:ascii="仿宋_GB2312" w:hAnsi="仿宋" w:eastAsia="仿宋_GB2312"/>
          <w:szCs w:val="32"/>
        </w:rPr>
      </w:pPr>
      <w:r>
        <w:rPr>
          <w:rFonts w:hint="eastAsia" w:ascii="仿宋_GB2312" w:hAnsi="仿宋" w:eastAsia="仿宋_GB2312"/>
          <w:szCs w:val="32"/>
        </w:rPr>
        <w:t>（十二）更换球场大门三樘，拆除东侧护栏，新作东侧护栏基础及护栏；</w:t>
      </w:r>
    </w:p>
    <w:p w14:paraId="70E9405C">
      <w:pPr>
        <w:spacing w:line="560" w:lineRule="exact"/>
        <w:ind w:firstLine="645"/>
        <w:rPr>
          <w:rFonts w:ascii="仿宋_GB2312" w:hAnsi="仿宋" w:eastAsia="仿宋_GB2312"/>
          <w:szCs w:val="32"/>
        </w:rPr>
      </w:pPr>
      <w:r>
        <w:rPr>
          <w:rFonts w:hint="eastAsia" w:ascii="仿宋_GB2312" w:hAnsi="仿宋" w:eastAsia="仿宋_GB2312"/>
          <w:szCs w:val="32"/>
        </w:rPr>
        <w:t>（十三）本项目设计图纸和工程量清单范围内的全部内容。</w:t>
      </w:r>
    </w:p>
    <w:bookmarkEnd w:id="0"/>
    <w:p w14:paraId="7BD85967">
      <w:pPr>
        <w:spacing w:line="560" w:lineRule="exact"/>
        <w:ind w:firstLine="645"/>
        <w:rPr>
          <w:rFonts w:ascii="仿宋_GB2312" w:hAnsi="仿宋" w:eastAsia="仿宋_GB2312"/>
          <w:b/>
          <w:bCs/>
          <w:szCs w:val="32"/>
        </w:rPr>
      </w:pPr>
      <w:r>
        <w:rPr>
          <w:rFonts w:hint="eastAsia" w:ascii="仿宋_GB2312" w:hAnsi="仿宋" w:eastAsia="仿宋_GB2312"/>
          <w:b/>
          <w:bCs/>
          <w:szCs w:val="32"/>
        </w:rPr>
        <w:t>三、技术要求</w:t>
      </w:r>
    </w:p>
    <w:p w14:paraId="0C6BA3BE">
      <w:pPr>
        <w:spacing w:line="560" w:lineRule="exact"/>
        <w:ind w:firstLine="645"/>
        <w:rPr>
          <w:rFonts w:ascii="仿宋_GB2312" w:hAnsi="仿宋" w:eastAsia="仿宋_GB2312"/>
          <w:szCs w:val="32"/>
        </w:rPr>
      </w:pPr>
      <w:r>
        <w:rPr>
          <w:rFonts w:hint="eastAsia" w:ascii="仿宋_GB2312" w:hAnsi="仿宋" w:eastAsia="仿宋_GB2312"/>
          <w:szCs w:val="32"/>
        </w:rPr>
        <w:t>（一）预制型</w:t>
      </w:r>
      <w:r>
        <w:rPr>
          <w:rFonts w:hint="eastAsia" w:ascii="仿宋_GB2312" w:hAnsi="仿宋" w:eastAsia="仿宋_GB2312" w:cs="仿宋_GB2312"/>
          <w:color w:val="000000"/>
          <w:kern w:val="0"/>
          <w:szCs w:val="32"/>
          <w:lang w:bidi="ar"/>
        </w:rPr>
        <w:t>橡胶跑道面层</w:t>
      </w:r>
    </w:p>
    <w:p w14:paraId="1ED5B467">
      <w:pPr>
        <w:spacing w:line="560" w:lineRule="exact"/>
        <w:ind w:firstLine="420" w:firstLineChars="200"/>
        <w:rPr>
          <w:rFonts w:ascii="仿宋_GB2312" w:hAnsi="仿宋" w:eastAsia="仿宋_GB2312"/>
          <w:szCs w:val="32"/>
        </w:rPr>
      </w:pPr>
      <w:r>
        <w:rPr>
          <w:rFonts w:hint="eastAsia" w:ascii="仿宋_GB2312" w:hAnsi="仿宋" w:eastAsia="仿宋_GB2312"/>
          <w:szCs w:val="32"/>
        </w:rPr>
        <w:t>1.预制型</w:t>
      </w:r>
      <w:r>
        <w:rPr>
          <w:rFonts w:hint="eastAsia" w:ascii="仿宋_GB2312" w:hAnsi="仿宋" w:eastAsia="仿宋_GB2312" w:cs="仿宋_GB2312"/>
          <w:color w:val="000000"/>
          <w:kern w:val="0"/>
          <w:szCs w:val="32"/>
          <w:lang w:bidi="ar"/>
        </w:rPr>
        <w:t>橡胶跑道面层采用天然优质橡胶原料，面层耐磨不</w:t>
      </w:r>
      <w:r>
        <w:rPr>
          <w:rFonts w:hint="eastAsia" w:ascii="仿宋_GB2312" w:hAnsi="仿宋" w:eastAsia="仿宋_GB2312"/>
          <w:szCs w:val="32"/>
        </w:rPr>
        <w:t>开裂，天然胶（聚异戊二烯）含量不小于40%，幅宽≥1.22米，厚度不允许出现负偏差，其物理性能、有害物质限量及气味要求需符合国标GB36246-2018《中小学合成材料面层运动场地》、GB/T22517.6-2020《体育场地使用要求及检验方法第6部分：田径场地》等标准规范的要求。</w:t>
      </w:r>
    </w:p>
    <w:p w14:paraId="08EE5E9F">
      <w:pPr>
        <w:spacing w:line="560" w:lineRule="exact"/>
        <w:ind w:firstLine="645"/>
        <w:rPr>
          <w:rFonts w:ascii="仿宋_GB2312" w:hAnsi="仿宋" w:eastAsia="仿宋_GB2312"/>
          <w:szCs w:val="32"/>
        </w:rPr>
      </w:pPr>
      <w:r>
        <w:rPr>
          <w:rFonts w:hint="eastAsia" w:ascii="宋体" w:hAnsi="宋体" w:eastAsia="仿宋_GB2312" w:cs="宋体"/>
          <w:sz w:val="24"/>
          <w:lang w:eastAsia="zh-CN"/>
        </w:rPr>
        <w:t>▲</w:t>
      </w:r>
      <w:r>
        <w:rPr>
          <w:rFonts w:hint="eastAsia" w:ascii="仿宋_GB2312" w:hAnsi="仿宋" w:eastAsia="仿宋_GB2312"/>
          <w:szCs w:val="32"/>
        </w:rPr>
        <w:t>2.胶粘剂：面层专用胶粘剂的强度和环保性满足GB/T 2794-2022 和GB/T 43564-2023 《中小学合成材料面层田径场地》标准的有关规定，须为预制橡胶跑道厂家生产的专用胶粘剂，为双组份，粘度需达到体育场地的有关要求。</w:t>
      </w:r>
    </w:p>
    <w:p w14:paraId="15B7822E">
      <w:pPr>
        <w:spacing w:line="560" w:lineRule="exact"/>
        <w:ind w:firstLine="645"/>
        <w:rPr>
          <w:rFonts w:ascii="仿宋_GB2312" w:hAnsi="仿宋" w:eastAsia="仿宋_GB2312"/>
          <w:szCs w:val="32"/>
        </w:rPr>
      </w:pPr>
      <w:r>
        <w:rPr>
          <w:rFonts w:hint="eastAsia" w:ascii="宋体" w:hAnsi="宋体" w:eastAsia="仿宋_GB2312" w:cs="宋体"/>
          <w:sz w:val="24"/>
          <w:lang w:eastAsia="zh-CN"/>
        </w:rPr>
        <w:t>▲</w:t>
      </w:r>
      <w:r>
        <w:rPr>
          <w:rFonts w:hint="eastAsia" w:ascii="仿宋_GB2312" w:hAnsi="仿宋" w:eastAsia="仿宋_GB2312"/>
          <w:szCs w:val="32"/>
        </w:rPr>
        <w:t>3.预制型</w:t>
      </w:r>
      <w:r>
        <w:rPr>
          <w:rFonts w:hint="eastAsia" w:ascii="仿宋_GB2312" w:hAnsi="仿宋" w:eastAsia="仿宋_GB2312" w:cs="仿宋_GB2312"/>
          <w:color w:val="000000"/>
          <w:kern w:val="0"/>
          <w:szCs w:val="32"/>
          <w:lang w:bidi="ar"/>
        </w:rPr>
        <w:t>橡胶跑道面层的物理性能、耐候性能和老化性能应能够满足</w:t>
      </w:r>
      <w:r>
        <w:rPr>
          <w:rFonts w:hint="eastAsia" w:ascii="仿宋_GB2312" w:hAnsi="仿宋" w:eastAsia="仿宋_GB2312"/>
          <w:szCs w:val="32"/>
        </w:rPr>
        <w:t>GB/T22517.6-2020《体育场地使用要求及检验方法第6部分：田径场地》和GB/T14833-2020</w:t>
      </w:r>
      <w:r>
        <w:rPr>
          <w:rFonts w:hint="eastAsia" w:ascii="仿宋_GB2312" w:hAnsi="仿宋" w:eastAsia="仿宋_GB2312" w:cs="宋体"/>
          <w:color w:val="000000"/>
          <w:szCs w:val="32"/>
        </w:rPr>
        <w:t>《合成材料运动场地面层》</w:t>
      </w:r>
      <w:r>
        <w:rPr>
          <w:rFonts w:hint="eastAsia" w:ascii="仿宋_GB2312" w:hAnsi="仿宋" w:eastAsia="仿宋_GB2312"/>
          <w:szCs w:val="32"/>
        </w:rPr>
        <w:t>等相关标准和规范的要求，并提供相应的检测报告。</w:t>
      </w:r>
    </w:p>
    <w:p w14:paraId="27D44E1E">
      <w:pPr>
        <w:spacing w:line="560" w:lineRule="exact"/>
        <w:ind w:firstLine="645"/>
        <w:rPr>
          <w:rFonts w:ascii="仿宋_GB2312" w:hAnsi="仿宋" w:eastAsia="仿宋_GB2312"/>
          <w:szCs w:val="32"/>
        </w:rPr>
      </w:pPr>
      <w:r>
        <w:rPr>
          <w:rFonts w:hint="eastAsia" w:ascii="仿宋_GB2312" w:hAnsi="仿宋" w:eastAsia="仿宋_GB2312"/>
          <w:szCs w:val="32"/>
        </w:rPr>
        <w:t>4.预制型橡胶跑道面层推荐使用纽威特（优耐、超越系列）、华东控股（固得、固特系列）、盟多（S</w:t>
      </w:r>
      <w:r>
        <w:rPr>
          <w:rFonts w:ascii="仿宋_GB2312" w:hAnsi="仿宋" w:eastAsia="仿宋_GB2312"/>
          <w:szCs w:val="32"/>
        </w:rPr>
        <w:t>SX-E</w:t>
      </w:r>
      <w:r>
        <w:rPr>
          <w:rFonts w:hint="eastAsia" w:ascii="仿宋_GB2312" w:hAnsi="仿宋" w:eastAsia="仿宋_GB2312"/>
          <w:szCs w:val="32"/>
        </w:rPr>
        <w:t>、S</w:t>
      </w:r>
      <w:r>
        <w:rPr>
          <w:rFonts w:ascii="仿宋_GB2312" w:hAnsi="仿宋" w:eastAsia="仿宋_GB2312"/>
          <w:szCs w:val="32"/>
        </w:rPr>
        <w:t>SX</w:t>
      </w:r>
      <w:r>
        <w:rPr>
          <w:rFonts w:hint="eastAsia" w:ascii="仿宋_GB2312" w:hAnsi="仿宋" w:eastAsia="仿宋_GB2312"/>
          <w:szCs w:val="32"/>
        </w:rPr>
        <w:t>系列）等中国田协审定A级品牌</w:t>
      </w:r>
      <w:r>
        <w:rPr>
          <w:rFonts w:hint="eastAsia"/>
        </w:rPr>
        <w:t>或相同质量的产品</w:t>
      </w:r>
      <w:r>
        <w:rPr>
          <w:rFonts w:hint="eastAsia" w:ascii="仿宋_GB2312" w:hAnsi="仿宋" w:eastAsia="仿宋_GB2312"/>
          <w:szCs w:val="32"/>
        </w:rPr>
        <w:t>。所选用品牌产品应提供生产厂家合法渠道来源证明。</w:t>
      </w:r>
    </w:p>
    <w:p w14:paraId="02CB6E9C">
      <w:pPr>
        <w:spacing w:line="560" w:lineRule="exact"/>
        <w:ind w:firstLine="645"/>
        <w:rPr>
          <w:rFonts w:ascii="仿宋_GB2312" w:hAnsi="仿宋" w:eastAsia="仿宋_GB2312"/>
          <w:szCs w:val="32"/>
        </w:rPr>
      </w:pPr>
      <w:r>
        <w:rPr>
          <w:rFonts w:hint="eastAsia" w:ascii="仿宋_GB2312" w:hAnsi="仿宋" w:eastAsia="仿宋_GB2312"/>
          <w:szCs w:val="32"/>
        </w:rPr>
        <w:t>（二）足球场</w:t>
      </w:r>
    </w:p>
    <w:p w14:paraId="59006627">
      <w:pPr>
        <w:spacing w:line="560" w:lineRule="exact"/>
        <w:ind w:firstLine="645"/>
        <w:rPr>
          <w:rFonts w:ascii="仿宋_GB2312" w:hAnsi="仿宋" w:eastAsia="仿宋_GB2312"/>
          <w:szCs w:val="32"/>
        </w:rPr>
      </w:pPr>
      <w:r>
        <w:rPr>
          <w:rFonts w:hint="eastAsia" w:ascii="仿宋_GB2312" w:hAnsi="仿宋" w:eastAsia="仿宋_GB2312"/>
          <w:szCs w:val="32"/>
        </w:rPr>
        <w:t>1.足球场下部为9mm混合型现浇塑胶弹性层上铺30mm厚免填充人造草坪。弹性层和草坪应表面平整，无明显凹凸不平；密度均匀，无明显露针现象；无明显色差；草坪表面无明显胶斑、涂胶均匀，无破损现象；纵向、横向间距均匀，无明显歪线、跳线；草坪接缝平坦粘接牢固；草苗柔软舒适，富有弹性，有很好的安全性和抗践踏冲击性。</w:t>
      </w:r>
    </w:p>
    <w:p w14:paraId="2158B44B">
      <w:pPr>
        <w:spacing w:line="560" w:lineRule="exact"/>
        <w:ind w:firstLine="645"/>
        <w:rPr>
          <w:rFonts w:ascii="仿宋_GB2312" w:hAnsi="仿宋" w:eastAsia="仿宋_GB2312"/>
          <w:szCs w:val="32"/>
        </w:rPr>
      </w:pPr>
      <w:r>
        <w:rPr>
          <w:rFonts w:hint="eastAsia" w:ascii="仿宋_GB2312" w:hAnsi="仿宋" w:eastAsia="仿宋_GB2312"/>
          <w:szCs w:val="32"/>
        </w:rPr>
        <w:t>2.混合型现浇塑胶弹性层，成品厚度≥9mm。面层结构工艺为：“专用底涂粘接层+聚氨酯弹性层+聚氨酯面胶层”的结构体系。其中：弹性层7mm，双组份聚氨酯材料+EPDM颗粒混合料；面胶层2mm，光面聚氨酯高强抗压耐磨抗老化面层。塑胶面层不透水，无缝隙或分层现象；面胶层与弹性层粘合牢固、无凹凸颗粒现象；表面色泽均匀、耐磨抗压抗老化。任何位置3米靠尺3mm水平误差以下。平整度合格率不小于85%。</w:t>
      </w:r>
    </w:p>
    <w:p w14:paraId="13E9A69E">
      <w:pPr>
        <w:spacing w:line="560" w:lineRule="exact"/>
        <w:ind w:firstLine="645"/>
        <w:rPr>
          <w:rFonts w:ascii="仿宋_GB2312" w:hAnsi="仿宋" w:eastAsia="仿宋_GB2312"/>
          <w:szCs w:val="32"/>
        </w:rPr>
      </w:pPr>
      <w:r>
        <w:rPr>
          <w:rFonts w:hint="eastAsia" w:ascii="仿宋_GB2312" w:hAnsi="仿宋" w:eastAsia="仿宋_GB2312"/>
          <w:szCs w:val="32"/>
        </w:rPr>
        <w:t>3</w:t>
      </w:r>
      <w:r>
        <w:rPr>
          <w:rFonts w:ascii="仿宋_GB2312" w:hAnsi="仿宋" w:eastAsia="仿宋_GB2312"/>
          <w:szCs w:val="32"/>
        </w:rPr>
        <w:t>.</w:t>
      </w:r>
      <w:r>
        <w:rPr>
          <w:rFonts w:hint="eastAsia" w:ascii="仿宋_GB2312" w:hAnsi="仿宋" w:eastAsia="仿宋_GB2312"/>
          <w:szCs w:val="32"/>
        </w:rPr>
        <w:t>弹性层中EPDM颗粒填充量含量≤35%，颗粒高聚物含量≥20%，符合《GB36246-2018中小学合成材料面层运动场地》相关要求，具有“CMA”资质的检验报告。</w:t>
      </w:r>
    </w:p>
    <w:p w14:paraId="3719F554">
      <w:pPr>
        <w:spacing w:line="560" w:lineRule="exact"/>
        <w:ind w:firstLine="645"/>
        <w:rPr>
          <w:rFonts w:ascii="仿宋_GB2312" w:hAnsi="仿宋" w:eastAsia="仿宋_GB2312"/>
          <w:szCs w:val="32"/>
        </w:rPr>
      </w:pPr>
      <w:r>
        <w:rPr>
          <w:rFonts w:ascii="仿宋_GB2312" w:hAnsi="仿宋" w:eastAsia="仿宋_GB2312"/>
          <w:szCs w:val="32"/>
        </w:rPr>
        <w:t>4</w:t>
      </w:r>
      <w:r>
        <w:rPr>
          <w:rFonts w:hint="eastAsia" w:ascii="仿宋_GB2312" w:hAnsi="仿宋" w:eastAsia="仿宋_GB2312"/>
          <w:szCs w:val="32"/>
        </w:rPr>
        <w:t>.混合型现浇塑胶弹性层的合成面层非固体原料、合成面层固体原料中的有害物质限量、高聚物、合成面层成品等环保性能和材料物理机械性能以及耐老化性能应符合《GB 36246-2018中小学合成材料面层运动场地》的有关要求。混合型合成塑胶面层产品经中国田径协会审定A级产品或同等质量产品；</w:t>
      </w:r>
    </w:p>
    <w:p w14:paraId="7D156407">
      <w:pPr>
        <w:spacing w:line="560" w:lineRule="exact"/>
        <w:ind w:firstLine="645"/>
        <w:rPr>
          <w:rFonts w:ascii="仿宋_GB2312" w:hAnsi="仿宋" w:eastAsia="仿宋_GB2312"/>
          <w:szCs w:val="32"/>
        </w:rPr>
      </w:pPr>
      <w:r>
        <w:rPr>
          <w:rFonts w:ascii="仿宋_GB2312" w:hAnsi="仿宋" w:eastAsia="仿宋_GB2312"/>
          <w:szCs w:val="32"/>
        </w:rPr>
        <w:t>5</w:t>
      </w:r>
      <w:r>
        <w:rPr>
          <w:rFonts w:hint="eastAsia" w:ascii="仿宋_GB2312" w:hAnsi="仿宋" w:eastAsia="仿宋_GB2312"/>
          <w:szCs w:val="32"/>
        </w:rPr>
        <w:t>.人造草坪性能符合GB36246-2018《中小学合成材料面层运动场地》、GB/T14833-2020《合成材料运动场地面层》、GB/T22517.6-2020《体育场地使用要求及检验方法第5部分：足球场地》、GB/T20394-2019标准。具体指标如下。</w:t>
      </w:r>
    </w:p>
    <w:p w14:paraId="2B3EC5F2">
      <w:pPr>
        <w:spacing w:line="560" w:lineRule="exact"/>
        <w:ind w:firstLine="645"/>
        <w:rPr>
          <w:rFonts w:ascii="仿宋_GB2312" w:hAnsi="仿宋" w:eastAsia="仿宋_GB2312"/>
          <w:szCs w:val="32"/>
        </w:rPr>
      </w:pPr>
      <w:r>
        <w:rPr>
          <w:rFonts w:ascii="仿宋_GB2312" w:hAnsi="仿宋" w:eastAsia="仿宋_GB2312"/>
          <w:szCs w:val="32"/>
        </w:rPr>
        <w:t>6</w:t>
      </w:r>
      <w:r>
        <w:rPr>
          <w:rFonts w:hint="eastAsia" w:ascii="仿宋_GB2312" w:hAnsi="仿宋" w:eastAsia="仿宋_GB2312"/>
          <w:szCs w:val="32"/>
        </w:rPr>
        <w:t>.人造草坪与基层采用配套双组份胶粘剂粘接，场地四周满粘，场地内采用点粘或“s”型粘接。</w:t>
      </w:r>
    </w:p>
    <w:p w14:paraId="506DF3D9">
      <w:pPr>
        <w:spacing w:line="360" w:lineRule="auto"/>
        <w:jc w:val="center"/>
        <w:rPr>
          <w:rFonts w:ascii="仿宋_GB2312" w:hAnsi="宋体" w:eastAsia="仿宋_GB2312" w:cs="宋体"/>
        </w:rPr>
      </w:pPr>
      <w:r>
        <w:rPr>
          <w:rFonts w:hint="eastAsia" w:ascii="仿宋_GB2312" w:hAnsi="宋体" w:eastAsia="仿宋_GB2312" w:cs="宋体"/>
          <w:szCs w:val="21"/>
          <w:lang w:val="zh-TW" w:eastAsia="zh-TW"/>
        </w:rPr>
        <w:t>人造草坪产品质量性能要求</w:t>
      </w:r>
    </w:p>
    <w:tbl>
      <w:tblPr>
        <w:tblStyle w:val="2"/>
        <w:tblW w:w="8472"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Layout w:type="fixed"/>
        <w:tblCellMar>
          <w:top w:w="0" w:type="dxa"/>
          <w:left w:w="10" w:type="dxa"/>
          <w:bottom w:w="0" w:type="dxa"/>
          <w:right w:w="10" w:type="dxa"/>
        </w:tblCellMar>
      </w:tblPr>
      <w:tblGrid>
        <w:gridCol w:w="1836"/>
        <w:gridCol w:w="6636"/>
      </w:tblGrid>
      <w:tr w14:paraId="080DF8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10" w:type="dxa"/>
            <w:bottom w:w="0" w:type="dxa"/>
            <w:right w:w="10" w:type="dxa"/>
          </w:tblCellMar>
        </w:tblPrEx>
        <w:trPr>
          <w:trHeight w:val="428" w:hRule="atLeast"/>
        </w:trPr>
        <w:tc>
          <w:tcPr>
            <w:tcW w:w="8472" w:type="dxa"/>
            <w:gridSpan w:val="2"/>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center"/>
          </w:tcPr>
          <w:p w14:paraId="362E003D">
            <w:pPr>
              <w:spacing w:line="360" w:lineRule="auto"/>
              <w:jc w:val="center"/>
              <w:rPr>
                <w:rFonts w:ascii="仿宋_GB2312" w:hAnsi="宋体" w:eastAsia="仿宋_GB2312" w:cs="宋体"/>
              </w:rPr>
            </w:pPr>
            <w:r>
              <w:rPr>
                <w:rFonts w:hint="eastAsia" w:ascii="仿宋_GB2312" w:hAnsi="宋体" w:eastAsia="仿宋_GB2312" w:cs="宋体"/>
                <w:szCs w:val="21"/>
                <w:lang w:val="zh-TW" w:eastAsia="zh-TW"/>
              </w:rPr>
              <w:t>免填充人造草坪技术参数</w:t>
            </w:r>
          </w:p>
        </w:tc>
      </w:tr>
      <w:tr w14:paraId="756CAF5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10" w:type="dxa"/>
            <w:bottom w:w="0" w:type="dxa"/>
            <w:right w:w="10" w:type="dxa"/>
          </w:tblCellMar>
        </w:tblPrEx>
        <w:trPr>
          <w:trHeight w:val="210" w:hRule="atLeast"/>
        </w:trPr>
        <w:tc>
          <w:tcPr>
            <w:tcW w:w="18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center"/>
          </w:tcPr>
          <w:p w14:paraId="56239849">
            <w:pPr>
              <w:spacing w:line="360" w:lineRule="auto"/>
              <w:rPr>
                <w:rFonts w:hint="eastAsia" w:ascii="仿宋_GB2312" w:hAnsi="宋体" w:eastAsia="仿宋_GB2312" w:cs="宋体"/>
                <w:szCs w:val="21"/>
                <w:lang w:val="zh-TW" w:eastAsia="zh-CN"/>
              </w:rPr>
            </w:pPr>
            <w:r>
              <w:rPr>
                <w:rFonts w:hint="eastAsia" w:ascii="仿宋_GB2312" w:hAnsi="宋体" w:eastAsia="仿宋_GB2312" w:cs="宋体"/>
                <w:szCs w:val="21"/>
                <w:lang w:val="zh-TW" w:eastAsia="zh-TW"/>
              </w:rPr>
              <w:t>草纤维类型</w:t>
            </w:r>
            <w:r>
              <w:rPr>
                <w:rFonts w:hint="eastAsia" w:ascii="宋体" w:hAnsi="宋体" w:eastAsia="仿宋_GB2312" w:cs="宋体"/>
                <w:sz w:val="24"/>
                <w:lang w:eastAsia="zh-CN"/>
              </w:rPr>
              <w:t>▲</w:t>
            </w:r>
          </w:p>
        </w:tc>
        <w:tc>
          <w:tcPr>
            <w:tcW w:w="66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center"/>
          </w:tcPr>
          <w:p w14:paraId="45BB311B">
            <w:pPr>
              <w:spacing w:line="360" w:lineRule="auto"/>
              <w:rPr>
                <w:rFonts w:ascii="仿宋_GB2312" w:hAnsi="宋体" w:eastAsia="仿宋_GB2312" w:cs="宋体"/>
                <w:szCs w:val="21"/>
                <w:lang w:val="zh-TW" w:eastAsia="zh-TW"/>
              </w:rPr>
            </w:pPr>
            <w:r>
              <w:rPr>
                <w:rFonts w:hint="eastAsia" w:ascii="仿宋_GB2312" w:hAnsi="宋体" w:eastAsia="仿宋_GB2312" w:cs="宋体"/>
                <w:szCs w:val="21"/>
                <w:lang w:val="zh-TW" w:eastAsia="zh-TW"/>
              </w:rPr>
              <w:t>高耐磨菱形P</w:t>
            </w:r>
            <w:r>
              <w:rPr>
                <w:rFonts w:ascii="仿宋_GB2312" w:hAnsi="宋体" w:eastAsia="仿宋_GB2312" w:cs="宋体"/>
                <w:szCs w:val="21"/>
                <w:lang w:val="zh-TW" w:eastAsia="zh-TW"/>
              </w:rPr>
              <w:t>E</w:t>
            </w:r>
            <w:r>
              <w:rPr>
                <w:rFonts w:hint="eastAsia" w:ascii="仿宋_GB2312" w:hAnsi="宋体" w:eastAsia="仿宋_GB2312" w:cs="宋体"/>
                <w:szCs w:val="21"/>
                <w:lang w:val="zh-TW" w:eastAsia="zh-TW"/>
              </w:rPr>
              <w:t>直丝包纱草纤维（1</w:t>
            </w:r>
            <w:r>
              <w:rPr>
                <w:rFonts w:ascii="仿宋_GB2312" w:hAnsi="宋体" w:eastAsia="仿宋_GB2312" w:cs="宋体"/>
                <w:szCs w:val="21"/>
                <w:lang w:val="zh-TW" w:eastAsia="zh-TW"/>
              </w:rPr>
              <w:t>00%</w:t>
            </w:r>
            <w:r>
              <w:rPr>
                <w:rFonts w:hint="eastAsia" w:ascii="仿宋_GB2312" w:hAnsi="宋体" w:eastAsia="仿宋_GB2312" w:cs="宋体"/>
                <w:szCs w:val="21"/>
                <w:lang w:val="zh-TW" w:eastAsia="zh-TW"/>
              </w:rPr>
              <w:t>原生料）+高耐磨P</w:t>
            </w:r>
            <w:r>
              <w:rPr>
                <w:rFonts w:ascii="仿宋_GB2312" w:hAnsi="宋体" w:eastAsia="仿宋_GB2312" w:cs="宋体"/>
                <w:szCs w:val="21"/>
                <w:lang w:val="zh-TW" w:eastAsia="zh-TW"/>
              </w:rPr>
              <w:t>E</w:t>
            </w:r>
            <w:r>
              <w:rPr>
                <w:rFonts w:hint="eastAsia" w:ascii="仿宋_GB2312" w:hAnsi="宋体" w:eastAsia="仿宋_GB2312" w:cs="宋体"/>
                <w:szCs w:val="21"/>
                <w:lang w:val="zh-TW" w:eastAsia="zh-TW"/>
              </w:rPr>
              <w:t>曲丝草纤维</w:t>
            </w:r>
          </w:p>
        </w:tc>
      </w:tr>
      <w:tr w14:paraId="4AEA3A7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10" w:type="dxa"/>
            <w:bottom w:w="0" w:type="dxa"/>
            <w:right w:w="10" w:type="dxa"/>
          </w:tblCellMar>
        </w:tblPrEx>
        <w:trPr>
          <w:trHeight w:val="210" w:hRule="atLeast"/>
        </w:trPr>
        <w:tc>
          <w:tcPr>
            <w:tcW w:w="18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center"/>
          </w:tcPr>
          <w:p w14:paraId="62FE6A7F">
            <w:pPr>
              <w:spacing w:line="360" w:lineRule="auto"/>
              <w:rPr>
                <w:rFonts w:ascii="仿宋_GB2312" w:hAnsi="宋体" w:eastAsia="仿宋_GB2312" w:cs="宋体"/>
                <w:szCs w:val="21"/>
                <w:lang w:val="zh-TW" w:eastAsia="zh-TW"/>
              </w:rPr>
            </w:pPr>
            <w:r>
              <w:rPr>
                <w:rFonts w:hint="eastAsia" w:ascii="仿宋_GB2312" w:hAnsi="宋体" w:eastAsia="仿宋_GB2312" w:cs="宋体"/>
                <w:szCs w:val="21"/>
                <w:lang w:val="zh-TW" w:eastAsia="zh-TW"/>
              </w:rPr>
              <w:t>草高</w:t>
            </w:r>
          </w:p>
        </w:tc>
        <w:tc>
          <w:tcPr>
            <w:tcW w:w="66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center"/>
          </w:tcPr>
          <w:p w14:paraId="36922B65">
            <w:pPr>
              <w:spacing w:line="360" w:lineRule="auto"/>
              <w:rPr>
                <w:rFonts w:ascii="仿宋_GB2312" w:hAnsi="宋体" w:eastAsia="仿宋_GB2312" w:cs="宋体"/>
                <w:szCs w:val="21"/>
                <w:lang w:val="zh-TW" w:eastAsia="zh-TW"/>
              </w:rPr>
            </w:pPr>
            <w:r>
              <w:rPr>
                <w:rFonts w:hint="eastAsia" w:ascii="仿宋_GB2312" w:hAnsi="宋体" w:eastAsia="仿宋_GB2312" w:cs="宋体"/>
                <w:szCs w:val="21"/>
                <w:lang w:val="zh-TW" w:eastAsia="zh-TW"/>
              </w:rPr>
              <w:t>30mm</w:t>
            </w:r>
          </w:p>
        </w:tc>
      </w:tr>
      <w:tr w14:paraId="3C8357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10" w:hRule="atLeast"/>
        </w:trPr>
        <w:tc>
          <w:tcPr>
            <w:tcW w:w="18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center"/>
          </w:tcPr>
          <w:p w14:paraId="66D9ED53">
            <w:pPr>
              <w:spacing w:line="360" w:lineRule="auto"/>
              <w:rPr>
                <w:rFonts w:ascii="仿宋_GB2312" w:hAnsi="宋体" w:eastAsia="仿宋_GB2312" w:cs="宋体"/>
                <w:szCs w:val="21"/>
                <w:lang w:val="zh-TW" w:eastAsia="zh-TW"/>
              </w:rPr>
            </w:pPr>
            <w:r>
              <w:rPr>
                <w:rFonts w:hint="eastAsia" w:ascii="仿宋_GB2312" w:hAnsi="宋体" w:eastAsia="仿宋_GB2312" w:cs="宋体"/>
                <w:szCs w:val="21"/>
                <w:lang w:val="zh-TW" w:eastAsia="zh-TW"/>
              </w:rPr>
              <w:t>编织方式</w:t>
            </w:r>
          </w:p>
        </w:tc>
        <w:tc>
          <w:tcPr>
            <w:tcW w:w="66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center"/>
          </w:tcPr>
          <w:p w14:paraId="470511B1">
            <w:pPr>
              <w:spacing w:line="360" w:lineRule="auto"/>
              <w:rPr>
                <w:rFonts w:ascii="仿宋_GB2312" w:hAnsi="宋体" w:eastAsia="仿宋_GB2312" w:cs="宋体"/>
                <w:szCs w:val="21"/>
                <w:lang w:val="zh-TW" w:eastAsia="zh-TW"/>
              </w:rPr>
            </w:pPr>
            <w:r>
              <w:rPr>
                <w:rFonts w:hint="eastAsia" w:ascii="仿宋_GB2312" w:hAnsi="宋体" w:eastAsia="仿宋_GB2312" w:cs="宋体"/>
                <w:szCs w:val="21"/>
                <w:lang w:val="zh-TW" w:eastAsia="zh-TW"/>
              </w:rPr>
              <w:t>直曲同簇</w:t>
            </w:r>
          </w:p>
        </w:tc>
      </w:tr>
      <w:tr w14:paraId="6A504F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10" w:type="dxa"/>
            <w:bottom w:w="0" w:type="dxa"/>
            <w:right w:w="10" w:type="dxa"/>
          </w:tblCellMar>
        </w:tblPrEx>
        <w:trPr>
          <w:trHeight w:val="210" w:hRule="atLeast"/>
        </w:trPr>
        <w:tc>
          <w:tcPr>
            <w:tcW w:w="18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bottom"/>
          </w:tcPr>
          <w:p w14:paraId="2F08DA62">
            <w:pPr>
              <w:spacing w:line="360" w:lineRule="auto"/>
              <w:rPr>
                <w:rFonts w:hint="eastAsia" w:ascii="仿宋_GB2312" w:hAnsi="宋体" w:eastAsia="仿宋_GB2312" w:cs="宋体"/>
                <w:szCs w:val="21"/>
                <w:lang w:val="zh-TW" w:eastAsia="zh-CN"/>
              </w:rPr>
            </w:pPr>
            <w:r>
              <w:rPr>
                <w:rFonts w:hint="eastAsia" w:ascii="仿宋_GB2312" w:hAnsi="宋体" w:eastAsia="仿宋_GB2312" w:cs="宋体"/>
                <w:szCs w:val="21"/>
                <w:lang w:val="zh-TW" w:eastAsia="zh-TW"/>
              </w:rPr>
              <w:t>草坪密度</w:t>
            </w:r>
            <w:r>
              <w:rPr>
                <w:rFonts w:hint="eastAsia" w:ascii="宋体" w:hAnsi="宋体" w:eastAsia="仿宋_GB2312" w:cs="宋体"/>
                <w:sz w:val="24"/>
                <w:lang w:eastAsia="zh-CN"/>
              </w:rPr>
              <w:t>▲</w:t>
            </w:r>
          </w:p>
        </w:tc>
        <w:tc>
          <w:tcPr>
            <w:tcW w:w="66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bottom"/>
          </w:tcPr>
          <w:p w14:paraId="41E9DD34">
            <w:pPr>
              <w:spacing w:line="360" w:lineRule="auto"/>
              <w:rPr>
                <w:rFonts w:ascii="仿宋_GB2312" w:hAnsi="宋体" w:eastAsia="仿宋_GB2312" w:cs="宋体"/>
                <w:szCs w:val="21"/>
                <w:lang w:val="zh-TW" w:eastAsia="zh-TW"/>
              </w:rPr>
            </w:pPr>
            <w:r>
              <w:rPr>
                <w:rFonts w:hint="eastAsia" w:ascii="仿宋_GB2312" w:hAnsi="宋体" w:eastAsia="仿宋_GB2312" w:cs="宋体"/>
                <w:szCs w:val="21"/>
                <w:lang w:val="zh-TW" w:eastAsia="zh-TW"/>
              </w:rPr>
              <w:t>≥</w:t>
            </w:r>
            <w:r>
              <w:rPr>
                <w:rFonts w:ascii="仿宋_GB2312" w:hAnsi="宋体" w:eastAsia="仿宋_GB2312" w:cs="宋体"/>
                <w:szCs w:val="21"/>
                <w:lang w:val="zh-TW" w:eastAsia="zh-TW"/>
              </w:rPr>
              <w:t>25200</w:t>
            </w:r>
            <w:r>
              <w:rPr>
                <w:rFonts w:hint="eastAsia" w:ascii="仿宋_GB2312" w:hAnsi="宋体" w:eastAsia="仿宋_GB2312" w:cs="宋体"/>
                <w:szCs w:val="21"/>
                <w:lang w:val="zh-TW" w:eastAsia="zh-TW"/>
              </w:rPr>
              <w:t>针/</w:t>
            </w:r>
            <w:r>
              <w:rPr>
                <w:rFonts w:hint="eastAsia" w:ascii="Segoe UI Symbol" w:hAnsi="Segoe UI Symbol" w:eastAsia="Segoe UI Symbol" w:cs="Segoe UI Symbol"/>
                <w:szCs w:val="21"/>
                <w:lang w:val="zh-TW" w:eastAsia="zh-TW"/>
              </w:rPr>
              <w:t>㎡</w:t>
            </w:r>
          </w:p>
        </w:tc>
      </w:tr>
      <w:tr w14:paraId="72EF6E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10" w:type="dxa"/>
            <w:bottom w:w="0" w:type="dxa"/>
            <w:right w:w="10" w:type="dxa"/>
          </w:tblCellMar>
        </w:tblPrEx>
        <w:trPr>
          <w:trHeight w:val="210" w:hRule="atLeast"/>
        </w:trPr>
        <w:tc>
          <w:tcPr>
            <w:tcW w:w="18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bottom"/>
          </w:tcPr>
          <w:p w14:paraId="3CD6965C">
            <w:pPr>
              <w:spacing w:line="360" w:lineRule="auto"/>
              <w:rPr>
                <w:rFonts w:hint="eastAsia" w:ascii="仿宋_GB2312" w:hAnsi="宋体" w:eastAsia="仿宋_GB2312" w:cs="宋体"/>
                <w:szCs w:val="21"/>
                <w:lang w:val="zh-TW" w:eastAsia="zh-CN"/>
              </w:rPr>
            </w:pPr>
            <w:r>
              <w:rPr>
                <w:rFonts w:hint="eastAsia" w:ascii="仿宋_GB2312" w:hAnsi="宋体" w:eastAsia="仿宋_GB2312" w:cs="宋体"/>
                <w:szCs w:val="21"/>
                <w:lang w:val="zh-TW" w:eastAsia="zh-TW"/>
              </w:rPr>
              <w:t>草纤维磅重</w:t>
            </w:r>
            <w:r>
              <w:rPr>
                <w:rFonts w:hint="eastAsia" w:ascii="宋体" w:hAnsi="宋体" w:eastAsia="仿宋_GB2312" w:cs="宋体"/>
                <w:sz w:val="24"/>
                <w:lang w:eastAsia="zh-CN"/>
              </w:rPr>
              <w:t>▲</w:t>
            </w:r>
          </w:p>
        </w:tc>
        <w:tc>
          <w:tcPr>
            <w:tcW w:w="66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bottom"/>
          </w:tcPr>
          <w:p w14:paraId="5490F451">
            <w:pPr>
              <w:spacing w:line="360" w:lineRule="auto"/>
              <w:rPr>
                <w:rFonts w:ascii="仿宋_GB2312" w:hAnsi="宋体" w:eastAsia="PMingLiU" w:cs="宋体"/>
                <w:szCs w:val="21"/>
                <w:lang w:val="zh-TW" w:eastAsia="zh-TW"/>
              </w:rPr>
            </w:pPr>
            <w:r>
              <w:rPr>
                <w:rFonts w:hint="eastAsia" w:ascii="仿宋_GB2312" w:hAnsi="宋体" w:eastAsia="仿宋_GB2312" w:cs="宋体"/>
                <w:szCs w:val="21"/>
                <w:lang w:val="zh-TW" w:eastAsia="zh-TW"/>
              </w:rPr>
              <w:t>直丝≥</w:t>
            </w:r>
            <w:r>
              <w:rPr>
                <w:rFonts w:ascii="仿宋_GB2312" w:hAnsi="宋体" w:eastAsia="仿宋_GB2312" w:cs="宋体"/>
                <w:szCs w:val="21"/>
                <w:lang w:val="zh-TW" w:eastAsia="zh-TW"/>
              </w:rPr>
              <w:t>1</w:t>
            </w:r>
            <w:r>
              <w:rPr>
                <w:rFonts w:ascii="仿宋_GB2312" w:hAnsi="宋体" w:eastAsia="PMingLiU" w:cs="宋体"/>
                <w:szCs w:val="21"/>
                <w:lang w:val="zh-TW" w:eastAsia="zh-TW"/>
              </w:rPr>
              <w:t>0</w:t>
            </w:r>
            <w:r>
              <w:rPr>
                <w:rFonts w:ascii="仿宋_GB2312" w:hAnsi="宋体" w:eastAsia="仿宋_GB2312" w:cs="宋体"/>
                <w:szCs w:val="21"/>
                <w:lang w:val="zh-TW" w:eastAsia="zh-TW"/>
              </w:rPr>
              <w:t>000</w:t>
            </w:r>
            <w:r>
              <w:rPr>
                <w:rFonts w:hint="eastAsia" w:ascii="仿宋_GB2312" w:hAnsi="宋体" w:eastAsia="仿宋_GB2312" w:cs="宋体"/>
                <w:szCs w:val="21"/>
                <w:lang w:val="zh-TW" w:eastAsia="zh-TW"/>
              </w:rPr>
              <w:t>dtex，曲丝≥</w:t>
            </w:r>
            <w:r>
              <w:rPr>
                <w:rFonts w:hint="eastAsia" w:ascii="仿宋_GB2312" w:hAnsi="宋体" w:eastAsia="仿宋_GB2312" w:cs="宋体"/>
                <w:szCs w:val="21"/>
                <w:lang w:val="zh-TW"/>
              </w:rPr>
              <w:t>6</w:t>
            </w:r>
            <w:r>
              <w:rPr>
                <w:rFonts w:ascii="仿宋_GB2312" w:hAnsi="宋体" w:eastAsia="PMingLiU" w:cs="宋体"/>
                <w:szCs w:val="21"/>
                <w:lang w:val="zh-TW" w:eastAsia="zh-TW"/>
              </w:rPr>
              <w:t>000</w:t>
            </w:r>
            <w:r>
              <w:rPr>
                <w:rFonts w:hint="eastAsia" w:ascii="仿宋_GB2312" w:hAnsi="宋体" w:eastAsia="仿宋_GB2312" w:cs="宋体"/>
                <w:szCs w:val="21"/>
                <w:lang w:val="zh-TW" w:eastAsia="zh-TW"/>
              </w:rPr>
              <w:t xml:space="preserve"> dtex</w:t>
            </w:r>
          </w:p>
        </w:tc>
      </w:tr>
      <w:tr w14:paraId="2894D6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10" w:type="dxa"/>
            <w:bottom w:w="0" w:type="dxa"/>
            <w:right w:w="10" w:type="dxa"/>
          </w:tblCellMar>
        </w:tblPrEx>
        <w:trPr>
          <w:trHeight w:val="210" w:hRule="atLeast"/>
        </w:trPr>
        <w:tc>
          <w:tcPr>
            <w:tcW w:w="18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bottom"/>
          </w:tcPr>
          <w:p w14:paraId="1581B0CF">
            <w:pPr>
              <w:spacing w:line="360" w:lineRule="auto"/>
              <w:rPr>
                <w:rFonts w:ascii="仿宋_GB2312" w:hAnsi="宋体" w:eastAsia="仿宋_GB2312" w:cs="宋体"/>
                <w:szCs w:val="21"/>
                <w:lang w:val="zh-TW" w:eastAsia="zh-TW"/>
              </w:rPr>
            </w:pPr>
            <w:r>
              <w:rPr>
                <w:rFonts w:hint="eastAsia" w:ascii="仿宋_GB2312" w:hAnsi="宋体" w:eastAsia="仿宋_GB2312" w:cs="宋体"/>
                <w:szCs w:val="21"/>
                <w:lang w:val="zh-TW" w:eastAsia="zh-TW"/>
              </w:rPr>
              <w:t>颜色</w:t>
            </w:r>
          </w:p>
        </w:tc>
        <w:tc>
          <w:tcPr>
            <w:tcW w:w="66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bottom"/>
          </w:tcPr>
          <w:p w14:paraId="633FD7CD">
            <w:pPr>
              <w:spacing w:line="360" w:lineRule="auto"/>
              <w:rPr>
                <w:rFonts w:ascii="仿宋_GB2312" w:hAnsi="宋体" w:eastAsia="仿宋_GB2312" w:cs="宋体"/>
                <w:szCs w:val="21"/>
                <w:lang w:val="zh-TW" w:eastAsia="zh-TW"/>
              </w:rPr>
            </w:pPr>
            <w:r>
              <w:rPr>
                <w:rFonts w:hint="eastAsia" w:ascii="仿宋_GB2312" w:hAnsi="宋体" w:eastAsia="仿宋_GB2312" w:cs="宋体"/>
                <w:szCs w:val="21"/>
                <w:lang w:val="zh-TW" w:eastAsia="zh-TW"/>
              </w:rPr>
              <w:t>深绿、浅绿</w:t>
            </w:r>
          </w:p>
        </w:tc>
      </w:tr>
      <w:tr w14:paraId="486890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10" w:type="dxa"/>
            <w:bottom w:w="0" w:type="dxa"/>
            <w:right w:w="10" w:type="dxa"/>
          </w:tblCellMar>
        </w:tblPrEx>
        <w:trPr>
          <w:trHeight w:val="210" w:hRule="atLeast"/>
        </w:trPr>
        <w:tc>
          <w:tcPr>
            <w:tcW w:w="18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center"/>
          </w:tcPr>
          <w:p w14:paraId="4C020AE3">
            <w:pPr>
              <w:spacing w:line="360" w:lineRule="auto"/>
              <w:rPr>
                <w:rFonts w:ascii="仿宋_GB2312" w:hAnsi="宋体" w:eastAsia="仿宋_GB2312" w:cs="宋体"/>
                <w:szCs w:val="21"/>
                <w:lang w:val="zh-TW" w:eastAsia="zh-TW"/>
              </w:rPr>
            </w:pPr>
            <w:r>
              <w:rPr>
                <w:rFonts w:hint="eastAsia" w:ascii="仿宋_GB2312" w:hAnsi="宋体" w:eastAsia="仿宋_GB2312" w:cs="宋体"/>
                <w:szCs w:val="21"/>
                <w:lang w:val="zh-TW" w:eastAsia="zh-TW"/>
              </w:rPr>
              <w:t>底布</w:t>
            </w:r>
          </w:p>
        </w:tc>
        <w:tc>
          <w:tcPr>
            <w:tcW w:w="66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top"/>
          </w:tcPr>
          <w:p w14:paraId="4D65AC33">
            <w:pPr>
              <w:spacing w:line="360" w:lineRule="auto"/>
              <w:rPr>
                <w:rFonts w:ascii="仿宋_GB2312" w:hAnsi="宋体" w:eastAsia="仿宋_GB2312" w:cs="宋体"/>
                <w:szCs w:val="21"/>
                <w:lang w:val="zh-TW" w:eastAsia="zh-TW"/>
              </w:rPr>
            </w:pPr>
            <w:r>
              <w:rPr>
                <w:rFonts w:hint="eastAsia" w:ascii="仿宋_GB2312" w:hAnsi="宋体" w:eastAsia="仿宋_GB2312" w:cs="宋体"/>
                <w:szCs w:val="21"/>
                <w:lang w:val="zh-TW" w:eastAsia="zh-TW"/>
              </w:rPr>
              <w:t>加强复合底布</w:t>
            </w:r>
          </w:p>
        </w:tc>
      </w:tr>
      <w:tr w14:paraId="221083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10" w:type="dxa"/>
            <w:bottom w:w="0" w:type="dxa"/>
            <w:right w:w="10" w:type="dxa"/>
          </w:tblCellMar>
        </w:tblPrEx>
        <w:trPr>
          <w:trHeight w:val="210" w:hRule="atLeast"/>
        </w:trPr>
        <w:tc>
          <w:tcPr>
            <w:tcW w:w="18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bottom"/>
          </w:tcPr>
          <w:p w14:paraId="52F53F58">
            <w:pPr>
              <w:spacing w:line="360" w:lineRule="auto"/>
              <w:rPr>
                <w:rFonts w:ascii="仿宋_GB2312" w:hAnsi="宋体" w:eastAsia="仿宋_GB2312" w:cs="宋体"/>
                <w:szCs w:val="21"/>
                <w:lang w:val="zh-TW" w:eastAsia="zh-TW"/>
              </w:rPr>
            </w:pPr>
            <w:r>
              <w:rPr>
                <w:rFonts w:hint="eastAsia" w:ascii="仿宋_GB2312" w:hAnsi="宋体" w:eastAsia="仿宋_GB2312" w:cs="宋体"/>
                <w:szCs w:val="21"/>
                <w:lang w:val="zh-TW" w:eastAsia="zh-TW"/>
              </w:rPr>
              <w:t>背胶</w:t>
            </w:r>
          </w:p>
        </w:tc>
        <w:tc>
          <w:tcPr>
            <w:tcW w:w="66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bottom"/>
          </w:tcPr>
          <w:p w14:paraId="35E78EA1">
            <w:pPr>
              <w:spacing w:line="360" w:lineRule="auto"/>
              <w:rPr>
                <w:rFonts w:ascii="仿宋_GB2312" w:hAnsi="宋体" w:eastAsia="仿宋_GB2312" w:cs="宋体"/>
                <w:szCs w:val="21"/>
                <w:lang w:val="zh-TW" w:eastAsia="zh-TW"/>
              </w:rPr>
            </w:pPr>
            <w:r>
              <w:rPr>
                <w:rFonts w:hint="eastAsia" w:ascii="仿宋_GB2312" w:hAnsi="宋体" w:eastAsia="仿宋_GB2312" w:cs="宋体"/>
                <w:szCs w:val="21"/>
                <w:lang w:val="zh-TW" w:eastAsia="zh-TW"/>
              </w:rPr>
              <w:t>环保丁苯背胶</w:t>
            </w:r>
          </w:p>
        </w:tc>
      </w:tr>
      <w:tr w14:paraId="07782C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10" w:type="dxa"/>
            <w:bottom w:w="0" w:type="dxa"/>
            <w:right w:w="10" w:type="dxa"/>
          </w:tblCellMar>
        </w:tblPrEx>
        <w:trPr>
          <w:trHeight w:val="210" w:hRule="atLeast"/>
        </w:trPr>
        <w:tc>
          <w:tcPr>
            <w:tcW w:w="18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bottom"/>
          </w:tcPr>
          <w:p w14:paraId="3298A539">
            <w:pPr>
              <w:spacing w:line="360" w:lineRule="auto"/>
              <w:rPr>
                <w:rFonts w:ascii="仿宋_GB2312" w:hAnsi="宋体" w:eastAsia="仿宋_GB2312" w:cs="宋体"/>
                <w:szCs w:val="21"/>
                <w:lang w:val="zh-TW" w:eastAsia="zh-TW"/>
              </w:rPr>
            </w:pPr>
            <w:r>
              <w:rPr>
                <w:rFonts w:hint="eastAsia" w:ascii="仿宋_GB2312" w:hAnsi="宋体" w:eastAsia="仿宋_GB2312" w:cs="宋体"/>
                <w:szCs w:val="21"/>
                <w:lang w:val="zh-TW" w:eastAsia="zh-TW"/>
              </w:rPr>
              <w:t>环保性能要求</w:t>
            </w:r>
          </w:p>
        </w:tc>
        <w:tc>
          <w:tcPr>
            <w:tcW w:w="6636"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bottom"/>
          </w:tcPr>
          <w:p w14:paraId="7491137A">
            <w:pPr>
              <w:spacing w:line="360" w:lineRule="auto"/>
              <w:rPr>
                <w:rFonts w:ascii="仿宋_GB2312" w:hAnsi="宋体" w:eastAsia="仿宋_GB2312" w:cs="宋体"/>
                <w:szCs w:val="21"/>
                <w:lang w:val="zh-TW" w:eastAsia="zh-TW"/>
              </w:rPr>
            </w:pPr>
            <w:r>
              <w:rPr>
                <w:rFonts w:hint="eastAsia" w:ascii="仿宋_GB2312" w:hAnsi="宋体" w:eastAsia="仿宋_GB2312" w:cs="宋体"/>
                <w:szCs w:val="21"/>
                <w:lang w:val="zh-TW" w:eastAsia="zh-TW"/>
              </w:rPr>
              <w:t>符合《GB 36246-2018中小学合成材料面层运动场地》</w:t>
            </w:r>
          </w:p>
        </w:tc>
      </w:tr>
    </w:tbl>
    <w:p w14:paraId="6B157C1C">
      <w:pPr>
        <w:spacing w:line="360" w:lineRule="auto"/>
        <w:jc w:val="center"/>
        <w:rPr>
          <w:rFonts w:ascii="仿宋_GB2312" w:hAnsi="宋体" w:eastAsia="仿宋_GB2312" w:cs="宋体"/>
        </w:rPr>
      </w:pPr>
      <w:r>
        <w:rPr>
          <w:rFonts w:hint="eastAsia" w:ascii="仿宋_GB2312" w:hAnsi="宋体" w:eastAsia="仿宋_GB2312" w:cs="宋体"/>
          <w:szCs w:val="21"/>
          <w:lang w:val="zh-TW" w:eastAsia="zh-TW"/>
        </w:rPr>
        <w:t>人造草坪产品质量性能要求</w:t>
      </w:r>
    </w:p>
    <w:tbl>
      <w:tblPr>
        <w:tblStyle w:val="2"/>
        <w:tblW w:w="8472"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Layout w:type="fixed"/>
        <w:tblCellMar>
          <w:top w:w="0" w:type="dxa"/>
          <w:left w:w="10" w:type="dxa"/>
          <w:bottom w:w="0" w:type="dxa"/>
          <w:right w:w="10" w:type="dxa"/>
        </w:tblCellMar>
      </w:tblPr>
      <w:tblGrid>
        <w:gridCol w:w="1568"/>
        <w:gridCol w:w="6904"/>
      </w:tblGrid>
      <w:tr w14:paraId="22B3405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10" w:type="dxa"/>
            <w:bottom w:w="0" w:type="dxa"/>
            <w:right w:w="10" w:type="dxa"/>
          </w:tblCellMar>
        </w:tblPrEx>
        <w:trPr>
          <w:trHeight w:val="428" w:hRule="atLeast"/>
        </w:trPr>
        <w:tc>
          <w:tcPr>
            <w:tcW w:w="8472" w:type="dxa"/>
            <w:gridSpan w:val="2"/>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center"/>
          </w:tcPr>
          <w:p w14:paraId="522980E4">
            <w:pPr>
              <w:spacing w:line="360" w:lineRule="auto"/>
              <w:jc w:val="center"/>
              <w:rPr>
                <w:rFonts w:ascii="仿宋_GB2312" w:hAnsi="宋体" w:eastAsia="仿宋_GB2312" w:cs="宋体"/>
              </w:rPr>
            </w:pPr>
            <w:r>
              <w:rPr>
                <w:rFonts w:hint="eastAsia" w:ascii="仿宋_GB2312" w:hAnsi="宋体" w:eastAsia="仿宋_GB2312" w:cs="宋体"/>
                <w:szCs w:val="21"/>
                <w:lang w:val="zh-TW" w:eastAsia="zh-TW"/>
              </w:rPr>
              <w:t>人造草坪产品质量性能要求</w:t>
            </w:r>
          </w:p>
        </w:tc>
      </w:tr>
      <w:tr w14:paraId="0CCF96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10" w:type="dxa"/>
            <w:bottom w:w="0" w:type="dxa"/>
            <w:right w:w="10" w:type="dxa"/>
          </w:tblCellMar>
        </w:tblPrEx>
        <w:trPr>
          <w:trHeight w:val="1148" w:hRule="atLeast"/>
        </w:trPr>
        <w:tc>
          <w:tcPr>
            <w:tcW w:w="1568"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center"/>
          </w:tcPr>
          <w:p w14:paraId="48ADE7F0">
            <w:pPr>
              <w:spacing w:line="360" w:lineRule="auto"/>
              <w:rPr>
                <w:rFonts w:ascii="仿宋_GB2312" w:hAnsi="宋体" w:eastAsia="仿宋_GB2312"/>
                <w:sz w:val="24"/>
              </w:rPr>
            </w:pPr>
            <w:r>
              <w:rPr>
                <w:rFonts w:hint="eastAsia" w:ascii="宋体" w:hAnsi="宋体" w:eastAsia="仿宋_GB2312" w:cs="宋体"/>
                <w:sz w:val="24"/>
                <w:lang w:eastAsia="zh-CN"/>
              </w:rPr>
              <w:t>▲</w:t>
            </w:r>
            <w:r>
              <w:rPr>
                <w:rFonts w:hint="eastAsia" w:ascii="仿宋_GB2312" w:hAnsi="宋体" w:eastAsia="仿宋_GB2312"/>
                <w:sz w:val="24"/>
              </w:rPr>
              <w:t>耐老化性能</w:t>
            </w:r>
          </w:p>
        </w:tc>
        <w:tc>
          <w:tcPr>
            <w:tcW w:w="6904"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center"/>
          </w:tcPr>
          <w:p w14:paraId="4F62FD47">
            <w:pPr>
              <w:spacing w:line="360" w:lineRule="auto"/>
              <w:rPr>
                <w:rFonts w:ascii="仿宋_GB2312" w:hAnsi="宋体" w:eastAsia="仿宋_GB2312" w:cs="宋体"/>
                <w:szCs w:val="21"/>
                <w:lang w:val="zh-TW" w:eastAsia="zh-TW"/>
              </w:rPr>
            </w:pPr>
            <w:r>
              <w:rPr>
                <w:rFonts w:hint="eastAsia" w:ascii="仿宋_GB2312" w:hAnsi="宋体" w:eastAsia="仿宋_GB2312" w:cs="宋体"/>
                <w:bCs/>
                <w:sz w:val="24"/>
              </w:rPr>
              <w:t>要求提供第三方检验检测机构出具（直丝草纤维）的≥UVA10000H，≥UVB</w:t>
            </w:r>
            <w:r>
              <w:rPr>
                <w:rFonts w:hint="eastAsia"/>
              </w:rPr>
              <w:t xml:space="preserve"> </w:t>
            </w:r>
            <w:r>
              <w:rPr>
                <w:rFonts w:hint="eastAsia" w:ascii="仿宋_GB2312" w:hAnsi="宋体" w:eastAsia="仿宋_GB2312" w:cs="宋体"/>
                <w:bCs/>
                <w:sz w:val="24"/>
              </w:rPr>
              <w:t>8000H耐老化性的检验检测报告。检验检测报告复印件加盖供应商公章。</w:t>
            </w:r>
          </w:p>
        </w:tc>
      </w:tr>
      <w:tr w14:paraId="272A62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10" w:type="dxa"/>
            <w:bottom w:w="0" w:type="dxa"/>
            <w:right w:w="10" w:type="dxa"/>
          </w:tblCellMar>
        </w:tblPrEx>
        <w:trPr>
          <w:trHeight w:val="1148" w:hRule="atLeast"/>
        </w:trPr>
        <w:tc>
          <w:tcPr>
            <w:tcW w:w="1568"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center"/>
          </w:tcPr>
          <w:p w14:paraId="625B68DD">
            <w:pPr>
              <w:spacing w:line="360" w:lineRule="auto"/>
              <w:rPr>
                <w:rFonts w:ascii="仿宋_GB2312" w:hAnsi="宋体" w:eastAsia="仿宋_GB2312"/>
                <w:sz w:val="24"/>
              </w:rPr>
            </w:pPr>
            <w:r>
              <w:rPr>
                <w:rFonts w:hint="eastAsia" w:ascii="宋体" w:hAnsi="宋体" w:eastAsia="仿宋_GB2312" w:cs="宋体"/>
                <w:sz w:val="24"/>
                <w:lang w:eastAsia="zh-CN"/>
              </w:rPr>
              <w:t>▲</w:t>
            </w:r>
            <w:r>
              <w:rPr>
                <w:rFonts w:hint="eastAsia" w:ascii="仿宋_GB2312" w:hAnsi="宋体" w:eastAsia="仿宋_GB2312"/>
                <w:sz w:val="24"/>
              </w:rPr>
              <w:t>耐磨性能</w:t>
            </w:r>
          </w:p>
        </w:tc>
        <w:tc>
          <w:tcPr>
            <w:tcW w:w="6904" w:type="dxa"/>
            <w:tcBorders>
              <w:top w:val="single" w:color="000000" w:sz="4" w:space="0"/>
              <w:left w:val="single" w:color="000000" w:sz="4" w:space="0"/>
              <w:bottom w:val="single" w:color="000000" w:sz="4" w:space="0"/>
              <w:right w:val="single" w:color="000000" w:sz="4" w:space="0"/>
            </w:tcBorders>
            <w:shd w:val="clear" w:color="auto" w:fill="CDD4EB"/>
            <w:noWrap w:val="0"/>
            <w:tcMar>
              <w:top w:w="80" w:type="dxa"/>
              <w:left w:w="80" w:type="dxa"/>
              <w:bottom w:w="80" w:type="dxa"/>
              <w:right w:w="80" w:type="dxa"/>
            </w:tcMar>
            <w:vAlign w:val="center"/>
          </w:tcPr>
          <w:p w14:paraId="13D04A6A">
            <w:pPr>
              <w:spacing w:line="360" w:lineRule="auto"/>
              <w:rPr>
                <w:rFonts w:ascii="仿宋_GB2312" w:hAnsi="宋体" w:eastAsia="仿宋_GB2312" w:cs="宋体"/>
                <w:szCs w:val="21"/>
                <w:lang w:val="zh-TW" w:eastAsia="zh-TW"/>
              </w:rPr>
            </w:pPr>
            <w:r>
              <w:rPr>
                <w:rFonts w:hint="eastAsia" w:ascii="仿宋_GB2312" w:hAnsi="宋体" w:eastAsia="仿宋_GB2312" w:cs="宋体"/>
                <w:bCs/>
                <w:sz w:val="24"/>
              </w:rPr>
              <w:t>要求提供第三方检验检测机构出具（直丝草纤维）的耐磨性≥</w:t>
            </w:r>
            <w:r>
              <w:rPr>
                <w:rFonts w:ascii="仿宋_GB2312" w:hAnsi="宋体" w:eastAsia="仿宋_GB2312" w:cs="宋体"/>
                <w:bCs/>
                <w:sz w:val="24"/>
              </w:rPr>
              <w:t>25</w:t>
            </w:r>
            <w:r>
              <w:rPr>
                <w:rFonts w:hint="eastAsia" w:ascii="仿宋_GB2312" w:hAnsi="宋体" w:eastAsia="仿宋_GB2312" w:cs="宋体"/>
                <w:bCs/>
                <w:sz w:val="24"/>
              </w:rPr>
              <w:t>万转的检验检测报告。检验检测报告复印件加盖供应商公章。</w:t>
            </w:r>
          </w:p>
        </w:tc>
      </w:tr>
    </w:tbl>
    <w:p w14:paraId="445BF1CD">
      <w:pPr>
        <w:spacing w:line="560" w:lineRule="exact"/>
        <w:ind w:firstLine="645"/>
        <w:rPr>
          <w:rFonts w:ascii="仿宋_GB2312" w:hAnsi="仿宋" w:eastAsia="仿宋_GB2312"/>
          <w:szCs w:val="32"/>
        </w:rPr>
      </w:pPr>
      <w:r>
        <w:rPr>
          <w:rFonts w:ascii="仿宋_GB2312" w:hAnsi="仿宋" w:eastAsia="仿宋_GB2312"/>
          <w:szCs w:val="32"/>
        </w:rPr>
        <w:t>7</w:t>
      </w:r>
      <w:r>
        <w:rPr>
          <w:rFonts w:hint="eastAsia" w:ascii="仿宋_GB2312" w:hAnsi="仿宋" w:eastAsia="仿宋_GB2312"/>
          <w:szCs w:val="32"/>
        </w:rPr>
        <w:t>.人造草坪参考品牌或生产厂家为利蒙塔、泰山、火炬、绿城等FIFA会员单位</w:t>
      </w:r>
      <w:r>
        <w:rPr>
          <w:rFonts w:hint="eastAsia"/>
        </w:rPr>
        <w:t>或同等质量产品</w:t>
      </w:r>
      <w:r>
        <w:rPr>
          <w:rFonts w:hint="eastAsia" w:ascii="仿宋_GB2312" w:hAnsi="仿宋" w:eastAsia="仿宋_GB2312"/>
          <w:szCs w:val="32"/>
        </w:rPr>
        <w:t>，混合型现浇塑胶弹性层参考品牌或生产厂家为杰锐、柏胜、长城、爱上等中国田径协会审定A级品牌或同等质量产品，所选用品牌产品应提供生产厂家合法渠道来源证明，人造草坪产品进场时需提供生产厂家出具的包括人造草坪技术参数及草丝材质、选用品牌的证明文件，经查验符合图纸和招标文件要求后方可施工。</w:t>
      </w:r>
    </w:p>
    <w:p w14:paraId="1A4489CF">
      <w:pPr>
        <w:spacing w:line="560" w:lineRule="exact"/>
        <w:ind w:firstLine="645"/>
        <w:rPr>
          <w:rFonts w:ascii="仿宋_GB2312" w:hAnsi="仿宋" w:eastAsia="仿宋_GB2312"/>
          <w:szCs w:val="32"/>
        </w:rPr>
      </w:pPr>
      <w:r>
        <w:rPr>
          <w:rFonts w:hint="eastAsia" w:ascii="仿宋_GB2312" w:hAnsi="仿宋" w:eastAsia="仿宋_GB2312"/>
          <w:szCs w:val="32"/>
        </w:rPr>
        <w:t>（三）球场硅PU</w:t>
      </w:r>
    </w:p>
    <w:p w14:paraId="103D242D">
      <w:pPr>
        <w:spacing w:line="560" w:lineRule="exact"/>
        <w:ind w:firstLine="645"/>
        <w:rPr>
          <w:rFonts w:ascii="仿宋_GB2312" w:hAnsi="仿宋" w:eastAsia="仿宋_GB2312"/>
          <w:szCs w:val="32"/>
        </w:rPr>
      </w:pPr>
      <w:r>
        <w:rPr>
          <w:rFonts w:hint="eastAsia" w:ascii="仿宋_GB2312" w:hAnsi="仿宋" w:eastAsia="仿宋_GB2312"/>
          <w:szCs w:val="32"/>
        </w:rPr>
        <w:t>1.硅PU面层与基层应粘结牢固，无裂痕、分层、气泡、脱（秃）粒等现象表面颗粒均匀；硅PU面层应表面洁净，图案清晰，色泽一致；无明显高低差及缝隙，无胶痕。标志线应清晰不反光，平直圆滑无虚边、与面层粘合牢固。各功能线、点位线的宽度尺寸及定位应准确，功能区大小符合标准。</w:t>
      </w:r>
    </w:p>
    <w:p w14:paraId="0DCE466D">
      <w:pPr>
        <w:spacing w:line="560" w:lineRule="exact"/>
        <w:ind w:firstLine="645"/>
        <w:rPr>
          <w:rFonts w:ascii="仿宋_GB2312" w:hAnsi="仿宋" w:eastAsia="仿宋_GB2312"/>
          <w:szCs w:val="32"/>
        </w:rPr>
      </w:pPr>
      <w:r>
        <w:rPr>
          <w:rFonts w:hint="eastAsia" w:ascii="仿宋_GB2312" w:hAnsi="仿宋" w:eastAsia="仿宋_GB2312"/>
          <w:szCs w:val="32"/>
        </w:rPr>
        <w:t>2.底漆与封闭层施工：底漆和封闭层均匀滚涂，封闭基层孔隙并增强黏结力，避免漏涂或厚度不均。采用</w:t>
      </w:r>
      <w:r>
        <w:rPr>
          <w:rFonts w:hint="eastAsia" w:ascii="仿宋_GB2312" w:hAnsi="仿宋" w:eastAsia="仿宋_GB2312" w:cs="仿宋_GB2312"/>
          <w:color w:val="000000"/>
          <w:kern w:val="0"/>
          <w:szCs w:val="32"/>
          <w:lang w:bidi="ar"/>
        </w:rPr>
        <w:t>双组份高强度薄层树脂修补乳液材料进行底涂，</w:t>
      </w:r>
      <w:r>
        <w:rPr>
          <w:rFonts w:hint="eastAsia" w:ascii="仿宋_GB2312" w:hAnsi="仿宋" w:eastAsia="仿宋_GB2312"/>
          <w:szCs w:val="32"/>
        </w:rPr>
        <w:t>底涂的作用是封闭地面，增强地面与中层材料的粘结力。</w:t>
      </w:r>
    </w:p>
    <w:p w14:paraId="3F47EA2E">
      <w:pPr>
        <w:spacing w:line="560" w:lineRule="exact"/>
        <w:ind w:firstLine="645"/>
        <w:rPr>
          <w:rFonts w:ascii="仿宋_GB2312" w:hAnsi="仿宋" w:eastAsia="仿宋_GB2312"/>
          <w:szCs w:val="32"/>
        </w:rPr>
      </w:pPr>
      <w:r>
        <w:rPr>
          <w:rFonts w:hint="eastAsia" w:ascii="宋体" w:hAnsi="宋体" w:eastAsia="仿宋_GB2312" w:cs="宋体"/>
          <w:sz w:val="24"/>
          <w:lang w:eastAsia="zh-CN"/>
        </w:rPr>
        <w:t>▲</w:t>
      </w:r>
      <w:r>
        <w:rPr>
          <w:rFonts w:hint="eastAsia" w:ascii="仿宋_GB2312" w:hAnsi="仿宋" w:eastAsia="仿宋_GB2312"/>
          <w:szCs w:val="32"/>
        </w:rPr>
        <w:t>3.球场面层所用原材料有害物质限量检验要求、符合GB36246-2018等有关标准，球场面层气味浓度及气味强度符合GB/T43353-2023（气味测试标准）室外建材产品A类技术等有关标准的要求。要求提供具有“CMA”或“CNAS”资质的检测机构出具的检测报告。</w:t>
      </w:r>
    </w:p>
    <w:p w14:paraId="54DCE670">
      <w:pPr>
        <w:spacing w:line="560" w:lineRule="exact"/>
        <w:ind w:firstLine="645"/>
        <w:rPr>
          <w:rFonts w:ascii="仿宋_GB2312" w:hAnsi="仿宋" w:eastAsia="仿宋_GB2312"/>
          <w:szCs w:val="32"/>
        </w:rPr>
      </w:pPr>
      <w:r>
        <w:rPr>
          <w:rFonts w:hint="eastAsia" w:ascii="宋体" w:hAnsi="宋体" w:eastAsia="仿宋_GB2312" w:cs="宋体"/>
          <w:sz w:val="24"/>
          <w:lang w:eastAsia="zh-CN"/>
        </w:rPr>
        <w:t>▲</w:t>
      </w:r>
      <w:r>
        <w:rPr>
          <w:rFonts w:ascii="仿宋_GB2312" w:hAnsi="仿宋" w:eastAsia="仿宋_GB2312"/>
          <w:szCs w:val="32"/>
        </w:rPr>
        <w:t>4</w:t>
      </w:r>
      <w:r>
        <w:rPr>
          <w:rFonts w:hint="eastAsia" w:ascii="仿宋_GB2312" w:hAnsi="仿宋" w:eastAsia="仿宋_GB2312"/>
          <w:szCs w:val="32"/>
        </w:rPr>
        <w:t>.为了保证球场面层的整体稳定质量，由具有“CMA”或“CNAS”资质的检测机构分别提供符合GB/T14837.1-2014或GB/T14837.2-2014（橡胶测定）标准的球场弹性胶体主料高聚物含量&gt;35%，球场面漆材料高聚物含量&gt;50%，球场面层成品高聚物含量&gt;35%的抽样测试合格报告。</w:t>
      </w:r>
    </w:p>
    <w:p w14:paraId="63050D98">
      <w:pPr>
        <w:spacing w:line="560" w:lineRule="exact"/>
        <w:ind w:firstLine="645"/>
        <w:rPr>
          <w:rFonts w:ascii="仿宋_GB2312" w:hAnsi="仿宋" w:eastAsia="仿宋_GB2312"/>
          <w:szCs w:val="32"/>
        </w:rPr>
      </w:pPr>
      <w:r>
        <w:rPr>
          <w:rFonts w:ascii="仿宋_GB2312" w:hAnsi="仿宋" w:eastAsia="仿宋_GB2312"/>
          <w:szCs w:val="32"/>
        </w:rPr>
        <w:t>5</w:t>
      </w:r>
      <w:r>
        <w:rPr>
          <w:rFonts w:hint="eastAsia" w:ascii="仿宋_GB2312" w:hAnsi="仿宋" w:eastAsia="仿宋_GB2312"/>
          <w:szCs w:val="32"/>
        </w:rPr>
        <w:t>.球场面层的冲击吸收、垂直变形、球反弹率、抗滑值、摩擦系数、拉伸强度、拉断伸长率、阻燃性、耐磨性、撕裂强度、邵A硬度物理性能符合GB36246-201、GB/T22517.4-2017、GB/T43565-2023、GB/T14833-2020标准要求。在经过皂水、霜冻和干热老化后以上性能符合标准要求，且尺寸稳定性≤1%，色牢度不低于3级，面层不起泡、不开裂等无外观缺陷现象检测。提供具有“CMA”或“CNAS”资质的测试机构出具的测试合格报告。</w:t>
      </w:r>
    </w:p>
    <w:p w14:paraId="5587CBE4">
      <w:pPr>
        <w:spacing w:line="560" w:lineRule="exact"/>
        <w:ind w:firstLine="645"/>
        <w:rPr>
          <w:rFonts w:ascii="仿宋_GB2312" w:hAnsi="仿宋" w:eastAsia="仿宋_GB2312"/>
          <w:color w:val="FF0000"/>
          <w:szCs w:val="32"/>
        </w:rPr>
      </w:pPr>
      <w:r>
        <w:rPr>
          <w:rFonts w:hint="eastAsia" w:ascii="宋体" w:hAnsi="宋体" w:eastAsia="仿宋_GB2312" w:cs="宋体"/>
          <w:sz w:val="24"/>
          <w:lang w:eastAsia="zh-CN"/>
        </w:rPr>
        <w:t>▲</w:t>
      </w:r>
      <w:r>
        <w:rPr>
          <w:rFonts w:hint="eastAsia" w:ascii="仿宋_GB2312" w:hAnsi="仿宋" w:eastAsia="仿宋_GB2312"/>
          <w:szCs w:val="32"/>
        </w:rPr>
        <w:t>6.球场面层经1500h人工气候老化和336h湿热老化后，其冲击吸收、垂直变形、抗滑值、拉伸强度、拉断伸长率、阻燃性达到符合GB36246-2018及有关标准的要求。提供具有“CMA”或“CNAS”资质的测试机构出具的测试合格报告。</w:t>
      </w:r>
    </w:p>
    <w:p w14:paraId="52EA05DC">
      <w:pPr>
        <w:spacing w:line="560" w:lineRule="exact"/>
        <w:ind w:firstLine="645"/>
        <w:rPr>
          <w:rFonts w:ascii="仿宋_GB2312" w:hAnsi="仿宋" w:eastAsia="仿宋_GB2312"/>
          <w:szCs w:val="32"/>
        </w:rPr>
      </w:pPr>
      <w:r>
        <w:rPr>
          <w:rFonts w:hint="eastAsia" w:ascii="仿宋_GB2312" w:hAnsi="仿宋" w:eastAsia="仿宋_GB2312"/>
          <w:szCs w:val="32"/>
        </w:rPr>
        <w:t>7.耐候性：-30°C至60°C环境下无开裂、鼓包，添加耐寒助剂，高温环境下无发软、粘鞋现象。</w:t>
      </w:r>
    </w:p>
    <w:p w14:paraId="03387EA0">
      <w:pPr>
        <w:spacing w:line="560" w:lineRule="exact"/>
        <w:ind w:firstLine="645"/>
        <w:rPr>
          <w:rFonts w:ascii="仿宋_GB2312" w:hAnsi="仿宋" w:eastAsia="仿宋_GB2312"/>
          <w:szCs w:val="32"/>
        </w:rPr>
      </w:pPr>
      <w:r>
        <w:rPr>
          <w:rFonts w:hint="eastAsia" w:ascii="仿宋_GB2312" w:hAnsi="仿宋" w:eastAsia="仿宋_GB2312"/>
          <w:szCs w:val="32"/>
        </w:rPr>
        <w:t>8.易维护性：表面密实抗污，日常用清水冲洗即可，局部破损可冷补修复。</w:t>
      </w:r>
    </w:p>
    <w:p w14:paraId="0EE494AD">
      <w:pPr>
        <w:spacing w:line="560" w:lineRule="exact"/>
        <w:ind w:firstLine="420" w:firstLineChars="200"/>
        <w:rPr>
          <w:rFonts w:ascii="仿宋_GB2312" w:hAnsi="仿宋" w:eastAsia="仿宋_GB2312"/>
          <w:szCs w:val="32"/>
        </w:rPr>
      </w:pPr>
      <w:r>
        <w:rPr>
          <w:rFonts w:hint="eastAsia" w:ascii="仿宋_GB2312" w:hAnsi="仿宋" w:eastAsia="仿宋_GB2312"/>
          <w:szCs w:val="32"/>
        </w:rPr>
        <w:t>9.硅P</w:t>
      </w:r>
      <w:r>
        <w:rPr>
          <w:rFonts w:ascii="仿宋_GB2312" w:hAnsi="仿宋" w:eastAsia="仿宋_GB2312"/>
          <w:szCs w:val="32"/>
        </w:rPr>
        <w:t>U</w:t>
      </w:r>
      <w:r>
        <w:rPr>
          <w:rFonts w:hint="eastAsia" w:ascii="仿宋_GB2312" w:hAnsi="仿宋" w:eastAsia="仿宋_GB2312"/>
          <w:szCs w:val="32"/>
        </w:rPr>
        <w:t>参考品牌为长河、柏胜、杰锐或相当于同档次品牌，所选用品牌产品应提供生产厂家合法渠道来源证明。</w:t>
      </w:r>
    </w:p>
    <w:p w14:paraId="7FA4508F">
      <w:pPr>
        <w:spacing w:line="560" w:lineRule="exact"/>
        <w:ind w:firstLine="210" w:firstLineChars="100"/>
        <w:rPr>
          <w:rFonts w:ascii="仿宋_GB2312" w:hAnsi="仿宋" w:eastAsia="仿宋_GB2312"/>
          <w:szCs w:val="32"/>
        </w:rPr>
      </w:pPr>
      <w:r>
        <w:rPr>
          <w:rFonts w:hint="eastAsia" w:ascii="仿宋_GB2312" w:hAnsi="仿宋" w:eastAsia="仿宋_GB2312"/>
          <w:szCs w:val="32"/>
        </w:rPr>
        <w:t>（四）看台地面处理：</w:t>
      </w:r>
    </w:p>
    <w:p w14:paraId="1801892F">
      <w:pPr>
        <w:spacing w:line="560" w:lineRule="exact"/>
        <w:ind w:firstLine="420" w:firstLineChars="200"/>
        <w:rPr>
          <w:rFonts w:ascii="仿宋_GB2312" w:hAnsi="仿宋" w:eastAsia="仿宋_GB2312"/>
          <w:szCs w:val="32"/>
        </w:rPr>
      </w:pPr>
      <w:r>
        <w:rPr>
          <w:rFonts w:hint="eastAsia" w:ascii="仿宋_GB2312" w:hAnsi="仿宋" w:eastAsia="仿宋_GB2312"/>
          <w:szCs w:val="32"/>
        </w:rPr>
        <w:t>1.材料：硅PU晶罡地坪，性能和有害物质限量符合GB36246-2018《中小学合成材料面层运动场地》标准。</w:t>
      </w:r>
    </w:p>
    <w:p w14:paraId="3A23621F">
      <w:pPr>
        <w:spacing w:line="560" w:lineRule="exact"/>
        <w:ind w:firstLine="420" w:firstLineChars="200"/>
        <w:rPr>
          <w:rFonts w:ascii="仿宋_GB2312" w:hAnsi="仿宋" w:eastAsia="仿宋_GB2312"/>
          <w:szCs w:val="32"/>
        </w:rPr>
      </w:pPr>
      <w:r>
        <w:rPr>
          <w:rFonts w:hint="eastAsia" w:ascii="仿宋_GB2312" w:hAnsi="仿宋" w:eastAsia="仿宋_GB2312"/>
          <w:szCs w:val="32"/>
        </w:rPr>
        <w:t>2.参考品牌为长河、柏胜、杰锐或相当于同档次品牌，所选用品牌产品应提供生产厂家合法渠道来源证明。</w:t>
      </w:r>
    </w:p>
    <w:p w14:paraId="6BD88353">
      <w:pPr>
        <w:spacing w:line="560" w:lineRule="exact"/>
        <w:ind w:firstLine="420" w:firstLineChars="200"/>
        <w:rPr>
          <w:rFonts w:ascii="仿宋_GB2312" w:hAnsi="仿宋" w:eastAsia="仿宋_GB2312"/>
          <w:szCs w:val="32"/>
        </w:rPr>
      </w:pPr>
      <w:r>
        <w:rPr>
          <w:rFonts w:hint="eastAsia" w:ascii="仿宋_GB2312" w:hAnsi="仿宋" w:eastAsia="仿宋_GB2312"/>
          <w:szCs w:val="32"/>
        </w:rPr>
        <w:t>（五）场地照明灯具施工及技术参数</w:t>
      </w:r>
    </w:p>
    <w:p w14:paraId="03483E9B">
      <w:pPr>
        <w:spacing w:line="560" w:lineRule="exact"/>
        <w:ind w:firstLine="420" w:firstLineChars="200"/>
        <w:rPr>
          <w:rFonts w:ascii="仿宋_GB2312" w:hAnsi="仿宋" w:eastAsia="仿宋_GB2312"/>
          <w:szCs w:val="32"/>
        </w:rPr>
      </w:pPr>
      <w:r>
        <w:rPr>
          <w:rFonts w:hint="eastAsia" w:ascii="仿宋_GB2312" w:hAnsi="仿宋" w:eastAsia="仿宋_GB2312"/>
          <w:szCs w:val="32"/>
        </w:rPr>
        <w:t>场地四周已安装12m高灯杆1</w:t>
      </w:r>
      <w:r>
        <w:rPr>
          <w:rFonts w:ascii="仿宋_GB2312" w:hAnsi="仿宋" w:eastAsia="仿宋_GB2312"/>
          <w:szCs w:val="32"/>
        </w:rPr>
        <w:t>6</w:t>
      </w:r>
      <w:r>
        <w:rPr>
          <w:rFonts w:hint="eastAsia" w:ascii="仿宋_GB2312" w:hAnsi="仿宋" w:eastAsia="仿宋_GB2312"/>
          <w:szCs w:val="32"/>
        </w:rPr>
        <w:t>个，本次改造的灯杆和室外配线利旧，其中1</w:t>
      </w:r>
      <w:r>
        <w:rPr>
          <w:rFonts w:ascii="仿宋_GB2312" w:hAnsi="仿宋" w:eastAsia="仿宋_GB2312"/>
          <w:szCs w:val="32"/>
        </w:rPr>
        <w:t>0</w:t>
      </w:r>
      <w:r>
        <w:rPr>
          <w:rFonts w:hint="eastAsia" w:ascii="仿宋_GB2312" w:hAnsi="仿宋" w:eastAsia="仿宋_GB2312"/>
          <w:szCs w:val="32"/>
        </w:rPr>
        <w:t>个灯杆每个灯杆安装2个</w:t>
      </w:r>
      <w:r>
        <w:rPr>
          <w:rFonts w:ascii="仿宋_GB2312" w:hAnsi="仿宋" w:eastAsia="仿宋_GB2312"/>
          <w:szCs w:val="32"/>
        </w:rPr>
        <w:t>5</w:t>
      </w:r>
      <w:r>
        <w:rPr>
          <w:rFonts w:hint="eastAsia" w:ascii="仿宋_GB2312" w:hAnsi="仿宋" w:eastAsia="仿宋_GB2312"/>
          <w:szCs w:val="32"/>
        </w:rPr>
        <w:t>00WLED体育场地专用投光灯，剩余6个灯杆每个灯杆安装</w:t>
      </w:r>
      <w:r>
        <w:rPr>
          <w:rFonts w:ascii="仿宋_GB2312" w:hAnsi="仿宋" w:eastAsia="仿宋_GB2312"/>
          <w:szCs w:val="32"/>
        </w:rPr>
        <w:t>3</w:t>
      </w:r>
      <w:r>
        <w:rPr>
          <w:rFonts w:hint="eastAsia" w:ascii="仿宋_GB2312" w:hAnsi="仿宋" w:eastAsia="仿宋_GB2312"/>
          <w:szCs w:val="32"/>
        </w:rPr>
        <w:t>个</w:t>
      </w:r>
      <w:r>
        <w:rPr>
          <w:rFonts w:ascii="仿宋_GB2312" w:hAnsi="仿宋" w:eastAsia="仿宋_GB2312"/>
          <w:szCs w:val="32"/>
        </w:rPr>
        <w:t>5</w:t>
      </w:r>
      <w:r>
        <w:rPr>
          <w:rFonts w:hint="eastAsia" w:ascii="仿宋_GB2312" w:hAnsi="仿宋" w:eastAsia="仿宋_GB2312"/>
          <w:szCs w:val="32"/>
        </w:rPr>
        <w:t>00WLED体育场地专用投光灯，安装支架和灯杆内配线是否需要改造或更换由投标单位自行考虑，如产生费用在投标报价时自行考虑。LED投光灯的表面应光滑、无划伤、无磨损、无掉漆、无污物。灯体外壳、灯罩等部分应无变形、无划伤、无磨损、无掉漆、无污物；灯体的安装结构应牢固可靠，无松动、无变形。</w:t>
      </w:r>
    </w:p>
    <w:p w14:paraId="37118DDC">
      <w:pPr>
        <w:spacing w:line="560" w:lineRule="exact"/>
        <w:ind w:firstLine="420" w:firstLineChars="200"/>
        <w:rPr>
          <w:rFonts w:ascii="仿宋_GB2312" w:hAnsi="仿宋" w:eastAsia="仿宋_GB2312"/>
          <w:szCs w:val="32"/>
        </w:rPr>
      </w:pPr>
      <w:r>
        <w:rPr>
          <w:rFonts w:hint="eastAsia" w:ascii="仿宋_GB2312" w:hAnsi="仿宋" w:eastAsia="仿宋_GB2312"/>
          <w:szCs w:val="32"/>
        </w:rPr>
        <w:t>LED灯具整灯技术要求</w:t>
      </w:r>
    </w:p>
    <w:p w14:paraId="341F835B">
      <w:pPr>
        <w:spacing w:line="560" w:lineRule="exact"/>
        <w:ind w:firstLine="480" w:firstLineChars="200"/>
        <w:rPr>
          <w:rFonts w:ascii="仿宋_GB2312" w:hAnsi="仿宋" w:eastAsia="仿宋_GB2312"/>
          <w:szCs w:val="32"/>
        </w:rPr>
      </w:pPr>
      <w:r>
        <w:rPr>
          <w:rFonts w:hint="eastAsia" w:ascii="宋体" w:hAnsi="宋体" w:eastAsia="仿宋_GB2312" w:cs="宋体"/>
          <w:sz w:val="24"/>
          <w:lang w:eastAsia="zh-CN"/>
        </w:rPr>
        <w:t>▲</w:t>
      </w:r>
      <w:r>
        <w:rPr>
          <w:rFonts w:hint="eastAsia" w:ascii="仿宋_GB2312" w:hAnsi="仿宋" w:eastAsia="仿宋_GB2312"/>
          <w:szCs w:val="32"/>
        </w:rPr>
        <w:t>1.灯具为体育场地专用LED投光灯，依据 GB/T 7002-2008,JGJ 354-2014、GB/T 31897.1-2015、JGJ153-2016、GB/T38539-2020、GB55016-2021、GB 55024-2022等相关规定，灯具应提供电源电气参数数据，额定电压AC220V，额定输入功率</w:t>
      </w:r>
      <w:r>
        <w:rPr>
          <w:rFonts w:ascii="仿宋_GB2312" w:hAnsi="仿宋" w:eastAsia="仿宋_GB2312"/>
          <w:szCs w:val="32"/>
        </w:rPr>
        <w:t>500</w:t>
      </w:r>
      <w:r>
        <w:rPr>
          <w:rFonts w:hint="eastAsia" w:ascii="仿宋_GB2312" w:hAnsi="仿宋" w:eastAsia="仿宋_GB2312"/>
          <w:szCs w:val="32"/>
        </w:rPr>
        <w:t>W；色温≥5</w:t>
      </w:r>
      <w:r>
        <w:rPr>
          <w:rFonts w:ascii="仿宋_GB2312" w:hAnsi="仿宋" w:eastAsia="仿宋_GB2312"/>
          <w:szCs w:val="32"/>
        </w:rPr>
        <w:t>000</w:t>
      </w:r>
      <w:r>
        <w:rPr>
          <w:rFonts w:hint="eastAsia" w:ascii="仿宋_GB2312" w:hAnsi="仿宋" w:eastAsia="仿宋_GB2312"/>
          <w:szCs w:val="32"/>
        </w:rPr>
        <w:t>k，芯片光效≥1</w:t>
      </w:r>
      <w:r>
        <w:rPr>
          <w:rFonts w:ascii="仿宋_GB2312" w:hAnsi="仿宋" w:eastAsia="仿宋_GB2312"/>
          <w:szCs w:val="32"/>
        </w:rPr>
        <w:t>40</w:t>
      </w:r>
      <w:r>
        <w:rPr>
          <w:rFonts w:hint="eastAsia" w:ascii="仿宋_GB2312" w:hAnsi="仿宋" w:eastAsia="仿宋_GB2312"/>
          <w:szCs w:val="32"/>
        </w:rPr>
        <w:t>lm</w:t>
      </w:r>
      <w:r>
        <w:rPr>
          <w:rFonts w:ascii="仿宋_GB2312" w:hAnsi="仿宋" w:eastAsia="仿宋_GB2312"/>
          <w:szCs w:val="32"/>
        </w:rPr>
        <w:t>/</w:t>
      </w:r>
      <w:r>
        <w:rPr>
          <w:rFonts w:hint="eastAsia" w:ascii="仿宋_GB2312" w:hAnsi="仿宋" w:eastAsia="仿宋_GB2312"/>
          <w:szCs w:val="32"/>
        </w:rPr>
        <w:t>w，灯具显色指数Ra≥80，特殊显色指数R9≥0，色容差SDCM≤</w:t>
      </w:r>
      <w:r>
        <w:rPr>
          <w:rFonts w:ascii="仿宋_GB2312" w:hAnsi="仿宋" w:eastAsia="仿宋_GB2312"/>
          <w:szCs w:val="32"/>
        </w:rPr>
        <w:t>3%</w:t>
      </w:r>
      <w:r>
        <w:rPr>
          <w:rFonts w:hint="eastAsia" w:ascii="仿宋_GB2312" w:hAnsi="仿宋" w:eastAsia="仿宋_GB2312"/>
          <w:szCs w:val="32"/>
        </w:rPr>
        <w:t>，功率因数≥0</w:t>
      </w:r>
      <w:r>
        <w:rPr>
          <w:rFonts w:ascii="仿宋_GB2312" w:hAnsi="仿宋" w:eastAsia="仿宋_GB2312"/>
          <w:szCs w:val="32"/>
        </w:rPr>
        <w:t>.95</w:t>
      </w:r>
      <w:r>
        <w:rPr>
          <w:rFonts w:hint="eastAsia" w:ascii="仿宋_GB2312" w:hAnsi="仿宋" w:eastAsia="仿宋_GB2312"/>
          <w:szCs w:val="32"/>
        </w:rPr>
        <w:t>。（依据GB/T7002-2008标准做投光照明灯具光度测试报告，附相关检测报告）。</w:t>
      </w:r>
    </w:p>
    <w:p w14:paraId="48DFC5B3">
      <w:pPr>
        <w:spacing w:line="560" w:lineRule="exact"/>
        <w:ind w:firstLine="420" w:firstLineChars="200"/>
        <w:rPr>
          <w:rFonts w:ascii="仿宋_GB2312" w:hAnsi="仿宋" w:eastAsia="仿宋_GB2312"/>
          <w:szCs w:val="32"/>
        </w:rPr>
      </w:pPr>
      <w:r>
        <w:rPr>
          <w:rFonts w:hint="eastAsia" w:ascii="仿宋_GB2312" w:hAnsi="仿宋" w:eastAsia="仿宋_GB2312"/>
          <w:szCs w:val="32"/>
        </w:rPr>
        <w:t>2.灯具须为一体式投光灯，不得采用驱动器与灯具分离式结构设计，具有多种安装方式，可满足用户不同的场地安装需求。</w:t>
      </w:r>
    </w:p>
    <w:p w14:paraId="51A18408">
      <w:pPr>
        <w:spacing w:line="560" w:lineRule="exact"/>
        <w:ind w:firstLine="420" w:firstLineChars="200"/>
        <w:rPr>
          <w:rFonts w:ascii="仿宋_GB2312" w:hAnsi="仿宋" w:eastAsia="仿宋_GB2312"/>
          <w:szCs w:val="32"/>
        </w:rPr>
      </w:pPr>
      <w:r>
        <w:rPr>
          <w:rFonts w:hint="eastAsia" w:ascii="仿宋_GB2312" w:hAnsi="仿宋" w:eastAsia="仿宋_GB2312"/>
          <w:szCs w:val="32"/>
        </w:rPr>
        <w:t>3.灯具须有保护角防眩设计，原厂配套防眩遮光罩，有20度</w:t>
      </w:r>
      <w:r>
        <w:rPr>
          <w:rFonts w:ascii="仿宋_GB2312" w:hAnsi="仿宋" w:eastAsia="仿宋_GB2312"/>
          <w:szCs w:val="32"/>
        </w:rPr>
        <w:t>-</w:t>
      </w:r>
      <w:r>
        <w:rPr>
          <w:rFonts w:hint="eastAsia" w:ascii="仿宋_GB2312" w:hAnsi="仿宋" w:eastAsia="仿宋_GB2312"/>
          <w:szCs w:val="32"/>
        </w:rPr>
        <w:t>60度和特殊的偏配光等多种配光设计。灯具安装支架两侧及支架中间部位带有刻度盘，保证灯具投射点及调光角度，提高调光的精度。</w:t>
      </w:r>
    </w:p>
    <w:p w14:paraId="2E6CF084">
      <w:pPr>
        <w:spacing w:line="560" w:lineRule="exact"/>
        <w:ind w:firstLine="420" w:firstLineChars="200"/>
        <w:rPr>
          <w:rFonts w:ascii="仿宋_GB2312" w:hAnsi="仿宋" w:eastAsia="仿宋_GB2312"/>
          <w:szCs w:val="32"/>
        </w:rPr>
      </w:pPr>
      <w:r>
        <w:rPr>
          <w:rFonts w:hint="eastAsia" w:ascii="仿宋_GB2312" w:hAnsi="仿宋" w:eastAsia="仿宋_GB2312"/>
          <w:szCs w:val="32"/>
        </w:rPr>
        <w:t>4.灯具外壳采用新型铝合金材料。灯具外壳采用大面积散热筋设计，增加散热面积，通过镂空对流及散热筋设计，保证灯具具有良好的散热性。</w:t>
      </w:r>
    </w:p>
    <w:p w14:paraId="1EC68DFC">
      <w:pPr>
        <w:spacing w:line="560" w:lineRule="exact"/>
        <w:ind w:firstLine="480" w:firstLineChars="200"/>
        <w:rPr>
          <w:rFonts w:ascii="仿宋_GB2312" w:hAnsi="仿宋" w:eastAsia="仿宋_GB2312"/>
          <w:szCs w:val="32"/>
        </w:rPr>
      </w:pPr>
      <w:r>
        <w:rPr>
          <w:rFonts w:hint="eastAsia" w:ascii="宋体" w:hAnsi="宋体" w:eastAsia="仿宋_GB2312" w:cs="宋体"/>
          <w:sz w:val="24"/>
          <w:lang w:eastAsia="zh-CN"/>
        </w:rPr>
        <w:t>▲</w:t>
      </w:r>
      <w:r>
        <w:rPr>
          <w:rFonts w:hint="eastAsia" w:ascii="仿宋_GB2312" w:hAnsi="仿宋" w:eastAsia="仿宋_GB2312"/>
          <w:szCs w:val="32"/>
        </w:rPr>
        <w:t>5.外壳防护等级≥IP6</w:t>
      </w:r>
      <w:r>
        <w:rPr>
          <w:rFonts w:ascii="仿宋_GB2312" w:hAnsi="仿宋" w:eastAsia="仿宋_GB2312"/>
          <w:szCs w:val="32"/>
        </w:rPr>
        <w:t>6</w:t>
      </w:r>
      <w:r>
        <w:rPr>
          <w:rFonts w:hint="eastAsia" w:ascii="仿宋_GB2312" w:hAnsi="仿宋" w:eastAsia="仿宋_GB2312"/>
          <w:szCs w:val="32"/>
        </w:rPr>
        <w:t>，驱动器防护等级≥IP6</w:t>
      </w:r>
      <w:r>
        <w:rPr>
          <w:rFonts w:ascii="仿宋_GB2312" w:hAnsi="仿宋" w:eastAsia="仿宋_GB2312"/>
          <w:szCs w:val="32"/>
        </w:rPr>
        <w:t>7</w:t>
      </w:r>
      <w:r>
        <w:rPr>
          <w:rFonts w:hint="eastAsia" w:ascii="仿宋_GB2312" w:hAnsi="仿宋" w:eastAsia="仿宋_GB2312"/>
          <w:szCs w:val="32"/>
        </w:rPr>
        <w:t>，防腐等级为WF2。</w:t>
      </w:r>
    </w:p>
    <w:p w14:paraId="5171F836">
      <w:pPr>
        <w:spacing w:line="560" w:lineRule="exact"/>
        <w:ind w:firstLine="420" w:firstLineChars="200"/>
        <w:rPr>
          <w:rFonts w:ascii="仿宋_GB2312" w:hAnsi="仿宋" w:eastAsia="仿宋_GB2312"/>
          <w:szCs w:val="32"/>
        </w:rPr>
      </w:pPr>
      <w:r>
        <w:rPr>
          <w:rFonts w:hint="eastAsia" w:ascii="仿宋_GB2312" w:hAnsi="仿宋" w:eastAsia="仿宋_GB2312"/>
          <w:szCs w:val="32"/>
        </w:rPr>
        <w:t>6.灯具具有0-10V、DALI、DMX智慧调光装置。</w:t>
      </w:r>
    </w:p>
    <w:p w14:paraId="67196912">
      <w:pPr>
        <w:spacing w:line="560" w:lineRule="exact"/>
        <w:ind w:firstLine="420" w:firstLineChars="200"/>
        <w:rPr>
          <w:rFonts w:ascii="仿宋_GB2312" w:hAnsi="仿宋" w:eastAsia="仿宋_GB2312"/>
          <w:szCs w:val="32"/>
        </w:rPr>
      </w:pPr>
      <w:r>
        <w:rPr>
          <w:rFonts w:hint="eastAsia" w:ascii="仿宋_GB2312" w:hAnsi="仿宋" w:eastAsia="仿宋_GB2312"/>
          <w:szCs w:val="32"/>
        </w:rPr>
        <w:t>7.灯具的生产、制造应符合国家或国际标准中的有关规定，并获得CNAS、CQC国家质量认证证书等（相关认证证书可在国家认证认可监督管理委员会官方网站www.cnca.gov.cn上查询)。</w:t>
      </w:r>
    </w:p>
    <w:p w14:paraId="45F7ED6B">
      <w:pPr>
        <w:spacing w:line="560" w:lineRule="exact"/>
        <w:ind w:firstLine="420" w:firstLineChars="200"/>
        <w:rPr>
          <w:rFonts w:ascii="仿宋_GB2312" w:hAnsi="仿宋" w:eastAsia="仿宋_GB2312"/>
          <w:szCs w:val="32"/>
        </w:rPr>
      </w:pPr>
      <w:r>
        <w:rPr>
          <w:rFonts w:hint="eastAsia" w:ascii="仿宋_GB2312" w:hAnsi="仿宋" w:eastAsia="仿宋_GB2312"/>
          <w:szCs w:val="32"/>
        </w:rPr>
        <w:t>8.灯具所配备的驱动器须符合CCC认证，驱动器外置于灯体外部，方便维护和散热。</w:t>
      </w:r>
    </w:p>
    <w:p w14:paraId="77D2B55A">
      <w:pPr>
        <w:spacing w:line="560" w:lineRule="exact"/>
        <w:ind w:firstLine="420" w:firstLineChars="200"/>
        <w:rPr>
          <w:rFonts w:ascii="仿宋_GB2312" w:hAnsi="仿宋" w:eastAsia="仿宋_GB2312"/>
          <w:szCs w:val="32"/>
        </w:rPr>
      </w:pPr>
      <w:r>
        <w:rPr>
          <w:rFonts w:hint="eastAsia" w:ascii="仿宋_GB2312" w:hAnsi="仿宋" w:eastAsia="仿宋_GB2312"/>
          <w:szCs w:val="32"/>
        </w:rPr>
        <w:t>9.按照CQC3146-2014条款控制装置输出纹波限定值中输出电压纹波限制≤5.0%，驱动纹波比≤2.1%。灯具驱动器内部采用灌胶工艺。</w:t>
      </w:r>
    </w:p>
    <w:p w14:paraId="23454E53">
      <w:pPr>
        <w:spacing w:line="560" w:lineRule="exact"/>
        <w:ind w:firstLine="420" w:firstLineChars="200"/>
        <w:rPr>
          <w:rFonts w:ascii="仿宋_GB2312" w:hAnsi="仿宋" w:eastAsia="仿宋_GB2312"/>
          <w:szCs w:val="32"/>
        </w:rPr>
      </w:pPr>
      <w:r>
        <w:rPr>
          <w:rFonts w:hint="eastAsia" w:ascii="仿宋_GB2312" w:hAnsi="仿宋" w:eastAsia="仿宋_GB2312"/>
          <w:szCs w:val="32"/>
        </w:rPr>
        <w:t>10.参考品牌为欧司朗、科锐、海洋王、七大洲或相当于同档次品牌，所选用品牌产品应提供生产厂家合法渠道来源证明。</w:t>
      </w:r>
    </w:p>
    <w:p w14:paraId="1A3C0CB2">
      <w:pPr>
        <w:spacing w:line="560" w:lineRule="exact"/>
        <w:ind w:firstLine="420" w:firstLineChars="200"/>
        <w:rPr>
          <w:rFonts w:ascii="仿宋_GB2312" w:hAnsi="仿宋" w:eastAsia="仿宋_GB2312"/>
          <w:szCs w:val="32"/>
        </w:rPr>
      </w:pPr>
      <w:r>
        <w:rPr>
          <w:rFonts w:hint="eastAsia" w:ascii="仿宋_GB2312" w:hAnsi="仿宋" w:eastAsia="仿宋_GB2312"/>
          <w:szCs w:val="32"/>
        </w:rPr>
        <w:t>（六）体育器械</w:t>
      </w:r>
    </w:p>
    <w:p w14:paraId="6CCA552B">
      <w:pPr>
        <w:spacing w:line="560" w:lineRule="exact"/>
        <w:ind w:firstLine="420" w:firstLineChars="200"/>
        <w:rPr>
          <w:rFonts w:ascii="仿宋_GB2312" w:hAnsi="仿宋" w:eastAsia="仿宋_GB2312"/>
          <w:szCs w:val="32"/>
        </w:rPr>
      </w:pPr>
      <w:r>
        <w:rPr>
          <w:rFonts w:hint="eastAsia" w:ascii="仿宋_GB2312" w:hAnsi="仿宋" w:eastAsia="仿宋_GB2312"/>
          <w:szCs w:val="32"/>
        </w:rPr>
        <w:t>1.移动式单臂篮球架</w:t>
      </w:r>
    </w:p>
    <w:p w14:paraId="74E7C37A">
      <w:pPr>
        <w:spacing w:line="360" w:lineRule="auto"/>
        <w:ind w:firstLine="420" w:firstLineChars="200"/>
        <w:rPr>
          <w:rFonts w:ascii="仿宋_GB2312" w:hAnsi="仿宋" w:eastAsia="仿宋_GB2312"/>
          <w:szCs w:val="32"/>
        </w:rPr>
      </w:pPr>
      <w:r>
        <w:rPr>
          <w:rFonts w:hint="eastAsia" w:ascii="仿宋_GB2312" w:hAnsi="仿宋" w:eastAsia="仿宋_GB2312"/>
          <w:szCs w:val="32"/>
        </w:rPr>
        <w:t>（1）篮球架款式、颜色新颖亮丽，结构设计合理，满足室外场地使用条件要求，与场地的配色搭配能够体现出大学生体育运动的青春和活力。非绿色涂装（浅绿、墨绿），选用篮球架生产厂家的优质室外型篮球架。篮球架的表面应光滑平整、色泽均匀、无起皮脱落、漏涂、锈蚀、裂纹以及较明显的流痕、花斑、结点等缺陷；焊接处应牢固无裂纹。投标时需提供篮球架选用厂家及产品照片。</w:t>
      </w:r>
    </w:p>
    <w:p w14:paraId="4EA60F95">
      <w:pPr>
        <w:spacing w:line="360" w:lineRule="auto"/>
        <w:ind w:firstLine="480" w:firstLineChars="200"/>
        <w:rPr>
          <w:rFonts w:hint="eastAsia" w:ascii="仿宋_GB2312" w:hAnsi="仿宋" w:eastAsia="仿宋_GB2312"/>
          <w:szCs w:val="32"/>
        </w:rPr>
      </w:pPr>
      <w:r>
        <w:rPr>
          <w:rFonts w:hint="eastAsia" w:ascii="宋体" w:hAnsi="宋体" w:eastAsia="仿宋_GB2312" w:cs="宋体"/>
          <w:sz w:val="24"/>
          <w:lang w:eastAsia="zh-CN"/>
        </w:rPr>
        <w:t>▲</w:t>
      </w:r>
      <w:r>
        <w:rPr>
          <w:rFonts w:hint="eastAsia" w:ascii="仿宋_GB2312" w:hAnsi="仿宋" w:eastAsia="仿宋_GB2312"/>
          <w:szCs w:val="32"/>
        </w:rPr>
        <w:t>（2）篮架伸臂为2.25m，篮圈上沿离地面高3.05M。篮球架底座采用厚度不小于6</w:t>
      </w:r>
      <w:r>
        <w:rPr>
          <w:rFonts w:hint="eastAsia" w:ascii="仿宋_GB2312" w:hAnsi="Calibri" w:eastAsia="仿宋_GB2312" w:cs="Calibri"/>
          <w:szCs w:val="32"/>
        </w:rPr>
        <w:t> </w:t>
      </w:r>
      <w:r>
        <w:rPr>
          <w:rFonts w:hint="eastAsia" w:ascii="仿宋_GB2312" w:hAnsi="仿宋" w:eastAsia="仿宋_GB2312"/>
          <w:szCs w:val="32"/>
        </w:rPr>
        <w:t>mm的铁板在专用折边机上折边拼焊而成，底座前立柱支撑板采用厚度不小于6mm铁板制作，篮架立柱采用厚度不小于3mm方管拼焊而成，焊缝表面均匀光滑，篮架性能安全可靠，篮架上拉杆采用优质圆管在弯管机上一次成型，</w:t>
      </w:r>
      <w:r>
        <w:rPr>
          <w:rFonts w:ascii="仿宋_GB2312" w:hAnsi="仿宋" w:eastAsia="仿宋_GB2312"/>
          <w:szCs w:val="32"/>
        </w:rPr>
        <w:t>避免电焊及焊渣易引起生锈的隐患</w:t>
      </w:r>
      <w:r>
        <w:rPr>
          <w:rFonts w:hint="eastAsia" w:ascii="仿宋_GB2312" w:hAnsi="仿宋" w:eastAsia="仿宋_GB2312"/>
          <w:szCs w:val="32"/>
        </w:rPr>
        <w:t>。篮板规格：1.8*1.05m（长*宽），玻璃厚度：</w:t>
      </w:r>
      <w:r>
        <w:rPr>
          <w:rFonts w:ascii="仿宋_GB2312" w:hAnsi="仿宋" w:eastAsia="仿宋_GB2312"/>
          <w:szCs w:val="32"/>
        </w:rPr>
        <w:t>12</w:t>
      </w:r>
      <w:r>
        <w:rPr>
          <w:rFonts w:hint="eastAsia" w:ascii="仿宋_GB2312" w:hAnsi="仿宋" w:eastAsia="仿宋_GB2312"/>
          <w:szCs w:val="32"/>
        </w:rPr>
        <w:t>mm，采用高强度安全钢化玻璃，篮板玻璃具有3C认证；四周包裹铝合金材质框，左下、右下和下沿框贯通包裹模压成型的优质软性护套。篮筐：新国标篮筐，篮筐采用</w:t>
      </w:r>
      <w:r>
        <w:rPr>
          <w:rFonts w:hint="eastAsia" w:ascii="微软雅黑" w:hAnsi="微软雅黑" w:eastAsia="微软雅黑" w:cs="微软雅黑"/>
          <w:szCs w:val="32"/>
        </w:rPr>
        <w:t>≥</w:t>
      </w:r>
      <w:r>
        <w:rPr>
          <w:rFonts w:hint="eastAsia" w:ascii="仿宋_GB2312" w:hAnsi="仿宋_GB2312" w:eastAsia="仿宋_GB2312" w:cs="仿宋_GB2312"/>
          <w:szCs w:val="32"/>
        </w:rPr>
        <w:t>φ</w:t>
      </w:r>
      <w:r>
        <w:rPr>
          <w:rFonts w:hint="eastAsia" w:ascii="仿宋_GB2312" w:hAnsi="仿宋" w:eastAsia="仿宋_GB2312"/>
          <w:szCs w:val="32"/>
        </w:rPr>
        <w:t>18mm实心圆钢制作，配带尼龙篮球网，篮筐抗弯性能好。</w:t>
      </w:r>
    </w:p>
    <w:p w14:paraId="22AFA6A5">
      <w:pPr>
        <w:spacing w:line="360" w:lineRule="auto"/>
        <w:ind w:firstLine="0" w:firstLineChars="0"/>
        <w:rPr>
          <w:rFonts w:ascii="仿宋_GB2312" w:hAnsi="仿宋" w:eastAsia="仿宋_GB2312"/>
          <w:szCs w:val="32"/>
        </w:rPr>
      </w:pPr>
      <w:r>
        <w:rPr>
          <w:rFonts w:hint="eastAsia" w:ascii="宋体" w:hAnsi="宋体" w:eastAsia="仿宋_GB2312" w:cs="宋体"/>
          <w:sz w:val="24"/>
          <w:lang w:eastAsia="zh-CN"/>
        </w:rPr>
        <w:t>▲</w:t>
      </w:r>
      <w:r>
        <w:rPr>
          <w:rFonts w:hint="eastAsia" w:ascii="仿宋_GB2312" w:hAnsi="仿宋" w:eastAsia="仿宋_GB2312"/>
          <w:szCs w:val="32"/>
        </w:rPr>
        <w:t>（3）篮架前立面配备有专用护套，具有抗老化、耐腐蚀、耐磨性防护软包，能有效保护运动员免受撞击，篮架底座下部设有防震垫，后部装有特制配重，单只配重不少于450kg，前立柱与伸臂间装有固定保险机构，能有效保证使用时的安全性及美观性。</w:t>
      </w:r>
    </w:p>
    <w:p w14:paraId="34B04EA3">
      <w:pPr>
        <w:spacing w:line="360" w:lineRule="auto"/>
        <w:ind w:firstLine="420" w:firstLineChars="200"/>
        <w:rPr>
          <w:rFonts w:ascii="仿宋_GB2312" w:hAnsi="仿宋" w:eastAsia="仿宋_GB2312"/>
          <w:szCs w:val="32"/>
        </w:rPr>
      </w:pPr>
      <w:r>
        <w:rPr>
          <w:rFonts w:hint="eastAsia" w:ascii="仿宋_GB2312" w:hAnsi="仿宋" w:eastAsia="仿宋_GB2312"/>
          <w:szCs w:val="32"/>
        </w:rPr>
        <w:t>（4）所投篮球架产品需具有产品责任险、产品质量险、公众责任险、团体意外伤害险。</w:t>
      </w:r>
    </w:p>
    <w:p w14:paraId="0D6F9C47">
      <w:pPr>
        <w:spacing w:line="560" w:lineRule="exact"/>
        <w:ind w:firstLine="420" w:firstLineChars="200"/>
        <w:rPr>
          <w:rFonts w:ascii="仿宋_GB2312" w:hAnsi="仿宋" w:eastAsia="仿宋_GB2312"/>
          <w:szCs w:val="32"/>
        </w:rPr>
      </w:pPr>
      <w:r>
        <w:rPr>
          <w:rFonts w:hint="eastAsia" w:ascii="仿宋_GB2312" w:hAnsi="仿宋" w:eastAsia="仿宋_GB2312"/>
          <w:szCs w:val="32"/>
        </w:rPr>
        <w:t>2.五人制足球门</w:t>
      </w:r>
    </w:p>
    <w:tbl>
      <w:tblPr>
        <w:tblStyle w:val="2"/>
        <w:tblW w:w="7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2"/>
        <w:gridCol w:w="6257"/>
      </w:tblGrid>
      <w:tr w14:paraId="748D8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1622" w:type="dxa"/>
            <w:noWrap w:val="0"/>
            <w:vAlign w:val="center"/>
          </w:tcPr>
          <w:p w14:paraId="5D8DF2C1">
            <w:pPr>
              <w:jc w:val="center"/>
              <w:outlineLvl w:val="0"/>
              <w:rPr>
                <w:rFonts w:ascii="仿宋_GB2312" w:hAnsi="宋体" w:eastAsia="仿宋_GB2312" w:cs="宋体"/>
                <w:bCs/>
                <w:sz w:val="24"/>
              </w:rPr>
            </w:pPr>
            <w:r>
              <w:rPr>
                <w:rFonts w:hint="eastAsia" w:ascii="仿宋_GB2312" w:hAnsi="宋体" w:eastAsia="仿宋_GB2312" w:cs="宋体"/>
                <w:bCs/>
                <w:sz w:val="24"/>
              </w:rPr>
              <w:t>项目</w:t>
            </w:r>
          </w:p>
        </w:tc>
        <w:tc>
          <w:tcPr>
            <w:tcW w:w="6257" w:type="dxa"/>
            <w:noWrap w:val="0"/>
            <w:vAlign w:val="center"/>
          </w:tcPr>
          <w:p w14:paraId="134E2E09">
            <w:pPr>
              <w:jc w:val="center"/>
              <w:outlineLvl w:val="0"/>
              <w:rPr>
                <w:rFonts w:ascii="仿宋_GB2312" w:hAnsi="宋体" w:eastAsia="仿宋_GB2312" w:cs="宋体"/>
                <w:bCs/>
                <w:sz w:val="24"/>
              </w:rPr>
            </w:pPr>
            <w:r>
              <w:rPr>
                <w:rFonts w:hint="eastAsia" w:ascii="仿宋_GB2312" w:hAnsi="宋体" w:eastAsia="仿宋_GB2312" w:cs="宋体"/>
                <w:bCs/>
                <w:sz w:val="24"/>
              </w:rPr>
              <w:t>技术参数</w:t>
            </w:r>
          </w:p>
        </w:tc>
      </w:tr>
      <w:tr w14:paraId="22A5E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1622" w:type="dxa"/>
            <w:noWrap w:val="0"/>
            <w:vAlign w:val="center"/>
          </w:tcPr>
          <w:p w14:paraId="3CA33523">
            <w:pPr>
              <w:jc w:val="center"/>
              <w:rPr>
                <w:rFonts w:ascii="仿宋_GB2312" w:hAnsi="宋体" w:eastAsia="仿宋_GB2312" w:cs="宋体"/>
                <w:bCs/>
                <w:sz w:val="24"/>
              </w:rPr>
            </w:pPr>
            <w:r>
              <w:rPr>
                <w:rFonts w:hint="eastAsia" w:ascii="仿宋_GB2312" w:hAnsi="宋体" w:eastAsia="仿宋_GB2312" w:cs="宋体"/>
                <w:bCs/>
                <w:sz w:val="24"/>
              </w:rPr>
              <w:t>产品结构</w:t>
            </w:r>
          </w:p>
        </w:tc>
        <w:tc>
          <w:tcPr>
            <w:tcW w:w="6257" w:type="dxa"/>
            <w:noWrap w:val="0"/>
            <w:vAlign w:val="center"/>
          </w:tcPr>
          <w:p w14:paraId="4AA3A713">
            <w:pPr>
              <w:rPr>
                <w:rFonts w:ascii="仿宋_GB2312" w:hAnsi="宋体" w:eastAsia="仿宋_GB2312" w:cs="宋体"/>
                <w:bCs/>
                <w:sz w:val="24"/>
              </w:rPr>
            </w:pPr>
            <w:r>
              <w:rPr>
                <w:rFonts w:hint="eastAsia" w:ascii="仿宋_GB2312" w:hAnsi="宋体" w:eastAsia="仿宋_GB2312" w:cs="宋体"/>
                <w:bCs/>
                <w:sz w:val="24"/>
              </w:rPr>
              <w:t>由球门框、两侧撑杆、底部连杆和足球网组成</w:t>
            </w:r>
          </w:p>
        </w:tc>
      </w:tr>
      <w:tr w14:paraId="3A56E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1622" w:type="dxa"/>
            <w:noWrap w:val="0"/>
            <w:vAlign w:val="center"/>
          </w:tcPr>
          <w:p w14:paraId="49DA8F77">
            <w:pPr>
              <w:jc w:val="center"/>
              <w:rPr>
                <w:rFonts w:ascii="仿宋_GB2312" w:hAnsi="宋体" w:eastAsia="仿宋_GB2312" w:cs="宋体"/>
                <w:bCs/>
                <w:sz w:val="24"/>
              </w:rPr>
            </w:pPr>
            <w:r>
              <w:rPr>
                <w:rFonts w:hint="eastAsia" w:ascii="仿宋_GB2312" w:hAnsi="宋体" w:eastAsia="仿宋_GB2312" w:cs="宋体"/>
                <w:bCs/>
                <w:sz w:val="24"/>
              </w:rPr>
              <w:t>球门尺寸</w:t>
            </w:r>
          </w:p>
        </w:tc>
        <w:tc>
          <w:tcPr>
            <w:tcW w:w="6257" w:type="dxa"/>
            <w:noWrap w:val="0"/>
            <w:vAlign w:val="center"/>
          </w:tcPr>
          <w:p w14:paraId="47522F17">
            <w:pPr>
              <w:rPr>
                <w:rFonts w:ascii="仿宋_GB2312" w:hAnsi="宋体" w:eastAsia="仿宋_GB2312" w:cs="宋体"/>
                <w:bCs/>
                <w:sz w:val="24"/>
              </w:rPr>
            </w:pPr>
            <w:r>
              <w:rPr>
                <w:rFonts w:hint="eastAsia" w:ascii="仿宋_GB2312" w:hAnsi="宋体" w:eastAsia="仿宋_GB2312" w:cs="宋体"/>
                <w:bCs/>
                <w:sz w:val="24"/>
              </w:rPr>
              <w:t>球门</w:t>
            </w:r>
            <w:r>
              <w:rPr>
                <w:rFonts w:hint="eastAsia" w:ascii="微软雅黑" w:hAnsi="微软雅黑" w:eastAsia="微软雅黑" w:cs="微软雅黑"/>
                <w:bCs/>
                <w:sz w:val="24"/>
              </w:rPr>
              <w:t>內</w:t>
            </w:r>
            <w:r>
              <w:rPr>
                <w:rFonts w:hint="eastAsia" w:ascii="仿宋_GB2312" w:hAnsi="仿宋_GB2312" w:eastAsia="仿宋_GB2312" w:cs="仿宋_GB2312"/>
                <w:bCs/>
                <w:sz w:val="24"/>
              </w:rPr>
              <w:t>净：长×高×深</w:t>
            </w:r>
            <w:r>
              <w:rPr>
                <w:rFonts w:hint="eastAsia" w:ascii="仿宋_GB2312" w:hAnsi="宋体" w:eastAsia="仿宋_GB2312" w:cs="宋体"/>
                <w:bCs/>
                <w:sz w:val="24"/>
              </w:rPr>
              <w:t>=3000×2000×1420（</w:t>
            </w:r>
            <w:r>
              <w:rPr>
                <w:rFonts w:hint="eastAsia" w:ascii="微软雅黑" w:hAnsi="微软雅黑" w:eastAsia="微软雅黑" w:cs="微软雅黑"/>
                <w:bCs/>
                <w:sz w:val="24"/>
              </w:rPr>
              <w:t>㎜</w:t>
            </w:r>
            <w:r>
              <w:rPr>
                <w:rFonts w:hint="eastAsia" w:ascii="仿宋_GB2312" w:hAnsi="仿宋_GB2312" w:eastAsia="仿宋_GB2312" w:cs="仿宋_GB2312"/>
                <w:bCs/>
                <w:sz w:val="24"/>
              </w:rPr>
              <w:t>）</w:t>
            </w:r>
          </w:p>
        </w:tc>
      </w:tr>
      <w:tr w14:paraId="4C464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1622" w:type="dxa"/>
            <w:vMerge w:val="restart"/>
            <w:noWrap w:val="0"/>
            <w:vAlign w:val="center"/>
          </w:tcPr>
          <w:p w14:paraId="09252061">
            <w:pPr>
              <w:jc w:val="center"/>
              <w:rPr>
                <w:rFonts w:ascii="仿宋_GB2312" w:hAnsi="宋体" w:eastAsia="仿宋_GB2312" w:cs="宋体"/>
                <w:bCs/>
                <w:sz w:val="24"/>
              </w:rPr>
            </w:pPr>
            <w:r>
              <w:rPr>
                <w:rFonts w:hint="eastAsia" w:ascii="仿宋_GB2312" w:hAnsi="宋体" w:eastAsia="仿宋_GB2312" w:cs="宋体"/>
                <w:bCs/>
                <w:sz w:val="24"/>
              </w:rPr>
              <w:t>球 门 框</w:t>
            </w:r>
          </w:p>
        </w:tc>
        <w:tc>
          <w:tcPr>
            <w:tcW w:w="6257" w:type="dxa"/>
            <w:noWrap w:val="0"/>
            <w:vAlign w:val="center"/>
          </w:tcPr>
          <w:p w14:paraId="1EED1103">
            <w:pPr>
              <w:rPr>
                <w:rFonts w:ascii="仿宋_GB2312" w:hAnsi="宋体" w:eastAsia="仿宋_GB2312" w:cs="宋体"/>
                <w:bCs/>
                <w:sz w:val="24"/>
              </w:rPr>
            </w:pPr>
            <w:r>
              <w:rPr>
                <w:rFonts w:hint="eastAsia" w:ascii="仿宋_GB2312" w:hAnsi="宋体" w:eastAsia="仿宋_GB2312" w:cs="宋体"/>
                <w:bCs/>
                <w:sz w:val="24"/>
              </w:rPr>
              <w:t>球门立柱和横梁均采用φ80mm铝合金制作</w:t>
            </w:r>
          </w:p>
        </w:tc>
      </w:tr>
      <w:tr w14:paraId="6F035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1622" w:type="dxa"/>
            <w:vMerge w:val="continue"/>
            <w:noWrap w:val="0"/>
            <w:vAlign w:val="center"/>
          </w:tcPr>
          <w:p w14:paraId="486F6A1B">
            <w:pPr>
              <w:jc w:val="center"/>
              <w:rPr>
                <w:rFonts w:ascii="仿宋_GB2312" w:hAnsi="宋体" w:eastAsia="仿宋_GB2312" w:cs="宋体"/>
                <w:bCs/>
                <w:sz w:val="24"/>
              </w:rPr>
            </w:pPr>
          </w:p>
        </w:tc>
        <w:tc>
          <w:tcPr>
            <w:tcW w:w="6257" w:type="dxa"/>
            <w:noWrap w:val="0"/>
            <w:vAlign w:val="center"/>
          </w:tcPr>
          <w:p w14:paraId="6FDEB5E8">
            <w:pPr>
              <w:rPr>
                <w:rFonts w:ascii="仿宋_GB2312" w:hAnsi="宋体" w:eastAsia="仿宋_GB2312" w:cs="宋体"/>
                <w:bCs/>
                <w:sz w:val="24"/>
              </w:rPr>
            </w:pPr>
            <w:r>
              <w:rPr>
                <w:rFonts w:hint="eastAsia" w:ascii="仿宋_GB2312" w:hAnsi="宋体" w:eastAsia="仿宋_GB2312" w:cs="宋体"/>
                <w:bCs/>
                <w:sz w:val="24"/>
              </w:rPr>
              <w:t>球门框设有塑料网钩，通过塑料网钩将球网与门框固定，两侧、后侧设有冲压网钩，通过网销将球网与球门固定。</w:t>
            </w:r>
          </w:p>
        </w:tc>
      </w:tr>
      <w:tr w14:paraId="711E9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1622" w:type="dxa"/>
            <w:vMerge w:val="continue"/>
            <w:noWrap w:val="0"/>
            <w:vAlign w:val="center"/>
          </w:tcPr>
          <w:p w14:paraId="78069067">
            <w:pPr>
              <w:jc w:val="center"/>
              <w:rPr>
                <w:rFonts w:ascii="仿宋_GB2312" w:hAnsi="宋体" w:eastAsia="仿宋_GB2312" w:cs="宋体"/>
                <w:bCs/>
                <w:sz w:val="24"/>
              </w:rPr>
            </w:pPr>
          </w:p>
        </w:tc>
        <w:tc>
          <w:tcPr>
            <w:tcW w:w="6257" w:type="dxa"/>
            <w:noWrap w:val="0"/>
            <w:vAlign w:val="center"/>
          </w:tcPr>
          <w:p w14:paraId="58621614">
            <w:pPr>
              <w:rPr>
                <w:rFonts w:ascii="仿宋_GB2312" w:hAnsi="宋体" w:eastAsia="仿宋_GB2312" w:cs="宋体"/>
                <w:bCs/>
                <w:sz w:val="24"/>
              </w:rPr>
            </w:pPr>
            <w:r>
              <w:rPr>
                <w:rFonts w:hint="eastAsia" w:ascii="仿宋_GB2312" w:hAnsi="宋体" w:eastAsia="仿宋_GB2312" w:cs="宋体"/>
                <w:bCs/>
                <w:sz w:val="24"/>
              </w:rPr>
              <w:t>立柱与横梁连接处设有内胆，连接稳定牢固</w:t>
            </w:r>
          </w:p>
        </w:tc>
      </w:tr>
      <w:tr w14:paraId="49EBE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22" w:type="dxa"/>
            <w:vMerge w:val="restart"/>
            <w:noWrap w:val="0"/>
            <w:vAlign w:val="center"/>
          </w:tcPr>
          <w:p w14:paraId="26533A14">
            <w:pPr>
              <w:jc w:val="center"/>
              <w:rPr>
                <w:rFonts w:ascii="仿宋_GB2312" w:hAnsi="宋体" w:eastAsia="仿宋_GB2312" w:cs="宋体"/>
                <w:bCs/>
                <w:sz w:val="24"/>
              </w:rPr>
            </w:pPr>
            <w:r>
              <w:rPr>
                <w:rFonts w:hint="eastAsia" w:ascii="仿宋_GB2312" w:hAnsi="宋体" w:eastAsia="仿宋_GB2312" w:cs="宋体"/>
                <w:bCs/>
                <w:sz w:val="24"/>
              </w:rPr>
              <w:t>两侧撑杆</w:t>
            </w:r>
          </w:p>
        </w:tc>
        <w:tc>
          <w:tcPr>
            <w:tcW w:w="6257" w:type="dxa"/>
            <w:noWrap w:val="0"/>
            <w:vAlign w:val="center"/>
          </w:tcPr>
          <w:p w14:paraId="64C76788">
            <w:pPr>
              <w:rPr>
                <w:rFonts w:ascii="仿宋_GB2312" w:hAnsi="宋体" w:eastAsia="仿宋_GB2312" w:cs="宋体"/>
                <w:bCs/>
                <w:sz w:val="24"/>
              </w:rPr>
            </w:pPr>
            <w:r>
              <w:rPr>
                <w:rFonts w:hint="eastAsia" w:ascii="仿宋_GB2312" w:hAnsi="宋体" w:eastAsia="仿宋_GB2312" w:cs="宋体"/>
                <w:bCs/>
                <w:sz w:val="24"/>
              </w:rPr>
              <w:t>采用φ32mm×2的钢管制成</w:t>
            </w:r>
          </w:p>
        </w:tc>
      </w:tr>
      <w:tr w14:paraId="7F67D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1622" w:type="dxa"/>
            <w:vMerge w:val="continue"/>
            <w:noWrap w:val="0"/>
            <w:vAlign w:val="center"/>
          </w:tcPr>
          <w:p w14:paraId="4AA0C5A0">
            <w:pPr>
              <w:jc w:val="center"/>
              <w:rPr>
                <w:rFonts w:ascii="仿宋_GB2312" w:hAnsi="宋体" w:eastAsia="仿宋_GB2312" w:cs="宋体"/>
                <w:bCs/>
                <w:sz w:val="24"/>
              </w:rPr>
            </w:pPr>
          </w:p>
        </w:tc>
        <w:tc>
          <w:tcPr>
            <w:tcW w:w="6257" w:type="dxa"/>
            <w:noWrap w:val="0"/>
            <w:vAlign w:val="center"/>
          </w:tcPr>
          <w:p w14:paraId="74432F0B">
            <w:pPr>
              <w:rPr>
                <w:rFonts w:ascii="仿宋_GB2312" w:hAnsi="宋体" w:eastAsia="仿宋_GB2312" w:cs="宋体"/>
                <w:bCs/>
                <w:sz w:val="24"/>
              </w:rPr>
            </w:pPr>
            <w:r>
              <w:rPr>
                <w:rFonts w:hint="eastAsia" w:ascii="仿宋_GB2312" w:hAnsi="宋体" w:eastAsia="仿宋_GB2312" w:cs="宋体"/>
                <w:bCs/>
                <w:sz w:val="24"/>
              </w:rPr>
              <w:t>采用钢丝绳连接紧固，既增强球门整体稳定性，又起到撑网的作用</w:t>
            </w:r>
          </w:p>
        </w:tc>
      </w:tr>
      <w:tr w14:paraId="758F6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1622" w:type="dxa"/>
            <w:vMerge w:val="restart"/>
            <w:noWrap w:val="0"/>
            <w:vAlign w:val="center"/>
          </w:tcPr>
          <w:p w14:paraId="53B2289C">
            <w:pPr>
              <w:jc w:val="center"/>
              <w:rPr>
                <w:rFonts w:ascii="仿宋_GB2312" w:hAnsi="宋体" w:eastAsia="仿宋_GB2312" w:cs="宋体"/>
                <w:bCs/>
                <w:sz w:val="24"/>
              </w:rPr>
            </w:pPr>
            <w:r>
              <w:rPr>
                <w:rFonts w:hint="eastAsia" w:ascii="仿宋_GB2312" w:hAnsi="宋体" w:eastAsia="仿宋_GB2312" w:cs="宋体"/>
                <w:bCs/>
                <w:sz w:val="24"/>
              </w:rPr>
              <w:t>底部连杆</w:t>
            </w:r>
          </w:p>
        </w:tc>
        <w:tc>
          <w:tcPr>
            <w:tcW w:w="6257" w:type="dxa"/>
            <w:noWrap w:val="0"/>
            <w:vAlign w:val="center"/>
          </w:tcPr>
          <w:p w14:paraId="216ED1FD">
            <w:pPr>
              <w:rPr>
                <w:rFonts w:ascii="仿宋_GB2312" w:hAnsi="宋体" w:eastAsia="仿宋_GB2312" w:cs="宋体"/>
                <w:bCs/>
                <w:sz w:val="24"/>
              </w:rPr>
            </w:pPr>
            <w:r>
              <w:rPr>
                <w:rFonts w:hint="eastAsia" w:ascii="仿宋_GB2312" w:hAnsi="宋体" w:eastAsia="仿宋_GB2312" w:cs="宋体"/>
                <w:bCs/>
                <w:sz w:val="24"/>
              </w:rPr>
              <w:t>均采用80×40×2.75方管制作</w:t>
            </w:r>
          </w:p>
        </w:tc>
      </w:tr>
      <w:tr w14:paraId="17030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1622" w:type="dxa"/>
            <w:vMerge w:val="continue"/>
            <w:noWrap w:val="0"/>
            <w:vAlign w:val="center"/>
          </w:tcPr>
          <w:p w14:paraId="2D02C668">
            <w:pPr>
              <w:jc w:val="center"/>
              <w:rPr>
                <w:rFonts w:ascii="仿宋_GB2312" w:hAnsi="宋体" w:eastAsia="仿宋_GB2312" w:cs="宋体"/>
                <w:bCs/>
                <w:sz w:val="24"/>
              </w:rPr>
            </w:pPr>
          </w:p>
        </w:tc>
        <w:tc>
          <w:tcPr>
            <w:tcW w:w="6257" w:type="dxa"/>
            <w:noWrap w:val="0"/>
            <w:vAlign w:val="center"/>
          </w:tcPr>
          <w:p w14:paraId="36D8B30E">
            <w:pPr>
              <w:rPr>
                <w:rFonts w:ascii="仿宋_GB2312" w:hAnsi="宋体" w:eastAsia="仿宋_GB2312" w:cs="宋体"/>
                <w:bCs/>
                <w:sz w:val="24"/>
              </w:rPr>
            </w:pPr>
            <w:r>
              <w:rPr>
                <w:rFonts w:hint="eastAsia" w:ascii="仿宋_GB2312" w:hAnsi="宋体" w:eastAsia="仿宋_GB2312" w:cs="宋体"/>
                <w:bCs/>
                <w:sz w:val="24"/>
              </w:rPr>
              <w:t>后侧连杆与两侧连杆连接通过网撑杆下接头（冲件）连接固定</w:t>
            </w:r>
          </w:p>
        </w:tc>
      </w:tr>
      <w:tr w14:paraId="7955B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1622" w:type="dxa"/>
            <w:vMerge w:val="restart"/>
            <w:noWrap w:val="0"/>
            <w:vAlign w:val="center"/>
          </w:tcPr>
          <w:p w14:paraId="4AFF3CAF">
            <w:pPr>
              <w:jc w:val="center"/>
              <w:rPr>
                <w:rFonts w:ascii="仿宋_GB2312" w:hAnsi="宋体" w:eastAsia="仿宋_GB2312" w:cs="宋体"/>
                <w:bCs/>
                <w:sz w:val="24"/>
              </w:rPr>
            </w:pPr>
            <w:r>
              <w:rPr>
                <w:rFonts w:hint="eastAsia" w:ascii="仿宋_GB2312" w:hAnsi="宋体" w:eastAsia="仿宋_GB2312" w:cs="宋体"/>
                <w:bCs/>
                <w:sz w:val="24"/>
              </w:rPr>
              <w:t>球    网</w:t>
            </w:r>
          </w:p>
        </w:tc>
        <w:tc>
          <w:tcPr>
            <w:tcW w:w="6257" w:type="dxa"/>
            <w:noWrap w:val="0"/>
            <w:vAlign w:val="center"/>
          </w:tcPr>
          <w:p w14:paraId="495BB624">
            <w:pPr>
              <w:rPr>
                <w:rFonts w:ascii="仿宋_GB2312" w:hAnsi="宋体" w:eastAsia="仿宋_GB2312" w:cs="宋体"/>
                <w:bCs/>
                <w:sz w:val="24"/>
              </w:rPr>
            </w:pPr>
            <w:r>
              <w:rPr>
                <w:rFonts w:hint="eastAsia" w:ascii="仿宋_GB2312" w:hAnsi="宋体" w:eastAsia="仿宋_GB2312" w:cs="宋体"/>
                <w:bCs/>
                <w:sz w:val="24"/>
              </w:rPr>
              <w:t>足球</w:t>
            </w:r>
            <w:r>
              <w:rPr>
                <w:rFonts w:hint="eastAsia" w:ascii="仿宋_GB2312" w:hAnsi="宋体" w:eastAsia="仿宋_GB2312" w:cs="宋体"/>
                <w:bCs/>
                <w:kern w:val="0"/>
                <w:sz w:val="24"/>
                <w:lang w:val="zh-CN"/>
              </w:rPr>
              <w:t>网为白色，网眼为正方形：</w:t>
            </w:r>
            <w:r>
              <w:rPr>
                <w:rFonts w:hint="eastAsia" w:ascii="仿宋_GB2312" w:hAnsi="宋体" w:eastAsia="仿宋_GB2312" w:cs="宋体"/>
                <w:bCs/>
                <w:kern w:val="0"/>
                <w:sz w:val="24"/>
              </w:rPr>
              <w:t>80</w:t>
            </w:r>
            <w:r>
              <w:rPr>
                <w:rFonts w:hint="eastAsia" w:ascii="仿宋_GB2312" w:hAnsi="宋体" w:eastAsia="仿宋_GB2312" w:cs="宋体"/>
                <w:bCs/>
                <w:kern w:val="0"/>
                <w:sz w:val="24"/>
                <w:lang w:val="zh-CN"/>
              </w:rPr>
              <w:t>×</w:t>
            </w:r>
            <w:r>
              <w:rPr>
                <w:rFonts w:hint="eastAsia" w:ascii="仿宋_GB2312" w:hAnsi="宋体" w:eastAsia="仿宋_GB2312" w:cs="宋体"/>
                <w:bCs/>
                <w:kern w:val="0"/>
                <w:sz w:val="24"/>
              </w:rPr>
              <w:t>80</w:t>
            </w:r>
            <w:r>
              <w:rPr>
                <w:rFonts w:hint="eastAsia" w:ascii="仿宋_GB2312" w:hAnsi="宋体" w:eastAsia="仿宋_GB2312" w:cs="宋体"/>
                <w:bCs/>
                <w:kern w:val="0"/>
                <w:sz w:val="24"/>
                <w:lang w:val="zh-CN"/>
              </w:rPr>
              <w:t>mm，网线直径为φ3.5mm</w:t>
            </w:r>
          </w:p>
        </w:tc>
      </w:tr>
      <w:tr w14:paraId="191BC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1622" w:type="dxa"/>
            <w:vMerge w:val="continue"/>
            <w:noWrap w:val="0"/>
            <w:vAlign w:val="center"/>
          </w:tcPr>
          <w:p w14:paraId="55190419">
            <w:pPr>
              <w:jc w:val="center"/>
              <w:rPr>
                <w:rFonts w:ascii="仿宋_GB2312" w:hAnsi="宋体" w:eastAsia="仿宋_GB2312" w:cs="宋体"/>
                <w:bCs/>
                <w:sz w:val="24"/>
              </w:rPr>
            </w:pPr>
          </w:p>
        </w:tc>
        <w:tc>
          <w:tcPr>
            <w:tcW w:w="6257" w:type="dxa"/>
            <w:noWrap w:val="0"/>
            <w:vAlign w:val="center"/>
          </w:tcPr>
          <w:p w14:paraId="7AB1201D">
            <w:pPr>
              <w:rPr>
                <w:rFonts w:ascii="仿宋_GB2312" w:hAnsi="宋体" w:eastAsia="仿宋_GB2312" w:cs="宋体"/>
                <w:bCs/>
                <w:sz w:val="24"/>
              </w:rPr>
            </w:pPr>
            <w:r>
              <w:rPr>
                <w:rFonts w:hint="eastAsia" w:ascii="仿宋_GB2312" w:hAnsi="宋体" w:eastAsia="仿宋_GB2312" w:cs="宋体"/>
                <w:bCs/>
                <w:kern w:val="0"/>
                <w:sz w:val="24"/>
                <w:lang w:val="zh-CN"/>
              </w:rPr>
              <w:t>足球网四周拷边处理，球门四角采用空扁绳，方便于穿拉网绳</w:t>
            </w:r>
          </w:p>
        </w:tc>
      </w:tr>
      <w:tr w14:paraId="601CF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1622" w:type="dxa"/>
            <w:vMerge w:val="restart"/>
            <w:noWrap w:val="0"/>
            <w:vAlign w:val="center"/>
          </w:tcPr>
          <w:p w14:paraId="7F1607EF">
            <w:pPr>
              <w:jc w:val="center"/>
              <w:rPr>
                <w:rFonts w:ascii="仿宋_GB2312" w:hAnsi="宋体" w:eastAsia="仿宋_GB2312" w:cs="宋体"/>
                <w:bCs/>
                <w:sz w:val="24"/>
              </w:rPr>
            </w:pPr>
            <w:r>
              <w:rPr>
                <w:rFonts w:hint="eastAsia" w:ascii="仿宋_GB2312" w:hAnsi="宋体" w:eastAsia="仿宋_GB2312" w:cs="宋体"/>
                <w:bCs/>
                <w:sz w:val="24"/>
              </w:rPr>
              <w:t>产品特性</w:t>
            </w:r>
          </w:p>
        </w:tc>
        <w:tc>
          <w:tcPr>
            <w:tcW w:w="6257" w:type="dxa"/>
            <w:noWrap w:val="0"/>
            <w:vAlign w:val="center"/>
          </w:tcPr>
          <w:p w14:paraId="09889463">
            <w:pPr>
              <w:rPr>
                <w:rFonts w:ascii="仿宋_GB2312" w:hAnsi="宋体" w:eastAsia="仿宋_GB2312" w:cs="宋体"/>
                <w:bCs/>
                <w:sz w:val="24"/>
                <w:lang w:val="zh-CN"/>
              </w:rPr>
            </w:pPr>
            <w:r>
              <w:rPr>
                <w:rFonts w:hint="eastAsia" w:ascii="仿宋_GB2312" w:hAnsi="宋体" w:eastAsia="仿宋_GB2312" w:cs="宋体"/>
                <w:bCs/>
                <w:sz w:val="24"/>
              </w:rPr>
              <w:t>球门组装完成后，立杆与地面垂直，横梁与立杆的夹角为90°</w:t>
            </w:r>
          </w:p>
        </w:tc>
      </w:tr>
      <w:tr w14:paraId="40B6F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1622" w:type="dxa"/>
            <w:vMerge w:val="continue"/>
            <w:noWrap w:val="0"/>
            <w:vAlign w:val="center"/>
          </w:tcPr>
          <w:p w14:paraId="09CA9CF1">
            <w:pPr>
              <w:jc w:val="center"/>
              <w:rPr>
                <w:rFonts w:ascii="仿宋_GB2312" w:hAnsi="宋体" w:eastAsia="仿宋_GB2312" w:cs="宋体"/>
                <w:bCs/>
                <w:sz w:val="24"/>
              </w:rPr>
            </w:pPr>
          </w:p>
        </w:tc>
        <w:tc>
          <w:tcPr>
            <w:tcW w:w="6257" w:type="dxa"/>
            <w:noWrap w:val="0"/>
            <w:vAlign w:val="center"/>
          </w:tcPr>
          <w:p w14:paraId="13425840">
            <w:pPr>
              <w:rPr>
                <w:rFonts w:ascii="仿宋_GB2312" w:hAnsi="宋体" w:eastAsia="仿宋_GB2312" w:cs="宋体"/>
                <w:bCs/>
                <w:sz w:val="24"/>
              </w:rPr>
            </w:pPr>
            <w:r>
              <w:rPr>
                <w:rFonts w:hint="eastAsia" w:ascii="仿宋_GB2312" w:hAnsi="宋体" w:eastAsia="仿宋_GB2312" w:cs="宋体"/>
                <w:bCs/>
                <w:sz w:val="24"/>
              </w:rPr>
              <w:t>所有连接件周边处理圆滑，无棱角，无安全隐患</w:t>
            </w:r>
          </w:p>
        </w:tc>
      </w:tr>
      <w:tr w14:paraId="0DB67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1622" w:type="dxa"/>
            <w:vMerge w:val="continue"/>
            <w:noWrap w:val="0"/>
            <w:vAlign w:val="center"/>
          </w:tcPr>
          <w:p w14:paraId="79DC3C94">
            <w:pPr>
              <w:jc w:val="center"/>
              <w:rPr>
                <w:rFonts w:ascii="仿宋_GB2312" w:hAnsi="宋体" w:eastAsia="仿宋_GB2312" w:cs="宋体"/>
                <w:bCs/>
                <w:sz w:val="24"/>
              </w:rPr>
            </w:pPr>
          </w:p>
        </w:tc>
        <w:tc>
          <w:tcPr>
            <w:tcW w:w="6257" w:type="dxa"/>
            <w:noWrap w:val="0"/>
            <w:vAlign w:val="center"/>
          </w:tcPr>
          <w:p w14:paraId="6BAAD89F">
            <w:pPr>
              <w:rPr>
                <w:rFonts w:ascii="仿宋_GB2312" w:hAnsi="宋体" w:eastAsia="仿宋_GB2312" w:cs="宋体"/>
                <w:bCs/>
                <w:sz w:val="24"/>
              </w:rPr>
            </w:pPr>
            <w:r>
              <w:rPr>
                <w:rFonts w:hint="eastAsia" w:ascii="仿宋_GB2312" w:hAnsi="宋体" w:eastAsia="仿宋_GB2312" w:cs="宋体"/>
                <w:bCs/>
                <w:sz w:val="24"/>
              </w:rPr>
              <w:t>为保证球门的整体稳定性，在球门两侧横杆、后侧横杆位置配置了球门固定压板和适用于室外水泥场地的膨胀螺栓</w:t>
            </w:r>
          </w:p>
        </w:tc>
      </w:tr>
      <w:tr w14:paraId="4D4F1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1622" w:type="dxa"/>
            <w:vMerge w:val="continue"/>
            <w:noWrap w:val="0"/>
            <w:vAlign w:val="center"/>
          </w:tcPr>
          <w:p w14:paraId="13D898FB">
            <w:pPr>
              <w:jc w:val="center"/>
              <w:rPr>
                <w:rFonts w:ascii="仿宋_GB2312" w:hAnsi="宋体" w:eastAsia="仿宋_GB2312" w:cs="宋体"/>
                <w:bCs/>
                <w:sz w:val="24"/>
              </w:rPr>
            </w:pPr>
          </w:p>
        </w:tc>
        <w:tc>
          <w:tcPr>
            <w:tcW w:w="6257" w:type="dxa"/>
            <w:noWrap w:val="0"/>
            <w:vAlign w:val="center"/>
          </w:tcPr>
          <w:p w14:paraId="0BF1FE75">
            <w:pPr>
              <w:rPr>
                <w:rFonts w:ascii="仿宋_GB2312" w:hAnsi="宋体" w:eastAsia="仿宋_GB2312" w:cs="宋体"/>
                <w:bCs/>
                <w:sz w:val="24"/>
                <w:lang w:val="zh-CN"/>
              </w:rPr>
            </w:pPr>
            <w:r>
              <w:rPr>
                <w:rFonts w:hint="eastAsia" w:ascii="仿宋_GB2312" w:hAnsi="宋体" w:eastAsia="仿宋_GB2312" w:cs="宋体"/>
                <w:bCs/>
                <w:sz w:val="24"/>
              </w:rPr>
              <w:t>球门整体可装拆，便于运输和安装</w:t>
            </w:r>
          </w:p>
        </w:tc>
      </w:tr>
      <w:tr w14:paraId="48EDE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jc w:val="center"/>
        </w:trPr>
        <w:tc>
          <w:tcPr>
            <w:tcW w:w="1622" w:type="dxa"/>
            <w:noWrap w:val="0"/>
            <w:vAlign w:val="center"/>
          </w:tcPr>
          <w:p w14:paraId="3D9643B4">
            <w:pPr>
              <w:jc w:val="center"/>
              <w:rPr>
                <w:rFonts w:ascii="仿宋_GB2312" w:hAnsi="宋体" w:eastAsia="仿宋_GB2312" w:cs="宋体"/>
                <w:bCs/>
                <w:sz w:val="24"/>
              </w:rPr>
            </w:pPr>
            <w:r>
              <w:rPr>
                <w:rFonts w:hint="eastAsia" w:ascii="仿宋_GB2312" w:hAnsi="宋体" w:eastAsia="仿宋_GB2312" w:cs="宋体"/>
                <w:bCs/>
                <w:sz w:val="24"/>
              </w:rPr>
              <w:t>特性</w:t>
            </w:r>
          </w:p>
        </w:tc>
        <w:tc>
          <w:tcPr>
            <w:tcW w:w="6257" w:type="dxa"/>
            <w:noWrap w:val="0"/>
            <w:vAlign w:val="center"/>
          </w:tcPr>
          <w:p w14:paraId="1E10B85D">
            <w:pPr>
              <w:rPr>
                <w:rFonts w:ascii="仿宋_GB2312" w:hAnsi="宋体" w:eastAsia="仿宋_GB2312" w:cs="宋体"/>
                <w:bCs/>
                <w:sz w:val="24"/>
              </w:rPr>
            </w:pPr>
            <w:r>
              <w:rPr>
                <w:rFonts w:hint="eastAsia" w:ascii="仿宋_GB2312" w:hAnsi="宋体" w:eastAsia="仿宋_GB2312" w:cs="宋体"/>
                <w:bCs/>
                <w:spacing w:val="-6"/>
                <w:sz w:val="24"/>
              </w:rPr>
              <w:t>产品具有耐酸碱、耐湿热、抗老化、外观美观等优点，能适合潮湿和酸雨环境，涂料均为绿色环保无毒产品，避免损害使用者的健康。</w:t>
            </w:r>
          </w:p>
        </w:tc>
      </w:tr>
      <w:tr w14:paraId="0F2D9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atLeast"/>
          <w:jc w:val="center"/>
        </w:trPr>
        <w:tc>
          <w:tcPr>
            <w:tcW w:w="1622" w:type="dxa"/>
            <w:noWrap w:val="0"/>
            <w:vAlign w:val="center"/>
          </w:tcPr>
          <w:p w14:paraId="604C6717">
            <w:pPr>
              <w:jc w:val="center"/>
              <w:rPr>
                <w:rFonts w:ascii="仿宋_GB2312" w:hAnsi="宋体" w:eastAsia="仿宋_GB2312" w:cs="宋体"/>
                <w:bCs/>
                <w:sz w:val="24"/>
              </w:rPr>
            </w:pPr>
            <w:r>
              <w:rPr>
                <w:rFonts w:hint="eastAsia" w:ascii="仿宋_GB2312" w:hAnsi="宋体" w:eastAsia="仿宋_GB2312" w:cs="宋体"/>
                <w:bCs/>
                <w:sz w:val="24"/>
              </w:rPr>
              <w:t>表面质量</w:t>
            </w:r>
          </w:p>
        </w:tc>
        <w:tc>
          <w:tcPr>
            <w:tcW w:w="6257" w:type="dxa"/>
            <w:noWrap w:val="0"/>
            <w:vAlign w:val="center"/>
          </w:tcPr>
          <w:p w14:paraId="5A775376">
            <w:pPr>
              <w:rPr>
                <w:rFonts w:ascii="仿宋_GB2312" w:hAnsi="宋体" w:eastAsia="仿宋_GB2312" w:cs="宋体"/>
                <w:bCs/>
                <w:sz w:val="24"/>
              </w:rPr>
            </w:pPr>
            <w:r>
              <w:rPr>
                <w:rFonts w:hint="eastAsia" w:ascii="仿宋_GB2312" w:hAnsi="宋体" w:eastAsia="仿宋_GB2312" w:cs="宋体"/>
                <w:bCs/>
                <w:sz w:val="24"/>
              </w:rPr>
              <w:t>符合GB19272-2011中5.10的相关规定要求</w:t>
            </w:r>
          </w:p>
        </w:tc>
      </w:tr>
      <w:tr w14:paraId="7A7D5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1622" w:type="dxa"/>
            <w:noWrap w:val="0"/>
            <w:vAlign w:val="center"/>
          </w:tcPr>
          <w:p w14:paraId="4EBB74E7">
            <w:pPr>
              <w:jc w:val="center"/>
              <w:rPr>
                <w:rFonts w:ascii="仿宋_GB2312" w:hAnsi="宋体" w:eastAsia="仿宋_GB2312" w:cs="宋体"/>
                <w:bCs/>
                <w:sz w:val="24"/>
              </w:rPr>
            </w:pPr>
            <w:r>
              <w:rPr>
                <w:rFonts w:hint="eastAsia" w:ascii="宋体" w:hAnsi="宋体" w:eastAsia="仿宋_GB2312" w:cs="宋体"/>
                <w:sz w:val="24"/>
                <w:lang w:eastAsia="zh-CN"/>
              </w:rPr>
              <w:t>▲</w:t>
            </w:r>
            <w:r>
              <w:rPr>
                <w:rFonts w:hint="eastAsia" w:ascii="仿宋_GB2312" w:hAnsi="宋体" w:eastAsia="仿宋_GB2312" w:cs="宋体"/>
                <w:bCs/>
                <w:sz w:val="24"/>
              </w:rPr>
              <w:t>环保要求</w:t>
            </w:r>
          </w:p>
        </w:tc>
        <w:tc>
          <w:tcPr>
            <w:tcW w:w="6257" w:type="dxa"/>
            <w:noWrap w:val="0"/>
            <w:vAlign w:val="center"/>
          </w:tcPr>
          <w:p w14:paraId="0E184696">
            <w:pPr>
              <w:rPr>
                <w:rFonts w:ascii="仿宋_GB2312" w:hAnsi="宋体" w:eastAsia="仿宋_GB2312" w:cs="宋体"/>
                <w:bCs/>
                <w:sz w:val="24"/>
              </w:rPr>
            </w:pPr>
            <w:r>
              <w:rPr>
                <w:rFonts w:hint="eastAsia" w:ascii="仿宋_GB2312" w:hAnsi="宋体" w:eastAsia="仿宋_GB2312" w:cs="宋体"/>
                <w:bCs/>
                <w:sz w:val="24"/>
              </w:rPr>
              <w:t>符合GB19272-2011中5.9.2的相关规定要求</w:t>
            </w:r>
          </w:p>
        </w:tc>
      </w:tr>
    </w:tbl>
    <w:p w14:paraId="04101C33">
      <w:pPr>
        <w:spacing w:line="360" w:lineRule="auto"/>
        <w:ind w:firstLine="420" w:firstLineChars="200"/>
        <w:rPr>
          <w:rFonts w:ascii="仿宋_GB2312" w:hAnsi="宋体" w:eastAsia="仿宋_GB2312"/>
          <w:sz w:val="24"/>
        </w:rPr>
      </w:pPr>
      <w:r>
        <w:rPr>
          <w:rFonts w:hint="eastAsia" w:ascii="仿宋_GB2312" w:hAnsi="仿宋" w:eastAsia="仿宋_GB2312"/>
          <w:szCs w:val="32"/>
        </w:rPr>
        <w:t>3.</w:t>
      </w:r>
      <w:r>
        <w:rPr>
          <w:rFonts w:hint="eastAsia" w:ascii="仿宋_GB2312" w:hAnsi="宋体" w:eastAsia="仿宋_GB2312"/>
          <w:b/>
          <w:bCs/>
          <w:sz w:val="24"/>
        </w:rPr>
        <w:t>移动式羽毛球柱</w:t>
      </w:r>
    </w:p>
    <w:tbl>
      <w:tblPr>
        <w:tblStyle w:val="2"/>
        <w:tblW w:w="79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6"/>
        <w:gridCol w:w="1259"/>
        <w:gridCol w:w="6214"/>
      </w:tblGrid>
      <w:tr w14:paraId="7F8A7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1725" w:type="dxa"/>
            <w:gridSpan w:val="2"/>
            <w:noWrap w:val="0"/>
            <w:vAlign w:val="center"/>
          </w:tcPr>
          <w:p w14:paraId="4C180890">
            <w:pPr>
              <w:jc w:val="center"/>
              <w:outlineLvl w:val="0"/>
              <w:rPr>
                <w:rFonts w:ascii="仿宋_GB2312" w:hAnsi="宋体" w:eastAsia="仿宋_GB2312" w:cs="宋体"/>
                <w:sz w:val="24"/>
              </w:rPr>
            </w:pPr>
            <w:r>
              <w:rPr>
                <w:rFonts w:hint="eastAsia" w:ascii="仿宋_GB2312" w:hAnsi="宋体" w:eastAsia="仿宋_GB2312" w:cs="宋体"/>
                <w:sz w:val="24"/>
              </w:rPr>
              <w:t>项目</w:t>
            </w:r>
          </w:p>
        </w:tc>
        <w:tc>
          <w:tcPr>
            <w:tcW w:w="6214" w:type="dxa"/>
            <w:noWrap w:val="0"/>
            <w:vAlign w:val="center"/>
          </w:tcPr>
          <w:p w14:paraId="7DD04905">
            <w:pPr>
              <w:jc w:val="center"/>
              <w:outlineLvl w:val="0"/>
              <w:rPr>
                <w:rFonts w:ascii="仿宋_GB2312" w:hAnsi="宋体" w:eastAsia="仿宋_GB2312" w:cs="宋体"/>
                <w:sz w:val="24"/>
              </w:rPr>
            </w:pPr>
            <w:r>
              <w:rPr>
                <w:rFonts w:hint="eastAsia" w:ascii="仿宋_GB2312" w:hAnsi="宋体" w:eastAsia="仿宋_GB2312" w:cs="宋体"/>
                <w:sz w:val="24"/>
              </w:rPr>
              <w:t>技术参数</w:t>
            </w:r>
          </w:p>
        </w:tc>
      </w:tr>
      <w:tr w14:paraId="465C4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1725" w:type="dxa"/>
            <w:gridSpan w:val="2"/>
            <w:noWrap w:val="0"/>
            <w:vAlign w:val="center"/>
          </w:tcPr>
          <w:p w14:paraId="05090411">
            <w:pPr>
              <w:jc w:val="center"/>
              <w:rPr>
                <w:rFonts w:ascii="仿宋_GB2312" w:hAnsi="宋体" w:eastAsia="仿宋_GB2312" w:cs="宋体"/>
                <w:sz w:val="24"/>
              </w:rPr>
            </w:pPr>
            <w:r>
              <w:rPr>
                <w:rFonts w:hint="eastAsia" w:ascii="仿宋_GB2312" w:hAnsi="宋体" w:eastAsia="仿宋_GB2312" w:cs="宋体"/>
                <w:sz w:val="24"/>
              </w:rPr>
              <w:t>产品结构</w:t>
            </w:r>
          </w:p>
        </w:tc>
        <w:tc>
          <w:tcPr>
            <w:tcW w:w="6214" w:type="dxa"/>
            <w:noWrap w:val="0"/>
            <w:vAlign w:val="center"/>
          </w:tcPr>
          <w:p w14:paraId="69027395">
            <w:pPr>
              <w:rPr>
                <w:rFonts w:ascii="仿宋_GB2312" w:hAnsi="宋体" w:eastAsia="仿宋_GB2312" w:cs="宋体"/>
                <w:sz w:val="24"/>
              </w:rPr>
            </w:pPr>
            <w:r>
              <w:rPr>
                <w:rFonts w:hint="eastAsia" w:ascii="仿宋_GB2312" w:hAnsi="宋体" w:eastAsia="仿宋_GB2312" w:cs="宋体"/>
                <w:sz w:val="24"/>
              </w:rPr>
              <w:t>由底座、立柱、锁绳装置、高度微调装置和羽毛球网组成</w:t>
            </w:r>
          </w:p>
        </w:tc>
      </w:tr>
      <w:tr w14:paraId="60164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1725" w:type="dxa"/>
            <w:gridSpan w:val="2"/>
            <w:noWrap w:val="0"/>
            <w:vAlign w:val="center"/>
          </w:tcPr>
          <w:p w14:paraId="45C330BB">
            <w:pPr>
              <w:jc w:val="center"/>
              <w:rPr>
                <w:rFonts w:ascii="仿宋_GB2312" w:hAnsi="宋体" w:eastAsia="仿宋_GB2312" w:cs="宋体"/>
                <w:sz w:val="24"/>
              </w:rPr>
            </w:pPr>
            <w:r>
              <w:rPr>
                <w:rFonts w:hint="eastAsia" w:ascii="仿宋_GB2312" w:hAnsi="宋体" w:eastAsia="仿宋_GB2312" w:cs="宋体"/>
                <w:sz w:val="24"/>
              </w:rPr>
              <w:t>适用场地</w:t>
            </w:r>
          </w:p>
        </w:tc>
        <w:tc>
          <w:tcPr>
            <w:tcW w:w="6214" w:type="dxa"/>
            <w:noWrap w:val="0"/>
            <w:vAlign w:val="center"/>
          </w:tcPr>
          <w:p w14:paraId="33EF7407">
            <w:pPr>
              <w:rPr>
                <w:rFonts w:ascii="仿宋_GB2312" w:hAnsi="宋体" w:eastAsia="仿宋_GB2312" w:cs="宋体"/>
                <w:sz w:val="24"/>
              </w:rPr>
            </w:pPr>
            <w:r>
              <w:rPr>
                <w:rFonts w:hint="eastAsia" w:ascii="仿宋_GB2312" w:hAnsi="宋体" w:eastAsia="仿宋_GB2312" w:cs="宋体"/>
                <w:sz w:val="24"/>
              </w:rPr>
              <w:t>适合两片场地之间尺寸≥1200mm</w:t>
            </w:r>
          </w:p>
        </w:tc>
      </w:tr>
      <w:tr w14:paraId="70CDE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466" w:type="dxa"/>
            <w:vMerge w:val="restart"/>
            <w:noWrap w:val="0"/>
            <w:vAlign w:val="center"/>
          </w:tcPr>
          <w:p w14:paraId="5BD0975A">
            <w:pPr>
              <w:jc w:val="center"/>
              <w:rPr>
                <w:rFonts w:ascii="仿宋_GB2312" w:hAnsi="宋体" w:eastAsia="仿宋_GB2312" w:cs="宋体"/>
                <w:sz w:val="24"/>
              </w:rPr>
            </w:pPr>
            <w:r>
              <w:rPr>
                <w:rFonts w:hint="eastAsia" w:ascii="仿宋_GB2312" w:hAnsi="宋体" w:eastAsia="仿宋_GB2312" w:cs="宋体"/>
                <w:sz w:val="24"/>
              </w:rPr>
              <w:t>底座</w:t>
            </w:r>
          </w:p>
        </w:tc>
        <w:tc>
          <w:tcPr>
            <w:tcW w:w="1259" w:type="dxa"/>
            <w:vMerge w:val="restart"/>
            <w:noWrap w:val="0"/>
            <w:vAlign w:val="center"/>
          </w:tcPr>
          <w:p w14:paraId="3AA9DC1B">
            <w:pPr>
              <w:jc w:val="center"/>
              <w:rPr>
                <w:rFonts w:ascii="仿宋_GB2312" w:hAnsi="宋体" w:eastAsia="仿宋_GB2312" w:cs="宋体"/>
                <w:sz w:val="24"/>
              </w:rPr>
            </w:pPr>
            <w:r>
              <w:rPr>
                <w:rFonts w:hint="eastAsia" w:ascii="仿宋_GB2312" w:hAnsi="宋体" w:eastAsia="仿宋_GB2312" w:cs="宋体"/>
                <w:sz w:val="24"/>
              </w:rPr>
              <w:t>底    座</w:t>
            </w:r>
          </w:p>
        </w:tc>
        <w:tc>
          <w:tcPr>
            <w:tcW w:w="6214" w:type="dxa"/>
            <w:noWrap w:val="0"/>
            <w:vAlign w:val="center"/>
          </w:tcPr>
          <w:p w14:paraId="638E183B">
            <w:pPr>
              <w:rPr>
                <w:rFonts w:ascii="仿宋_GB2312" w:hAnsi="宋体" w:eastAsia="仿宋_GB2312" w:cs="宋体"/>
                <w:sz w:val="24"/>
              </w:rPr>
            </w:pPr>
            <w:r>
              <w:rPr>
                <w:rFonts w:hint="eastAsia" w:ascii="仿宋_GB2312" w:hAnsi="宋体" w:eastAsia="仿宋_GB2312" w:cs="宋体"/>
                <w:sz w:val="24"/>
              </w:rPr>
              <w:t>材料：高密度聚乙烯材料（HDPE）</w:t>
            </w:r>
          </w:p>
        </w:tc>
      </w:tr>
      <w:tr w14:paraId="43F65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466" w:type="dxa"/>
            <w:vMerge w:val="continue"/>
            <w:noWrap w:val="0"/>
            <w:vAlign w:val="center"/>
          </w:tcPr>
          <w:p w14:paraId="1D9D31EA">
            <w:pPr>
              <w:jc w:val="center"/>
              <w:rPr>
                <w:rFonts w:ascii="仿宋_GB2312" w:hAnsi="宋体" w:eastAsia="仿宋_GB2312" w:cs="宋体"/>
                <w:sz w:val="24"/>
              </w:rPr>
            </w:pPr>
          </w:p>
        </w:tc>
        <w:tc>
          <w:tcPr>
            <w:tcW w:w="1259" w:type="dxa"/>
            <w:vMerge w:val="continue"/>
            <w:noWrap w:val="0"/>
            <w:vAlign w:val="center"/>
          </w:tcPr>
          <w:p w14:paraId="137E39D3">
            <w:pPr>
              <w:jc w:val="center"/>
              <w:rPr>
                <w:rFonts w:ascii="仿宋_GB2312" w:hAnsi="宋体" w:eastAsia="仿宋_GB2312" w:cs="宋体"/>
                <w:sz w:val="24"/>
              </w:rPr>
            </w:pPr>
          </w:p>
        </w:tc>
        <w:tc>
          <w:tcPr>
            <w:tcW w:w="6214" w:type="dxa"/>
            <w:noWrap w:val="0"/>
            <w:vAlign w:val="center"/>
          </w:tcPr>
          <w:p w14:paraId="6911931E">
            <w:pPr>
              <w:rPr>
                <w:rFonts w:ascii="仿宋_GB2312" w:hAnsi="宋体" w:eastAsia="仿宋_GB2312" w:cs="宋体"/>
                <w:sz w:val="24"/>
              </w:rPr>
            </w:pPr>
            <w:r>
              <w:rPr>
                <w:rFonts w:hint="eastAsia" w:ascii="仿宋_GB2312" w:hAnsi="宋体" w:eastAsia="仿宋_GB2312" w:cs="宋体"/>
                <w:sz w:val="24"/>
              </w:rPr>
              <w:t>工艺：中空吹塑制造一次加工成型</w:t>
            </w:r>
          </w:p>
        </w:tc>
      </w:tr>
      <w:tr w14:paraId="63700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466" w:type="dxa"/>
            <w:vMerge w:val="continue"/>
            <w:noWrap w:val="0"/>
            <w:vAlign w:val="center"/>
          </w:tcPr>
          <w:p w14:paraId="6B568EF4">
            <w:pPr>
              <w:jc w:val="center"/>
              <w:rPr>
                <w:rFonts w:ascii="仿宋_GB2312" w:hAnsi="宋体" w:eastAsia="仿宋_GB2312" w:cs="宋体"/>
                <w:sz w:val="24"/>
              </w:rPr>
            </w:pPr>
          </w:p>
        </w:tc>
        <w:tc>
          <w:tcPr>
            <w:tcW w:w="1259" w:type="dxa"/>
            <w:vMerge w:val="continue"/>
            <w:noWrap w:val="0"/>
            <w:vAlign w:val="center"/>
          </w:tcPr>
          <w:p w14:paraId="2618D7C7">
            <w:pPr>
              <w:jc w:val="center"/>
              <w:rPr>
                <w:rFonts w:ascii="仿宋_GB2312" w:hAnsi="宋体" w:eastAsia="仿宋_GB2312" w:cs="宋体"/>
                <w:sz w:val="24"/>
              </w:rPr>
            </w:pPr>
          </w:p>
        </w:tc>
        <w:tc>
          <w:tcPr>
            <w:tcW w:w="6214" w:type="dxa"/>
            <w:noWrap w:val="0"/>
            <w:vAlign w:val="center"/>
          </w:tcPr>
          <w:p w14:paraId="586E4AC8">
            <w:pPr>
              <w:rPr>
                <w:rFonts w:ascii="仿宋_GB2312" w:hAnsi="宋体" w:eastAsia="仿宋_GB2312" w:cs="宋体"/>
                <w:sz w:val="24"/>
              </w:rPr>
            </w:pPr>
            <w:r>
              <w:rPr>
                <w:rFonts w:hint="eastAsia" w:ascii="仿宋_GB2312" w:hAnsi="宋体" w:eastAsia="仿宋_GB2312" w:cs="宋体"/>
                <w:sz w:val="24"/>
              </w:rPr>
              <w:t>耐老化性能：</w:t>
            </w:r>
            <w:r>
              <w:rPr>
                <w:rFonts w:hint="eastAsia" w:ascii="仿宋_GB2312" w:hAnsi="宋体" w:eastAsia="仿宋_GB2312" w:cs="宋体"/>
                <w:sz w:val="24"/>
                <w:lang w:val="zh-CN"/>
              </w:rPr>
              <w:t>老化试验</w:t>
            </w:r>
            <w:r>
              <w:rPr>
                <w:rFonts w:hint="eastAsia" w:ascii="仿宋_GB2312" w:hAnsi="宋体" w:eastAsia="仿宋_GB2312" w:cs="宋体"/>
                <w:sz w:val="24"/>
              </w:rPr>
              <w:t>≥</w:t>
            </w:r>
            <w:r>
              <w:rPr>
                <w:rFonts w:hint="eastAsia" w:ascii="仿宋_GB2312" w:hAnsi="宋体" w:eastAsia="仿宋_GB2312" w:cs="宋体"/>
                <w:sz w:val="24"/>
                <w:lang w:val="zh-CN"/>
              </w:rPr>
              <w:t>3500h，外观颜色变色评级</w:t>
            </w:r>
            <w:r>
              <w:rPr>
                <w:rFonts w:hint="eastAsia" w:ascii="仿宋_GB2312" w:hAnsi="宋体" w:eastAsia="仿宋_GB2312" w:cs="宋体"/>
                <w:sz w:val="24"/>
              </w:rPr>
              <w:t>≥3</w:t>
            </w:r>
          </w:p>
        </w:tc>
      </w:tr>
      <w:tr w14:paraId="7DF7A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jc w:val="center"/>
        </w:trPr>
        <w:tc>
          <w:tcPr>
            <w:tcW w:w="466" w:type="dxa"/>
            <w:vMerge w:val="continue"/>
            <w:noWrap w:val="0"/>
            <w:vAlign w:val="center"/>
          </w:tcPr>
          <w:p w14:paraId="54D017B9">
            <w:pPr>
              <w:jc w:val="center"/>
              <w:rPr>
                <w:rFonts w:ascii="仿宋_GB2312" w:hAnsi="宋体" w:eastAsia="仿宋_GB2312" w:cs="宋体"/>
                <w:sz w:val="24"/>
              </w:rPr>
            </w:pPr>
          </w:p>
        </w:tc>
        <w:tc>
          <w:tcPr>
            <w:tcW w:w="1259" w:type="dxa"/>
            <w:vMerge w:val="continue"/>
            <w:noWrap w:val="0"/>
            <w:vAlign w:val="center"/>
          </w:tcPr>
          <w:p w14:paraId="37FB07FB">
            <w:pPr>
              <w:jc w:val="center"/>
              <w:rPr>
                <w:rFonts w:ascii="仿宋_GB2312" w:hAnsi="宋体" w:eastAsia="仿宋_GB2312" w:cs="宋体"/>
                <w:sz w:val="24"/>
              </w:rPr>
            </w:pPr>
          </w:p>
        </w:tc>
        <w:tc>
          <w:tcPr>
            <w:tcW w:w="6214" w:type="dxa"/>
            <w:noWrap w:val="0"/>
            <w:vAlign w:val="center"/>
          </w:tcPr>
          <w:p w14:paraId="3A6204CB">
            <w:pPr>
              <w:rPr>
                <w:rFonts w:ascii="仿宋_GB2312" w:hAnsi="宋体" w:eastAsia="仿宋_GB2312" w:cs="宋体"/>
                <w:sz w:val="24"/>
              </w:rPr>
            </w:pPr>
            <w:r>
              <w:rPr>
                <w:rFonts w:hint="eastAsia" w:ascii="宋体" w:hAnsi="宋体" w:eastAsia="仿宋_GB2312" w:cs="宋体"/>
                <w:sz w:val="24"/>
                <w:lang w:eastAsia="zh-CN"/>
              </w:rPr>
              <w:t>▲</w:t>
            </w:r>
            <w:r>
              <w:rPr>
                <w:rFonts w:hint="eastAsia" w:ascii="仿宋_GB2312" w:hAnsi="宋体" w:eastAsia="仿宋_GB2312" w:cs="宋体"/>
                <w:sz w:val="24"/>
              </w:rPr>
              <w:t>高低温性能：高温＋80℃、低温-55℃下72h，无局部粉化、龟裂、斑点、起泡及明显变形等外观变化</w:t>
            </w:r>
          </w:p>
        </w:tc>
      </w:tr>
      <w:tr w14:paraId="7EE60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jc w:val="center"/>
        </w:trPr>
        <w:tc>
          <w:tcPr>
            <w:tcW w:w="466" w:type="dxa"/>
            <w:vMerge w:val="continue"/>
            <w:noWrap w:val="0"/>
            <w:vAlign w:val="center"/>
          </w:tcPr>
          <w:p w14:paraId="530D171B">
            <w:pPr>
              <w:jc w:val="center"/>
              <w:rPr>
                <w:rFonts w:ascii="仿宋_GB2312" w:hAnsi="宋体" w:eastAsia="仿宋_GB2312" w:cs="宋体"/>
                <w:sz w:val="24"/>
              </w:rPr>
            </w:pPr>
          </w:p>
        </w:tc>
        <w:tc>
          <w:tcPr>
            <w:tcW w:w="1259" w:type="dxa"/>
            <w:vMerge w:val="continue"/>
            <w:noWrap w:val="0"/>
            <w:vAlign w:val="center"/>
          </w:tcPr>
          <w:p w14:paraId="02700283">
            <w:pPr>
              <w:jc w:val="center"/>
              <w:rPr>
                <w:rFonts w:ascii="仿宋_GB2312" w:hAnsi="宋体" w:eastAsia="仿宋_GB2312" w:cs="宋体"/>
                <w:sz w:val="24"/>
              </w:rPr>
            </w:pPr>
          </w:p>
        </w:tc>
        <w:tc>
          <w:tcPr>
            <w:tcW w:w="6214" w:type="dxa"/>
            <w:noWrap w:val="0"/>
            <w:vAlign w:val="center"/>
          </w:tcPr>
          <w:p w14:paraId="29B8B80D">
            <w:pPr>
              <w:rPr>
                <w:rFonts w:ascii="仿宋_GB2312" w:hAnsi="宋体" w:eastAsia="仿宋_GB2312" w:cs="宋体"/>
                <w:sz w:val="24"/>
              </w:rPr>
            </w:pPr>
            <w:r>
              <w:rPr>
                <w:rFonts w:hint="eastAsia" w:ascii="仿宋_GB2312" w:hAnsi="宋体" w:eastAsia="仿宋_GB2312" w:cs="宋体"/>
                <w:sz w:val="24"/>
              </w:rPr>
              <w:t>环保性能：材料可回收，塑料产品中有毒有害物质限量满足GB28481《塑料家具中有害物质限量》中要求</w:t>
            </w:r>
          </w:p>
        </w:tc>
      </w:tr>
      <w:tr w14:paraId="4E099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466" w:type="dxa"/>
            <w:vMerge w:val="continue"/>
            <w:noWrap w:val="0"/>
            <w:vAlign w:val="center"/>
          </w:tcPr>
          <w:p w14:paraId="532C89E9">
            <w:pPr>
              <w:jc w:val="center"/>
              <w:rPr>
                <w:rFonts w:ascii="仿宋_GB2312" w:hAnsi="宋体" w:eastAsia="仿宋_GB2312" w:cs="宋体"/>
                <w:sz w:val="24"/>
              </w:rPr>
            </w:pPr>
          </w:p>
        </w:tc>
        <w:tc>
          <w:tcPr>
            <w:tcW w:w="1259" w:type="dxa"/>
            <w:vMerge w:val="restart"/>
            <w:noWrap w:val="0"/>
            <w:vAlign w:val="center"/>
          </w:tcPr>
          <w:p w14:paraId="7609DC36">
            <w:pPr>
              <w:jc w:val="center"/>
              <w:rPr>
                <w:rFonts w:ascii="仿宋_GB2312" w:hAnsi="宋体" w:eastAsia="仿宋_GB2312" w:cs="宋体"/>
                <w:sz w:val="24"/>
              </w:rPr>
            </w:pPr>
            <w:r>
              <w:rPr>
                <w:rFonts w:hint="eastAsia" w:ascii="仿宋_GB2312" w:hAnsi="宋体" w:eastAsia="仿宋_GB2312" w:cs="宋体"/>
                <w:sz w:val="24"/>
              </w:rPr>
              <w:t>底座铁板</w:t>
            </w:r>
          </w:p>
        </w:tc>
        <w:tc>
          <w:tcPr>
            <w:tcW w:w="6214" w:type="dxa"/>
            <w:noWrap w:val="0"/>
            <w:vAlign w:val="center"/>
          </w:tcPr>
          <w:p w14:paraId="725023F7">
            <w:pPr>
              <w:rPr>
                <w:rFonts w:ascii="仿宋_GB2312" w:hAnsi="宋体" w:eastAsia="仿宋_GB2312" w:cs="宋体"/>
                <w:sz w:val="24"/>
              </w:rPr>
            </w:pPr>
            <w:r>
              <w:rPr>
                <w:rFonts w:hint="eastAsia" w:ascii="仿宋_GB2312" w:hAnsi="宋体" w:eastAsia="仿宋_GB2312" w:cs="宋体"/>
                <w:sz w:val="24"/>
              </w:rPr>
              <w:t>材料：10mm钢板，材质：Q235B</w:t>
            </w:r>
          </w:p>
        </w:tc>
      </w:tr>
      <w:tr w14:paraId="1A295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466" w:type="dxa"/>
            <w:vMerge w:val="continue"/>
            <w:noWrap w:val="0"/>
            <w:vAlign w:val="center"/>
          </w:tcPr>
          <w:p w14:paraId="5E603E84">
            <w:pPr>
              <w:jc w:val="center"/>
              <w:rPr>
                <w:rFonts w:ascii="仿宋_GB2312" w:hAnsi="宋体" w:eastAsia="仿宋_GB2312" w:cs="宋体"/>
                <w:sz w:val="24"/>
              </w:rPr>
            </w:pPr>
          </w:p>
        </w:tc>
        <w:tc>
          <w:tcPr>
            <w:tcW w:w="1259" w:type="dxa"/>
            <w:vMerge w:val="continue"/>
            <w:noWrap w:val="0"/>
            <w:vAlign w:val="center"/>
          </w:tcPr>
          <w:p w14:paraId="4041895B">
            <w:pPr>
              <w:jc w:val="center"/>
              <w:rPr>
                <w:rFonts w:ascii="仿宋_GB2312" w:hAnsi="宋体" w:eastAsia="仿宋_GB2312" w:cs="宋体"/>
                <w:sz w:val="24"/>
              </w:rPr>
            </w:pPr>
          </w:p>
        </w:tc>
        <w:tc>
          <w:tcPr>
            <w:tcW w:w="6214" w:type="dxa"/>
            <w:noWrap w:val="0"/>
            <w:vAlign w:val="center"/>
          </w:tcPr>
          <w:p w14:paraId="1C53262B">
            <w:pPr>
              <w:rPr>
                <w:rFonts w:ascii="仿宋_GB2312" w:hAnsi="宋体" w:eastAsia="仿宋_GB2312" w:cs="宋体"/>
                <w:sz w:val="24"/>
              </w:rPr>
            </w:pPr>
            <w:r>
              <w:rPr>
                <w:rFonts w:hint="eastAsia" w:ascii="仿宋_GB2312" w:hAnsi="宋体" w:eastAsia="仿宋_GB2312" w:cs="宋体"/>
                <w:sz w:val="24"/>
              </w:rPr>
              <w:t>工艺：激光切割一次成型</w:t>
            </w:r>
          </w:p>
        </w:tc>
      </w:tr>
      <w:tr w14:paraId="247AA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466" w:type="dxa"/>
            <w:vMerge w:val="continue"/>
            <w:noWrap w:val="0"/>
            <w:vAlign w:val="center"/>
          </w:tcPr>
          <w:p w14:paraId="2383F51E">
            <w:pPr>
              <w:jc w:val="center"/>
              <w:rPr>
                <w:rFonts w:ascii="仿宋_GB2312" w:hAnsi="宋体" w:eastAsia="仿宋_GB2312" w:cs="宋体"/>
                <w:sz w:val="24"/>
              </w:rPr>
            </w:pPr>
          </w:p>
        </w:tc>
        <w:tc>
          <w:tcPr>
            <w:tcW w:w="1259" w:type="dxa"/>
            <w:noWrap w:val="0"/>
            <w:vAlign w:val="center"/>
          </w:tcPr>
          <w:p w14:paraId="509D06B5">
            <w:pPr>
              <w:jc w:val="center"/>
              <w:rPr>
                <w:rFonts w:ascii="仿宋_GB2312" w:hAnsi="宋体" w:eastAsia="仿宋_GB2312" w:cs="宋体"/>
                <w:sz w:val="24"/>
              </w:rPr>
            </w:pPr>
            <w:r>
              <w:rPr>
                <w:rFonts w:hint="eastAsia" w:ascii="仿宋_GB2312" w:hAnsi="宋体" w:eastAsia="仿宋_GB2312" w:cs="宋体"/>
                <w:sz w:val="24"/>
              </w:rPr>
              <w:t>走    轮</w:t>
            </w:r>
          </w:p>
        </w:tc>
        <w:tc>
          <w:tcPr>
            <w:tcW w:w="6214" w:type="dxa"/>
            <w:noWrap w:val="0"/>
            <w:vAlign w:val="center"/>
          </w:tcPr>
          <w:p w14:paraId="686C4975">
            <w:pPr>
              <w:rPr>
                <w:rFonts w:ascii="仿宋_GB2312" w:hAnsi="宋体" w:eastAsia="仿宋_GB2312" w:cs="宋体"/>
                <w:sz w:val="24"/>
              </w:rPr>
            </w:pPr>
            <w:r>
              <w:rPr>
                <w:rFonts w:hint="eastAsia" w:ascii="仿宋_GB2312" w:hAnsi="宋体" w:eastAsia="仿宋_GB2312" w:cs="宋体"/>
                <w:sz w:val="24"/>
              </w:rPr>
              <w:t>φ75mm低摩擦软性宽幅PU轮</w:t>
            </w:r>
          </w:p>
        </w:tc>
      </w:tr>
      <w:tr w14:paraId="6F50F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466" w:type="dxa"/>
            <w:vMerge w:val="continue"/>
            <w:noWrap w:val="0"/>
            <w:vAlign w:val="center"/>
          </w:tcPr>
          <w:p w14:paraId="7D08A587">
            <w:pPr>
              <w:jc w:val="center"/>
              <w:rPr>
                <w:rFonts w:ascii="仿宋_GB2312" w:hAnsi="宋体" w:eastAsia="仿宋_GB2312" w:cs="宋体"/>
                <w:sz w:val="24"/>
              </w:rPr>
            </w:pPr>
          </w:p>
        </w:tc>
        <w:tc>
          <w:tcPr>
            <w:tcW w:w="1259" w:type="dxa"/>
            <w:noWrap w:val="0"/>
            <w:vAlign w:val="center"/>
          </w:tcPr>
          <w:p w14:paraId="602E3EB5">
            <w:pPr>
              <w:jc w:val="center"/>
              <w:rPr>
                <w:rFonts w:ascii="仿宋_GB2312" w:hAnsi="宋体" w:eastAsia="仿宋_GB2312" w:cs="宋体"/>
                <w:sz w:val="24"/>
              </w:rPr>
            </w:pPr>
            <w:r>
              <w:rPr>
                <w:rFonts w:hint="eastAsia" w:ascii="仿宋_GB2312" w:hAnsi="宋体" w:eastAsia="仿宋_GB2312" w:cs="宋体"/>
                <w:sz w:val="24"/>
              </w:rPr>
              <w:t>防 震 垫</w:t>
            </w:r>
          </w:p>
        </w:tc>
        <w:tc>
          <w:tcPr>
            <w:tcW w:w="6214" w:type="dxa"/>
            <w:noWrap w:val="0"/>
            <w:vAlign w:val="center"/>
          </w:tcPr>
          <w:p w14:paraId="5F35D87F">
            <w:pPr>
              <w:rPr>
                <w:rFonts w:ascii="仿宋_GB2312" w:hAnsi="宋体" w:eastAsia="仿宋_GB2312" w:cs="宋体"/>
                <w:sz w:val="24"/>
              </w:rPr>
            </w:pPr>
            <w:r>
              <w:rPr>
                <w:rFonts w:hint="eastAsia" w:ascii="仿宋_GB2312" w:hAnsi="宋体" w:eastAsia="仿宋_GB2312" w:cs="宋体"/>
                <w:sz w:val="24"/>
              </w:rPr>
              <w:t>每只底座设5块防震垫</w:t>
            </w:r>
          </w:p>
        </w:tc>
      </w:tr>
      <w:tr w14:paraId="13552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466" w:type="dxa"/>
            <w:vMerge w:val="continue"/>
            <w:noWrap w:val="0"/>
            <w:vAlign w:val="center"/>
          </w:tcPr>
          <w:p w14:paraId="551C2C58">
            <w:pPr>
              <w:jc w:val="center"/>
              <w:rPr>
                <w:rFonts w:ascii="仿宋_GB2312" w:hAnsi="宋体" w:eastAsia="仿宋_GB2312" w:cs="宋体"/>
                <w:sz w:val="24"/>
              </w:rPr>
            </w:pPr>
          </w:p>
        </w:tc>
        <w:tc>
          <w:tcPr>
            <w:tcW w:w="1259" w:type="dxa"/>
            <w:noWrap w:val="0"/>
            <w:vAlign w:val="center"/>
          </w:tcPr>
          <w:p w14:paraId="5869C4B1">
            <w:pPr>
              <w:jc w:val="center"/>
              <w:rPr>
                <w:rFonts w:ascii="仿宋_GB2312" w:hAnsi="宋体" w:eastAsia="仿宋_GB2312" w:cs="宋体"/>
                <w:sz w:val="24"/>
              </w:rPr>
            </w:pPr>
            <w:r>
              <w:rPr>
                <w:rFonts w:hint="eastAsia" w:ascii="仿宋_GB2312" w:hAnsi="宋体" w:eastAsia="仿宋_GB2312" w:cs="宋体"/>
                <w:sz w:val="24"/>
              </w:rPr>
              <w:t>配    重</w:t>
            </w:r>
          </w:p>
        </w:tc>
        <w:tc>
          <w:tcPr>
            <w:tcW w:w="6214" w:type="dxa"/>
            <w:noWrap w:val="0"/>
            <w:vAlign w:val="center"/>
          </w:tcPr>
          <w:p w14:paraId="65301872">
            <w:pPr>
              <w:rPr>
                <w:rFonts w:ascii="仿宋_GB2312" w:hAnsi="宋体" w:eastAsia="仿宋_GB2312" w:cs="宋体"/>
                <w:sz w:val="24"/>
              </w:rPr>
            </w:pPr>
            <w:r>
              <w:rPr>
                <w:rFonts w:hint="eastAsia" w:ascii="仿宋_GB2312" w:hAnsi="宋体" w:eastAsia="仿宋_GB2312" w:cs="宋体"/>
                <w:sz w:val="24"/>
              </w:rPr>
              <w:t>单只≥85kg</w:t>
            </w:r>
          </w:p>
        </w:tc>
      </w:tr>
      <w:tr w14:paraId="6658D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466" w:type="dxa"/>
            <w:vMerge w:val="restart"/>
            <w:noWrap w:val="0"/>
            <w:vAlign w:val="center"/>
          </w:tcPr>
          <w:p w14:paraId="1FDCB32A">
            <w:pPr>
              <w:jc w:val="center"/>
              <w:rPr>
                <w:rFonts w:ascii="仿宋_GB2312" w:hAnsi="宋体" w:eastAsia="仿宋_GB2312" w:cs="宋体"/>
                <w:sz w:val="24"/>
              </w:rPr>
            </w:pPr>
            <w:r>
              <w:rPr>
                <w:rFonts w:hint="eastAsia" w:ascii="仿宋_GB2312" w:hAnsi="宋体" w:eastAsia="仿宋_GB2312" w:cs="宋体"/>
                <w:sz w:val="24"/>
              </w:rPr>
              <w:t>立柱</w:t>
            </w:r>
          </w:p>
        </w:tc>
        <w:tc>
          <w:tcPr>
            <w:tcW w:w="1259" w:type="dxa"/>
            <w:noWrap w:val="0"/>
            <w:vAlign w:val="center"/>
          </w:tcPr>
          <w:p w14:paraId="573F76F6">
            <w:pPr>
              <w:jc w:val="center"/>
              <w:rPr>
                <w:rFonts w:ascii="仿宋_GB2312" w:hAnsi="宋体" w:eastAsia="仿宋_GB2312" w:cs="宋体"/>
                <w:sz w:val="24"/>
              </w:rPr>
            </w:pPr>
            <w:r>
              <w:rPr>
                <w:rFonts w:hint="eastAsia" w:ascii="仿宋_GB2312" w:hAnsi="宋体" w:eastAsia="仿宋_GB2312" w:cs="宋体"/>
                <w:sz w:val="24"/>
              </w:rPr>
              <w:t>总 高 度</w:t>
            </w:r>
          </w:p>
        </w:tc>
        <w:tc>
          <w:tcPr>
            <w:tcW w:w="6214" w:type="dxa"/>
            <w:noWrap w:val="0"/>
            <w:vAlign w:val="center"/>
          </w:tcPr>
          <w:p w14:paraId="58FFA839">
            <w:pPr>
              <w:rPr>
                <w:rFonts w:ascii="仿宋_GB2312" w:hAnsi="宋体" w:eastAsia="仿宋_GB2312" w:cs="宋体"/>
                <w:sz w:val="24"/>
              </w:rPr>
            </w:pPr>
            <w:r>
              <w:rPr>
                <w:rFonts w:hint="eastAsia" w:ascii="仿宋_GB2312" w:hAnsi="宋体" w:eastAsia="仿宋_GB2312" w:cs="宋体"/>
                <w:sz w:val="24"/>
              </w:rPr>
              <w:t>1550mm</w:t>
            </w:r>
          </w:p>
        </w:tc>
      </w:tr>
      <w:tr w14:paraId="74C37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466" w:type="dxa"/>
            <w:vMerge w:val="continue"/>
            <w:noWrap w:val="0"/>
            <w:vAlign w:val="center"/>
          </w:tcPr>
          <w:p w14:paraId="3541197A">
            <w:pPr>
              <w:jc w:val="center"/>
              <w:rPr>
                <w:rFonts w:ascii="仿宋_GB2312" w:hAnsi="宋体" w:eastAsia="仿宋_GB2312" w:cs="宋体"/>
                <w:sz w:val="24"/>
              </w:rPr>
            </w:pPr>
          </w:p>
        </w:tc>
        <w:tc>
          <w:tcPr>
            <w:tcW w:w="1259" w:type="dxa"/>
            <w:noWrap w:val="0"/>
            <w:vAlign w:val="center"/>
          </w:tcPr>
          <w:p w14:paraId="75C31E1D">
            <w:pPr>
              <w:jc w:val="center"/>
              <w:rPr>
                <w:rFonts w:ascii="仿宋_GB2312" w:hAnsi="宋体" w:eastAsia="仿宋_GB2312" w:cs="宋体"/>
                <w:sz w:val="24"/>
              </w:rPr>
            </w:pPr>
            <w:r>
              <w:rPr>
                <w:rFonts w:hint="eastAsia" w:ascii="仿宋_GB2312" w:hAnsi="宋体" w:eastAsia="仿宋_GB2312" w:cs="宋体"/>
                <w:sz w:val="24"/>
              </w:rPr>
              <w:t>主要材料</w:t>
            </w:r>
          </w:p>
        </w:tc>
        <w:tc>
          <w:tcPr>
            <w:tcW w:w="6214" w:type="dxa"/>
            <w:noWrap w:val="0"/>
            <w:vAlign w:val="center"/>
          </w:tcPr>
          <w:p w14:paraId="02D18DD2">
            <w:pPr>
              <w:rPr>
                <w:rFonts w:ascii="仿宋_GB2312" w:hAnsi="宋体" w:eastAsia="仿宋_GB2312" w:cs="宋体"/>
                <w:sz w:val="24"/>
              </w:rPr>
            </w:pPr>
            <w:r>
              <w:rPr>
                <w:rFonts w:hint="eastAsia" w:ascii="仿宋_GB2312" w:hAnsi="宋体" w:eastAsia="仿宋_GB2312" w:cs="宋体"/>
                <w:sz w:val="24"/>
              </w:rPr>
              <w:t>规格：φ40*5无缝管，材质：35#</w:t>
            </w:r>
          </w:p>
        </w:tc>
      </w:tr>
      <w:tr w14:paraId="73571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5" w:hRule="atLeast"/>
          <w:jc w:val="center"/>
        </w:trPr>
        <w:tc>
          <w:tcPr>
            <w:tcW w:w="466" w:type="dxa"/>
            <w:vMerge w:val="continue"/>
            <w:noWrap w:val="0"/>
            <w:vAlign w:val="center"/>
          </w:tcPr>
          <w:p w14:paraId="4E62FD56">
            <w:pPr>
              <w:jc w:val="center"/>
              <w:rPr>
                <w:rFonts w:ascii="仿宋_GB2312" w:hAnsi="宋体" w:eastAsia="仿宋_GB2312" w:cs="宋体"/>
                <w:sz w:val="24"/>
              </w:rPr>
            </w:pPr>
          </w:p>
        </w:tc>
        <w:tc>
          <w:tcPr>
            <w:tcW w:w="1259" w:type="dxa"/>
            <w:noWrap w:val="0"/>
            <w:vAlign w:val="center"/>
          </w:tcPr>
          <w:p w14:paraId="6225A2EA">
            <w:pPr>
              <w:jc w:val="center"/>
              <w:rPr>
                <w:rFonts w:ascii="仿宋_GB2312" w:hAnsi="宋体" w:eastAsia="仿宋_GB2312" w:cs="宋体"/>
                <w:sz w:val="24"/>
              </w:rPr>
            </w:pPr>
            <w:r>
              <w:rPr>
                <w:rFonts w:hint="eastAsia" w:ascii="仿宋_GB2312" w:hAnsi="宋体" w:eastAsia="仿宋_GB2312" w:cs="宋体"/>
                <w:sz w:val="24"/>
              </w:rPr>
              <w:t>垂 直 度</w:t>
            </w:r>
          </w:p>
        </w:tc>
        <w:tc>
          <w:tcPr>
            <w:tcW w:w="6214" w:type="dxa"/>
            <w:noWrap w:val="0"/>
            <w:vAlign w:val="center"/>
          </w:tcPr>
          <w:p w14:paraId="14C0519F">
            <w:pPr>
              <w:rPr>
                <w:rFonts w:ascii="仿宋_GB2312" w:hAnsi="宋体" w:eastAsia="仿宋_GB2312" w:cs="宋体"/>
                <w:sz w:val="24"/>
              </w:rPr>
            </w:pPr>
            <w:r>
              <w:rPr>
                <w:rFonts w:hint="eastAsia" w:ascii="仿宋_GB2312" w:hAnsi="宋体" w:eastAsia="仿宋_GB2312" w:cs="宋体"/>
                <w:sz w:val="24"/>
              </w:rPr>
              <w:t>球网被拉紧时，网柱能稳固地与地面保持垂直，立柱轴线对水平面的垂直公差≤1/500，且网柱各部位均不侵入场地内边线的垂直线内</w:t>
            </w:r>
          </w:p>
        </w:tc>
      </w:tr>
      <w:tr w14:paraId="51816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jc w:val="center"/>
        </w:trPr>
        <w:tc>
          <w:tcPr>
            <w:tcW w:w="466" w:type="dxa"/>
            <w:vMerge w:val="continue"/>
            <w:noWrap w:val="0"/>
            <w:vAlign w:val="center"/>
          </w:tcPr>
          <w:p w14:paraId="4634E420">
            <w:pPr>
              <w:jc w:val="center"/>
              <w:rPr>
                <w:rFonts w:ascii="仿宋_GB2312" w:hAnsi="宋体" w:eastAsia="仿宋_GB2312" w:cs="宋体"/>
                <w:sz w:val="24"/>
              </w:rPr>
            </w:pPr>
          </w:p>
        </w:tc>
        <w:tc>
          <w:tcPr>
            <w:tcW w:w="1259" w:type="dxa"/>
            <w:noWrap w:val="0"/>
            <w:vAlign w:val="center"/>
          </w:tcPr>
          <w:p w14:paraId="0B6BBC09">
            <w:pPr>
              <w:jc w:val="center"/>
              <w:rPr>
                <w:rFonts w:ascii="仿宋_GB2312" w:hAnsi="宋体" w:eastAsia="仿宋_GB2312" w:cs="宋体"/>
                <w:sz w:val="24"/>
              </w:rPr>
            </w:pPr>
            <w:r>
              <w:rPr>
                <w:rFonts w:hint="eastAsia" w:ascii="仿宋_GB2312" w:hAnsi="宋体" w:eastAsia="仿宋_GB2312" w:cs="宋体"/>
                <w:sz w:val="24"/>
              </w:rPr>
              <w:t>刚性要求</w:t>
            </w:r>
          </w:p>
        </w:tc>
        <w:tc>
          <w:tcPr>
            <w:tcW w:w="6214" w:type="dxa"/>
            <w:noWrap w:val="0"/>
            <w:vAlign w:val="center"/>
          </w:tcPr>
          <w:p w14:paraId="52D0AFE9">
            <w:pPr>
              <w:rPr>
                <w:rFonts w:ascii="仿宋_GB2312" w:hAnsi="宋体" w:eastAsia="仿宋_GB2312" w:cs="宋体"/>
                <w:sz w:val="24"/>
              </w:rPr>
            </w:pPr>
            <w:r>
              <w:rPr>
                <w:rFonts w:hint="eastAsia" w:ascii="仿宋_GB2312" w:hAnsi="宋体" w:eastAsia="仿宋_GB2312" w:cs="宋体"/>
                <w:sz w:val="24"/>
              </w:rPr>
              <w:t>网柱能承受≥200N的外力，球柱不产生永久变形，无倾倒现象</w:t>
            </w:r>
          </w:p>
        </w:tc>
      </w:tr>
      <w:tr w14:paraId="66A1F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1725" w:type="dxa"/>
            <w:gridSpan w:val="2"/>
            <w:noWrap w:val="0"/>
            <w:vAlign w:val="center"/>
          </w:tcPr>
          <w:p w14:paraId="1EF49B72">
            <w:pPr>
              <w:jc w:val="center"/>
              <w:rPr>
                <w:rFonts w:ascii="仿宋_GB2312" w:hAnsi="宋体" w:eastAsia="仿宋_GB2312" w:cs="宋体"/>
                <w:sz w:val="24"/>
              </w:rPr>
            </w:pPr>
            <w:r>
              <w:rPr>
                <w:rFonts w:hint="eastAsia" w:ascii="仿宋_GB2312" w:hAnsi="宋体" w:eastAsia="仿宋_GB2312" w:cs="宋体"/>
                <w:sz w:val="24"/>
              </w:rPr>
              <w:t>锁绳装置</w:t>
            </w:r>
          </w:p>
        </w:tc>
        <w:tc>
          <w:tcPr>
            <w:tcW w:w="6214" w:type="dxa"/>
            <w:noWrap w:val="0"/>
            <w:vAlign w:val="center"/>
          </w:tcPr>
          <w:p w14:paraId="659A3CAA">
            <w:pPr>
              <w:rPr>
                <w:rFonts w:ascii="仿宋_GB2312" w:hAnsi="宋体" w:eastAsia="仿宋_GB2312" w:cs="宋体"/>
                <w:sz w:val="24"/>
              </w:rPr>
            </w:pPr>
            <w:r>
              <w:rPr>
                <w:rFonts w:hint="eastAsia" w:ascii="仿宋_GB2312" w:hAnsi="宋体" w:eastAsia="仿宋_GB2312" w:cs="宋体"/>
                <w:sz w:val="24"/>
              </w:rPr>
              <w:t>紧线方便，锁定可靠，无卡滞或自动返松现象</w:t>
            </w:r>
          </w:p>
        </w:tc>
      </w:tr>
      <w:tr w14:paraId="021A9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1725" w:type="dxa"/>
            <w:gridSpan w:val="2"/>
            <w:noWrap w:val="0"/>
            <w:vAlign w:val="center"/>
          </w:tcPr>
          <w:p w14:paraId="373C33E5">
            <w:pPr>
              <w:jc w:val="center"/>
              <w:rPr>
                <w:rFonts w:ascii="仿宋_GB2312" w:hAnsi="宋体" w:eastAsia="仿宋_GB2312" w:cs="宋体"/>
                <w:sz w:val="24"/>
              </w:rPr>
            </w:pPr>
            <w:r>
              <w:rPr>
                <w:rFonts w:hint="eastAsia" w:ascii="仿宋_GB2312" w:hAnsi="宋体" w:eastAsia="仿宋_GB2312" w:cs="宋体"/>
                <w:sz w:val="24"/>
              </w:rPr>
              <w:t>高度微调装置</w:t>
            </w:r>
          </w:p>
        </w:tc>
        <w:tc>
          <w:tcPr>
            <w:tcW w:w="6214" w:type="dxa"/>
            <w:noWrap w:val="0"/>
            <w:vAlign w:val="center"/>
          </w:tcPr>
          <w:p w14:paraId="7F103CA3">
            <w:pPr>
              <w:rPr>
                <w:rFonts w:ascii="仿宋_GB2312" w:hAnsi="宋体" w:eastAsia="仿宋_GB2312" w:cs="宋体"/>
                <w:sz w:val="24"/>
              </w:rPr>
            </w:pPr>
            <w:r>
              <w:rPr>
                <w:rFonts w:hint="eastAsia" w:ascii="仿宋_GB2312" w:hAnsi="宋体" w:eastAsia="仿宋_GB2312" w:cs="宋体"/>
                <w:sz w:val="24"/>
              </w:rPr>
              <w:t>顶部螺纹无极微调，实现网的高度要求</w:t>
            </w:r>
          </w:p>
        </w:tc>
      </w:tr>
      <w:tr w14:paraId="15382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466" w:type="dxa"/>
            <w:vMerge w:val="restart"/>
            <w:noWrap w:val="0"/>
            <w:vAlign w:val="center"/>
          </w:tcPr>
          <w:p w14:paraId="22AECD05">
            <w:pPr>
              <w:jc w:val="center"/>
              <w:rPr>
                <w:rFonts w:ascii="仿宋_GB2312" w:hAnsi="宋体" w:eastAsia="仿宋_GB2312" w:cs="宋体"/>
                <w:sz w:val="24"/>
              </w:rPr>
            </w:pPr>
            <w:r>
              <w:rPr>
                <w:rFonts w:hint="eastAsia" w:ascii="仿宋_GB2312" w:hAnsi="宋体" w:eastAsia="仿宋_GB2312" w:cs="宋体"/>
                <w:sz w:val="24"/>
              </w:rPr>
              <w:t>球网</w:t>
            </w:r>
          </w:p>
        </w:tc>
        <w:tc>
          <w:tcPr>
            <w:tcW w:w="1259" w:type="dxa"/>
            <w:vMerge w:val="restart"/>
            <w:noWrap w:val="0"/>
            <w:vAlign w:val="center"/>
          </w:tcPr>
          <w:p w14:paraId="00834F36">
            <w:pPr>
              <w:rPr>
                <w:rFonts w:ascii="仿宋_GB2312" w:hAnsi="宋体" w:eastAsia="仿宋_GB2312" w:cs="宋体"/>
                <w:sz w:val="24"/>
              </w:rPr>
            </w:pPr>
            <w:r>
              <w:rPr>
                <w:rFonts w:hint="eastAsia" w:ascii="仿宋_GB2312" w:hAnsi="宋体" w:eastAsia="仿宋_GB2312" w:cs="宋体"/>
                <w:sz w:val="24"/>
              </w:rPr>
              <w:t>网片规格</w:t>
            </w:r>
          </w:p>
        </w:tc>
        <w:tc>
          <w:tcPr>
            <w:tcW w:w="6214" w:type="dxa"/>
            <w:noWrap w:val="0"/>
            <w:vAlign w:val="center"/>
          </w:tcPr>
          <w:p w14:paraId="7F62D712">
            <w:pPr>
              <w:rPr>
                <w:rFonts w:ascii="仿宋_GB2312" w:hAnsi="宋体" w:eastAsia="仿宋_GB2312" w:cs="宋体"/>
                <w:sz w:val="24"/>
              </w:rPr>
            </w:pPr>
            <w:r>
              <w:rPr>
                <w:rFonts w:hint="eastAsia" w:ascii="仿宋_GB2312" w:hAnsi="宋体" w:eastAsia="仿宋_GB2312" w:cs="宋体"/>
                <w:sz w:val="24"/>
              </w:rPr>
              <w:t>长6100mm，宽760mm，</w:t>
            </w:r>
            <w:r>
              <w:rPr>
                <w:rFonts w:hint="eastAsia" w:ascii="仿宋_GB2312" w:hAnsi="宋体" w:eastAsia="仿宋_GB2312" w:cs="宋体"/>
                <w:iCs/>
                <w:kern w:val="0"/>
                <w:sz w:val="24"/>
              </w:rPr>
              <w:t>网眼为正方形，边长15～20mm</w:t>
            </w:r>
          </w:p>
        </w:tc>
      </w:tr>
      <w:tr w14:paraId="42EAB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466" w:type="dxa"/>
            <w:vMerge w:val="continue"/>
            <w:noWrap w:val="0"/>
            <w:vAlign w:val="center"/>
          </w:tcPr>
          <w:p w14:paraId="64688B82">
            <w:pPr>
              <w:jc w:val="center"/>
              <w:rPr>
                <w:rFonts w:ascii="仿宋_GB2312" w:hAnsi="宋体" w:eastAsia="仿宋_GB2312" w:cs="宋体"/>
                <w:sz w:val="24"/>
              </w:rPr>
            </w:pPr>
          </w:p>
        </w:tc>
        <w:tc>
          <w:tcPr>
            <w:tcW w:w="1259" w:type="dxa"/>
            <w:vMerge w:val="restart"/>
            <w:noWrap w:val="0"/>
            <w:vAlign w:val="center"/>
          </w:tcPr>
          <w:p w14:paraId="7BEE81C8">
            <w:pPr>
              <w:jc w:val="center"/>
              <w:rPr>
                <w:rFonts w:ascii="仿宋_GB2312" w:hAnsi="宋体" w:eastAsia="仿宋_GB2312" w:cs="宋体"/>
                <w:sz w:val="24"/>
              </w:rPr>
            </w:pPr>
            <w:r>
              <w:rPr>
                <w:rFonts w:hint="eastAsia" w:ascii="仿宋_GB2312" w:hAnsi="宋体" w:eastAsia="仿宋_GB2312" w:cs="宋体"/>
                <w:sz w:val="24"/>
              </w:rPr>
              <w:t>主要材料</w:t>
            </w:r>
          </w:p>
        </w:tc>
        <w:tc>
          <w:tcPr>
            <w:tcW w:w="6214" w:type="dxa"/>
            <w:noWrap w:val="0"/>
            <w:vAlign w:val="center"/>
          </w:tcPr>
          <w:p w14:paraId="4684AB21">
            <w:pPr>
              <w:rPr>
                <w:rFonts w:ascii="仿宋_GB2312" w:hAnsi="宋体" w:eastAsia="仿宋_GB2312" w:cs="宋体"/>
                <w:sz w:val="24"/>
              </w:rPr>
            </w:pPr>
            <w:r>
              <w:rPr>
                <w:rFonts w:hint="eastAsia" w:ascii="仿宋_GB2312" w:hAnsi="宋体" w:eastAsia="仿宋_GB2312" w:cs="宋体"/>
                <w:sz w:val="24"/>
              </w:rPr>
              <w:t>网片：18股网片</w:t>
            </w:r>
          </w:p>
        </w:tc>
      </w:tr>
      <w:tr w14:paraId="4FF9D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466" w:type="dxa"/>
            <w:vMerge w:val="continue"/>
            <w:noWrap w:val="0"/>
            <w:vAlign w:val="center"/>
          </w:tcPr>
          <w:p w14:paraId="06B9DABF">
            <w:pPr>
              <w:jc w:val="center"/>
              <w:rPr>
                <w:rFonts w:ascii="仿宋_GB2312" w:hAnsi="宋体" w:eastAsia="仿宋_GB2312" w:cs="宋体"/>
                <w:sz w:val="24"/>
              </w:rPr>
            </w:pPr>
          </w:p>
        </w:tc>
        <w:tc>
          <w:tcPr>
            <w:tcW w:w="1259" w:type="dxa"/>
            <w:vMerge w:val="continue"/>
            <w:noWrap w:val="0"/>
            <w:vAlign w:val="center"/>
          </w:tcPr>
          <w:p w14:paraId="5D92855F">
            <w:pPr>
              <w:jc w:val="center"/>
              <w:rPr>
                <w:rFonts w:ascii="仿宋_GB2312" w:hAnsi="宋体" w:eastAsia="仿宋_GB2312" w:cs="宋体"/>
                <w:sz w:val="24"/>
              </w:rPr>
            </w:pPr>
          </w:p>
        </w:tc>
        <w:tc>
          <w:tcPr>
            <w:tcW w:w="6214" w:type="dxa"/>
            <w:noWrap w:val="0"/>
            <w:vAlign w:val="center"/>
          </w:tcPr>
          <w:p w14:paraId="1A3B9F2E">
            <w:pPr>
              <w:rPr>
                <w:rFonts w:ascii="仿宋_GB2312" w:hAnsi="宋体" w:eastAsia="仿宋_GB2312" w:cs="宋体"/>
                <w:sz w:val="24"/>
              </w:rPr>
            </w:pPr>
            <w:r>
              <w:rPr>
                <w:rFonts w:hint="eastAsia" w:ascii="仿宋_GB2312" w:hAnsi="宋体" w:eastAsia="仿宋_GB2312" w:cs="宋体"/>
                <w:sz w:val="24"/>
              </w:rPr>
              <w:t>包边：</w:t>
            </w:r>
            <w:r>
              <w:rPr>
                <w:rFonts w:hint="eastAsia" w:ascii="仿宋_GB2312" w:hAnsi="宋体" w:eastAsia="仿宋_GB2312" w:cs="宋体"/>
                <w:iCs/>
                <w:kern w:val="0"/>
                <w:sz w:val="24"/>
              </w:rPr>
              <w:t>坛白布，75mm宽对折包边</w:t>
            </w:r>
          </w:p>
        </w:tc>
      </w:tr>
      <w:tr w14:paraId="53F86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466" w:type="dxa"/>
            <w:vMerge w:val="continue"/>
            <w:noWrap w:val="0"/>
            <w:vAlign w:val="center"/>
          </w:tcPr>
          <w:p w14:paraId="368CBF52">
            <w:pPr>
              <w:jc w:val="center"/>
              <w:rPr>
                <w:rFonts w:ascii="仿宋_GB2312" w:hAnsi="宋体" w:eastAsia="仿宋_GB2312" w:cs="宋体"/>
                <w:sz w:val="24"/>
              </w:rPr>
            </w:pPr>
          </w:p>
        </w:tc>
        <w:tc>
          <w:tcPr>
            <w:tcW w:w="1259" w:type="dxa"/>
            <w:vMerge w:val="continue"/>
            <w:noWrap w:val="0"/>
            <w:vAlign w:val="center"/>
          </w:tcPr>
          <w:p w14:paraId="28748DC0">
            <w:pPr>
              <w:jc w:val="center"/>
              <w:rPr>
                <w:rFonts w:ascii="仿宋_GB2312" w:hAnsi="宋体" w:eastAsia="仿宋_GB2312" w:cs="宋体"/>
                <w:sz w:val="24"/>
              </w:rPr>
            </w:pPr>
          </w:p>
        </w:tc>
        <w:tc>
          <w:tcPr>
            <w:tcW w:w="6214" w:type="dxa"/>
            <w:noWrap w:val="0"/>
            <w:vAlign w:val="center"/>
          </w:tcPr>
          <w:p w14:paraId="7EB9A985">
            <w:pPr>
              <w:rPr>
                <w:rFonts w:ascii="仿宋_GB2312" w:hAnsi="宋体" w:eastAsia="仿宋_GB2312" w:cs="宋体"/>
                <w:sz w:val="24"/>
              </w:rPr>
            </w:pPr>
            <w:r>
              <w:rPr>
                <w:rFonts w:hint="eastAsia" w:ascii="仿宋_GB2312" w:hAnsi="宋体" w:eastAsia="仿宋_GB2312" w:cs="宋体"/>
                <w:sz w:val="24"/>
              </w:rPr>
              <w:t>网绳：</w:t>
            </w:r>
            <w:r>
              <w:rPr>
                <w:rFonts w:hint="eastAsia" w:ascii="仿宋_GB2312" w:hAnsi="宋体" w:eastAsia="仿宋_GB2312" w:cs="宋体"/>
                <w:iCs/>
                <w:kern w:val="0"/>
                <w:sz w:val="24"/>
              </w:rPr>
              <w:t>φ5mm硬绳线</w:t>
            </w:r>
          </w:p>
        </w:tc>
      </w:tr>
      <w:tr w14:paraId="378CF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466" w:type="dxa"/>
            <w:vMerge w:val="continue"/>
            <w:noWrap w:val="0"/>
            <w:vAlign w:val="center"/>
          </w:tcPr>
          <w:p w14:paraId="01463D5C">
            <w:pPr>
              <w:jc w:val="center"/>
              <w:rPr>
                <w:rFonts w:ascii="仿宋_GB2312" w:hAnsi="宋体" w:eastAsia="仿宋_GB2312" w:cs="宋体"/>
                <w:sz w:val="24"/>
              </w:rPr>
            </w:pPr>
          </w:p>
        </w:tc>
        <w:tc>
          <w:tcPr>
            <w:tcW w:w="1259" w:type="dxa"/>
            <w:vMerge w:val="continue"/>
            <w:noWrap w:val="0"/>
            <w:vAlign w:val="center"/>
          </w:tcPr>
          <w:p w14:paraId="2D56E0D5">
            <w:pPr>
              <w:jc w:val="center"/>
              <w:rPr>
                <w:rFonts w:ascii="仿宋_GB2312" w:hAnsi="宋体" w:eastAsia="仿宋_GB2312" w:cs="宋体"/>
                <w:sz w:val="24"/>
              </w:rPr>
            </w:pPr>
          </w:p>
        </w:tc>
        <w:tc>
          <w:tcPr>
            <w:tcW w:w="6214" w:type="dxa"/>
            <w:noWrap w:val="0"/>
            <w:vAlign w:val="center"/>
          </w:tcPr>
          <w:p w14:paraId="5647DFB8">
            <w:pPr>
              <w:rPr>
                <w:rFonts w:ascii="仿宋_GB2312" w:hAnsi="宋体" w:eastAsia="仿宋_GB2312" w:cs="宋体"/>
                <w:sz w:val="24"/>
              </w:rPr>
            </w:pPr>
            <w:r>
              <w:rPr>
                <w:rFonts w:hint="eastAsia" w:ascii="仿宋_GB2312" w:hAnsi="宋体" w:eastAsia="仿宋_GB2312" w:cs="宋体"/>
                <w:iCs/>
                <w:kern w:val="0"/>
                <w:sz w:val="24"/>
              </w:rPr>
              <w:t>棱边：采用12股网线拷边</w:t>
            </w:r>
          </w:p>
        </w:tc>
      </w:tr>
      <w:tr w14:paraId="125CE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5" w:hRule="atLeast"/>
          <w:jc w:val="center"/>
        </w:trPr>
        <w:tc>
          <w:tcPr>
            <w:tcW w:w="1725" w:type="dxa"/>
            <w:gridSpan w:val="2"/>
            <w:noWrap w:val="0"/>
            <w:vAlign w:val="center"/>
          </w:tcPr>
          <w:p w14:paraId="3CC31301">
            <w:pPr>
              <w:jc w:val="center"/>
              <w:rPr>
                <w:rFonts w:ascii="仿宋_GB2312" w:hAnsi="宋体" w:eastAsia="仿宋_GB2312" w:cs="宋体"/>
                <w:sz w:val="24"/>
              </w:rPr>
            </w:pPr>
            <w:r>
              <w:rPr>
                <w:rFonts w:hint="eastAsia" w:ascii="仿宋_GB2312" w:hAnsi="宋体" w:eastAsia="仿宋_GB2312" w:cs="宋体"/>
                <w:sz w:val="24"/>
              </w:rPr>
              <w:t>特性</w:t>
            </w:r>
          </w:p>
        </w:tc>
        <w:tc>
          <w:tcPr>
            <w:tcW w:w="6214" w:type="dxa"/>
            <w:noWrap w:val="0"/>
            <w:vAlign w:val="center"/>
          </w:tcPr>
          <w:p w14:paraId="6FC29828">
            <w:pPr>
              <w:rPr>
                <w:rFonts w:ascii="仿宋_GB2312" w:hAnsi="宋体" w:eastAsia="仿宋_GB2312" w:cs="宋体"/>
                <w:sz w:val="24"/>
              </w:rPr>
            </w:pPr>
            <w:r>
              <w:rPr>
                <w:rFonts w:hint="eastAsia" w:ascii="仿宋_GB2312" w:hAnsi="宋体" w:eastAsia="仿宋_GB2312" w:cs="宋体"/>
                <w:spacing w:val="-6"/>
                <w:sz w:val="24"/>
              </w:rPr>
              <w:t>产品具有耐酸碱、耐湿热、抗老化、外观美观等优点，能适合潮湿和酸雨环境，涂料均为绿色环保无毒产品，避免损害使用者的健康。</w:t>
            </w:r>
          </w:p>
        </w:tc>
      </w:tr>
      <w:tr w14:paraId="381F4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1725" w:type="dxa"/>
            <w:gridSpan w:val="2"/>
            <w:noWrap w:val="0"/>
            <w:vAlign w:val="center"/>
          </w:tcPr>
          <w:p w14:paraId="49674A60">
            <w:pPr>
              <w:jc w:val="center"/>
              <w:rPr>
                <w:rFonts w:ascii="仿宋_GB2312" w:hAnsi="宋体" w:eastAsia="仿宋_GB2312" w:cs="宋体"/>
                <w:sz w:val="24"/>
              </w:rPr>
            </w:pPr>
            <w:r>
              <w:rPr>
                <w:rFonts w:hint="eastAsia" w:ascii="仿宋_GB2312" w:hAnsi="宋体" w:eastAsia="仿宋_GB2312" w:cs="宋体"/>
                <w:sz w:val="24"/>
              </w:rPr>
              <w:t>表面质量</w:t>
            </w:r>
          </w:p>
        </w:tc>
        <w:tc>
          <w:tcPr>
            <w:tcW w:w="6214" w:type="dxa"/>
            <w:noWrap w:val="0"/>
            <w:vAlign w:val="center"/>
          </w:tcPr>
          <w:p w14:paraId="32526D6B">
            <w:pPr>
              <w:rPr>
                <w:rFonts w:ascii="仿宋_GB2312" w:hAnsi="宋体" w:eastAsia="仿宋_GB2312" w:cs="宋体"/>
                <w:sz w:val="24"/>
              </w:rPr>
            </w:pPr>
            <w:r>
              <w:rPr>
                <w:rFonts w:hint="eastAsia" w:ascii="仿宋_GB2312" w:hAnsi="宋体" w:eastAsia="仿宋_GB2312" w:cs="宋体"/>
                <w:sz w:val="24"/>
              </w:rPr>
              <w:t>符合GB19272-2011中5.10的相关规定要求</w:t>
            </w:r>
          </w:p>
        </w:tc>
      </w:tr>
    </w:tbl>
    <w:p w14:paraId="0480C0C7">
      <w:pPr>
        <w:spacing w:line="560" w:lineRule="exact"/>
        <w:ind w:firstLine="645"/>
        <w:rPr>
          <w:rFonts w:ascii="仿宋_GB2312" w:hAnsi="仿宋" w:eastAsia="仿宋_GB2312"/>
          <w:szCs w:val="32"/>
        </w:rPr>
      </w:pPr>
      <w:r>
        <w:rPr>
          <w:rFonts w:hint="eastAsia" w:ascii="仿宋_GB2312" w:hAnsi="仿宋" w:eastAsia="仿宋_GB2312"/>
          <w:szCs w:val="32"/>
        </w:rPr>
        <w:t>4.乒乓球台</w:t>
      </w:r>
    </w:p>
    <w:tbl>
      <w:tblPr>
        <w:tblStyle w:val="2"/>
        <w:tblW w:w="78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6"/>
        <w:gridCol w:w="6273"/>
      </w:tblGrid>
      <w:tr w14:paraId="1C60F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26" w:type="dxa"/>
            <w:noWrap w:val="0"/>
            <w:vAlign w:val="center"/>
          </w:tcPr>
          <w:p w14:paraId="4B5513B1">
            <w:pPr>
              <w:jc w:val="center"/>
              <w:outlineLvl w:val="0"/>
              <w:rPr>
                <w:rFonts w:ascii="仿宋_GB2312" w:hAnsi="宋体" w:eastAsia="仿宋_GB2312" w:cs="宋体"/>
                <w:sz w:val="24"/>
              </w:rPr>
            </w:pPr>
            <w:r>
              <w:rPr>
                <w:rFonts w:hint="eastAsia" w:ascii="仿宋_GB2312" w:hAnsi="宋体" w:eastAsia="仿宋_GB2312" w:cs="宋体"/>
                <w:sz w:val="24"/>
              </w:rPr>
              <w:t>项目</w:t>
            </w:r>
          </w:p>
        </w:tc>
        <w:tc>
          <w:tcPr>
            <w:tcW w:w="6273" w:type="dxa"/>
            <w:noWrap w:val="0"/>
            <w:vAlign w:val="center"/>
          </w:tcPr>
          <w:p w14:paraId="1AEBBF12">
            <w:pPr>
              <w:jc w:val="center"/>
              <w:outlineLvl w:val="0"/>
              <w:rPr>
                <w:rFonts w:ascii="仿宋_GB2312" w:hAnsi="宋体" w:eastAsia="仿宋_GB2312" w:cs="宋体"/>
                <w:sz w:val="24"/>
              </w:rPr>
            </w:pPr>
            <w:r>
              <w:rPr>
                <w:rFonts w:hint="eastAsia" w:ascii="仿宋_GB2312" w:hAnsi="宋体" w:eastAsia="仿宋_GB2312" w:cs="宋体"/>
                <w:sz w:val="24"/>
              </w:rPr>
              <w:t>技术参数</w:t>
            </w:r>
          </w:p>
        </w:tc>
      </w:tr>
      <w:tr w14:paraId="1AA27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26" w:type="dxa"/>
            <w:noWrap w:val="0"/>
            <w:vAlign w:val="center"/>
          </w:tcPr>
          <w:p w14:paraId="4DDA598C">
            <w:pPr>
              <w:jc w:val="center"/>
              <w:rPr>
                <w:rFonts w:ascii="仿宋_GB2312" w:hAnsi="宋体" w:eastAsia="仿宋_GB2312" w:cs="宋体"/>
                <w:sz w:val="24"/>
              </w:rPr>
            </w:pPr>
            <w:r>
              <w:rPr>
                <w:rFonts w:hint="eastAsia" w:ascii="仿宋_GB2312" w:hAnsi="宋体" w:eastAsia="仿宋_GB2312" w:cs="宋体"/>
                <w:sz w:val="24"/>
              </w:rPr>
              <w:t>产品结构</w:t>
            </w:r>
          </w:p>
        </w:tc>
        <w:tc>
          <w:tcPr>
            <w:tcW w:w="6273" w:type="dxa"/>
            <w:noWrap w:val="0"/>
            <w:vAlign w:val="center"/>
          </w:tcPr>
          <w:p w14:paraId="72559BCA">
            <w:pPr>
              <w:rPr>
                <w:rFonts w:ascii="仿宋_GB2312" w:hAnsi="宋体" w:eastAsia="仿宋_GB2312" w:cs="宋体"/>
                <w:sz w:val="24"/>
              </w:rPr>
            </w:pPr>
            <w:r>
              <w:rPr>
                <w:rFonts w:hint="eastAsia" w:ascii="仿宋_GB2312" w:hAnsi="宋体" w:eastAsia="仿宋_GB2312" w:cs="宋体"/>
                <w:sz w:val="24"/>
              </w:rPr>
              <w:t>主要由台面、台脚和网架组成</w:t>
            </w:r>
          </w:p>
        </w:tc>
      </w:tr>
      <w:tr w14:paraId="6CAA2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26" w:type="dxa"/>
            <w:noWrap w:val="0"/>
            <w:vAlign w:val="center"/>
          </w:tcPr>
          <w:p w14:paraId="126D4348">
            <w:pPr>
              <w:jc w:val="center"/>
              <w:rPr>
                <w:rFonts w:ascii="仿宋_GB2312" w:hAnsi="宋体" w:eastAsia="仿宋_GB2312" w:cs="宋体"/>
                <w:sz w:val="24"/>
              </w:rPr>
            </w:pPr>
            <w:r>
              <w:rPr>
                <w:rFonts w:hint="eastAsia" w:ascii="仿宋_GB2312" w:hAnsi="宋体" w:eastAsia="仿宋_GB2312" w:cs="宋体"/>
                <w:sz w:val="24"/>
              </w:rPr>
              <w:t>基本尺寸</w:t>
            </w:r>
          </w:p>
        </w:tc>
        <w:tc>
          <w:tcPr>
            <w:tcW w:w="6273" w:type="dxa"/>
            <w:noWrap w:val="0"/>
            <w:vAlign w:val="center"/>
          </w:tcPr>
          <w:p w14:paraId="5B119921">
            <w:pPr>
              <w:rPr>
                <w:rFonts w:ascii="仿宋_GB2312" w:hAnsi="宋体" w:eastAsia="仿宋_GB2312" w:cs="宋体"/>
                <w:sz w:val="24"/>
              </w:rPr>
            </w:pPr>
            <w:r>
              <w:rPr>
                <w:rFonts w:hint="eastAsia" w:ascii="仿宋_GB2312" w:hAnsi="宋体" w:eastAsia="仿宋_GB2312" w:cs="宋体"/>
                <w:sz w:val="24"/>
              </w:rPr>
              <w:t>长×宽×高=2740×1525×760(mm)</w:t>
            </w:r>
          </w:p>
        </w:tc>
      </w:tr>
      <w:tr w14:paraId="67C23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26" w:type="dxa"/>
            <w:vMerge w:val="restart"/>
            <w:noWrap w:val="0"/>
            <w:vAlign w:val="center"/>
          </w:tcPr>
          <w:p w14:paraId="4A9B018C">
            <w:pPr>
              <w:jc w:val="center"/>
              <w:rPr>
                <w:rFonts w:ascii="仿宋_GB2312" w:hAnsi="宋体" w:eastAsia="仿宋_GB2312" w:cs="宋体"/>
                <w:sz w:val="24"/>
              </w:rPr>
            </w:pPr>
            <w:r>
              <w:rPr>
                <w:rFonts w:hint="eastAsia" w:ascii="仿宋_GB2312" w:hAnsi="宋体" w:eastAsia="仿宋_GB2312" w:cs="宋体"/>
                <w:sz w:val="24"/>
              </w:rPr>
              <w:t>台  面</w:t>
            </w:r>
          </w:p>
        </w:tc>
        <w:tc>
          <w:tcPr>
            <w:tcW w:w="6273" w:type="dxa"/>
            <w:noWrap w:val="0"/>
            <w:vAlign w:val="center"/>
          </w:tcPr>
          <w:p w14:paraId="7F857D92">
            <w:pPr>
              <w:rPr>
                <w:rFonts w:ascii="仿宋_GB2312" w:hAnsi="宋体" w:eastAsia="仿宋_GB2312" w:cs="宋体"/>
                <w:sz w:val="24"/>
              </w:rPr>
            </w:pPr>
            <w:r>
              <w:rPr>
                <w:rFonts w:hint="eastAsia" w:ascii="仿宋_GB2312" w:hAnsi="宋体" w:eastAsia="仿宋_GB2312" w:cs="宋体"/>
                <w:sz w:val="24"/>
              </w:rPr>
              <w:t>厚50mm，由两个半张台面组成</w:t>
            </w:r>
          </w:p>
        </w:tc>
      </w:tr>
      <w:tr w14:paraId="24C3A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26" w:type="dxa"/>
            <w:vMerge w:val="continue"/>
            <w:noWrap w:val="0"/>
            <w:vAlign w:val="center"/>
          </w:tcPr>
          <w:p w14:paraId="492671A5">
            <w:pPr>
              <w:jc w:val="center"/>
              <w:rPr>
                <w:rFonts w:ascii="仿宋_GB2312" w:hAnsi="宋体" w:eastAsia="仿宋_GB2312" w:cs="宋体"/>
                <w:sz w:val="24"/>
              </w:rPr>
            </w:pPr>
          </w:p>
        </w:tc>
        <w:tc>
          <w:tcPr>
            <w:tcW w:w="6273" w:type="dxa"/>
            <w:noWrap w:val="0"/>
            <w:vAlign w:val="center"/>
          </w:tcPr>
          <w:p w14:paraId="3ED9A025">
            <w:pPr>
              <w:rPr>
                <w:rFonts w:ascii="仿宋_GB2312" w:hAnsi="宋体" w:eastAsia="仿宋_GB2312" w:cs="宋体"/>
                <w:sz w:val="24"/>
              </w:rPr>
            </w:pPr>
            <w:r>
              <w:rPr>
                <w:rFonts w:hint="eastAsia" w:ascii="仿宋_GB2312" w:hAnsi="宋体" w:eastAsia="仿宋_GB2312" w:cs="宋体"/>
                <w:sz w:val="24"/>
              </w:rPr>
              <w:t>采用高分子片状模塑料（SMC）经模压成型</w:t>
            </w:r>
          </w:p>
        </w:tc>
      </w:tr>
      <w:tr w14:paraId="749DD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jc w:val="center"/>
        </w:trPr>
        <w:tc>
          <w:tcPr>
            <w:tcW w:w="1626" w:type="dxa"/>
            <w:vMerge w:val="continue"/>
            <w:noWrap w:val="0"/>
            <w:vAlign w:val="center"/>
          </w:tcPr>
          <w:p w14:paraId="412548B3">
            <w:pPr>
              <w:jc w:val="center"/>
              <w:rPr>
                <w:rFonts w:ascii="仿宋_GB2312" w:hAnsi="宋体" w:eastAsia="仿宋_GB2312" w:cs="宋体"/>
                <w:sz w:val="24"/>
              </w:rPr>
            </w:pPr>
          </w:p>
        </w:tc>
        <w:tc>
          <w:tcPr>
            <w:tcW w:w="6273" w:type="dxa"/>
            <w:noWrap w:val="0"/>
            <w:vAlign w:val="center"/>
          </w:tcPr>
          <w:p w14:paraId="3CC1BB4E">
            <w:pPr>
              <w:rPr>
                <w:rFonts w:ascii="仿宋_GB2312" w:hAnsi="宋体" w:eastAsia="仿宋_GB2312" w:cs="宋体"/>
                <w:sz w:val="24"/>
              </w:rPr>
            </w:pPr>
            <w:r>
              <w:rPr>
                <w:rFonts w:hint="eastAsia" w:ascii="仿宋_GB2312" w:hAnsi="宋体" w:eastAsia="仿宋_GB2312" w:cs="宋体"/>
                <w:sz w:val="24"/>
              </w:rPr>
              <w:t>台面边沿四周画有白线，宽度20mm，台面中间画有细白线，宽3mm</w:t>
            </w:r>
          </w:p>
        </w:tc>
      </w:tr>
      <w:tr w14:paraId="54A9B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26" w:type="dxa"/>
            <w:vMerge w:val="continue"/>
            <w:noWrap w:val="0"/>
            <w:vAlign w:val="center"/>
          </w:tcPr>
          <w:p w14:paraId="4CE6CB7A">
            <w:pPr>
              <w:jc w:val="center"/>
              <w:rPr>
                <w:rFonts w:ascii="仿宋_GB2312" w:hAnsi="宋体" w:eastAsia="仿宋_GB2312" w:cs="宋体"/>
                <w:sz w:val="24"/>
              </w:rPr>
            </w:pPr>
          </w:p>
        </w:tc>
        <w:tc>
          <w:tcPr>
            <w:tcW w:w="6273" w:type="dxa"/>
            <w:noWrap w:val="0"/>
            <w:vAlign w:val="center"/>
          </w:tcPr>
          <w:p w14:paraId="4BF58C2E">
            <w:pPr>
              <w:rPr>
                <w:rFonts w:ascii="仿宋_GB2312" w:hAnsi="宋体" w:eastAsia="仿宋_GB2312" w:cs="宋体"/>
                <w:sz w:val="24"/>
              </w:rPr>
            </w:pPr>
            <w:r>
              <w:rPr>
                <w:rFonts w:hint="eastAsia" w:ascii="仿宋_GB2312" w:hAnsi="宋体" w:eastAsia="仿宋_GB2312" w:cs="宋体"/>
                <w:sz w:val="24"/>
              </w:rPr>
              <w:t>半张台面两对角线之差≤2mm</w:t>
            </w:r>
          </w:p>
        </w:tc>
      </w:tr>
      <w:tr w14:paraId="792E6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26" w:type="dxa"/>
            <w:vMerge w:val="continue"/>
            <w:noWrap w:val="0"/>
            <w:vAlign w:val="center"/>
          </w:tcPr>
          <w:p w14:paraId="45501EB5">
            <w:pPr>
              <w:jc w:val="center"/>
              <w:rPr>
                <w:rFonts w:ascii="仿宋_GB2312" w:hAnsi="宋体" w:eastAsia="仿宋_GB2312" w:cs="宋体"/>
                <w:sz w:val="24"/>
              </w:rPr>
            </w:pPr>
          </w:p>
        </w:tc>
        <w:tc>
          <w:tcPr>
            <w:tcW w:w="6273" w:type="dxa"/>
            <w:noWrap w:val="0"/>
            <w:vAlign w:val="center"/>
          </w:tcPr>
          <w:p w14:paraId="2BECECC0">
            <w:pPr>
              <w:rPr>
                <w:rFonts w:ascii="仿宋_GB2312" w:hAnsi="宋体" w:eastAsia="仿宋_GB2312" w:cs="宋体"/>
                <w:sz w:val="24"/>
              </w:rPr>
            </w:pPr>
            <w:r>
              <w:rPr>
                <w:rFonts w:hint="eastAsia" w:ascii="仿宋_GB2312" w:hAnsi="宋体" w:eastAsia="仿宋_GB2312" w:cs="宋体"/>
                <w:sz w:val="24"/>
              </w:rPr>
              <w:t>半张台面平面度≤2mm</w:t>
            </w:r>
          </w:p>
        </w:tc>
      </w:tr>
      <w:tr w14:paraId="45920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1626" w:type="dxa"/>
            <w:vMerge w:val="continue"/>
            <w:noWrap w:val="0"/>
            <w:vAlign w:val="center"/>
          </w:tcPr>
          <w:p w14:paraId="5D92C658">
            <w:pPr>
              <w:jc w:val="center"/>
              <w:rPr>
                <w:rFonts w:ascii="仿宋_GB2312" w:hAnsi="宋体" w:eastAsia="仿宋_GB2312" w:cs="宋体"/>
                <w:sz w:val="24"/>
              </w:rPr>
            </w:pPr>
          </w:p>
        </w:tc>
        <w:tc>
          <w:tcPr>
            <w:tcW w:w="6273" w:type="dxa"/>
            <w:noWrap w:val="0"/>
            <w:vAlign w:val="center"/>
          </w:tcPr>
          <w:p w14:paraId="00B5CCC8">
            <w:pPr>
              <w:rPr>
                <w:rFonts w:ascii="仿宋_GB2312" w:hAnsi="宋体" w:eastAsia="仿宋_GB2312" w:cs="宋体"/>
                <w:sz w:val="24"/>
              </w:rPr>
            </w:pPr>
            <w:r>
              <w:rPr>
                <w:rFonts w:hint="eastAsia" w:ascii="仿宋_GB2312" w:hAnsi="宋体" w:eastAsia="仿宋_GB2312" w:cs="宋体"/>
                <w:sz w:val="24"/>
              </w:rPr>
              <w:t>具有材料稳定性优良、耐候性强、防腐、防晒、防雨、阻燃，环保不易变形，零收缩，耐老化等优点</w:t>
            </w:r>
          </w:p>
        </w:tc>
      </w:tr>
      <w:tr w14:paraId="6151F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26" w:type="dxa"/>
            <w:noWrap w:val="0"/>
            <w:vAlign w:val="center"/>
          </w:tcPr>
          <w:p w14:paraId="22323DBB">
            <w:pPr>
              <w:jc w:val="center"/>
              <w:rPr>
                <w:rFonts w:ascii="仿宋_GB2312" w:hAnsi="宋体" w:eastAsia="仿宋_GB2312" w:cs="宋体"/>
                <w:sz w:val="24"/>
              </w:rPr>
            </w:pPr>
            <w:r>
              <w:rPr>
                <w:rFonts w:hint="eastAsia" w:ascii="仿宋_GB2312" w:hAnsi="宋体" w:eastAsia="仿宋_GB2312" w:cs="宋体"/>
                <w:sz w:val="24"/>
              </w:rPr>
              <w:t>台  脚</w:t>
            </w:r>
          </w:p>
        </w:tc>
        <w:tc>
          <w:tcPr>
            <w:tcW w:w="6273" w:type="dxa"/>
            <w:noWrap w:val="0"/>
            <w:vAlign w:val="center"/>
          </w:tcPr>
          <w:p w14:paraId="4F79FCC1">
            <w:pPr>
              <w:rPr>
                <w:rFonts w:ascii="仿宋_GB2312" w:hAnsi="宋体" w:eastAsia="仿宋_GB2312" w:cs="宋体"/>
                <w:sz w:val="24"/>
              </w:rPr>
            </w:pPr>
            <w:r>
              <w:rPr>
                <w:rFonts w:hint="eastAsia" w:ascii="仿宋_GB2312" w:hAnsi="宋体" w:eastAsia="仿宋_GB2312" w:cs="宋体"/>
                <w:sz w:val="24"/>
              </w:rPr>
              <w:t>呈弧形，造型美观，更能有效稳定支撑台面</w:t>
            </w:r>
          </w:p>
        </w:tc>
      </w:tr>
      <w:tr w14:paraId="5E838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26" w:type="dxa"/>
            <w:noWrap w:val="0"/>
            <w:vAlign w:val="center"/>
          </w:tcPr>
          <w:p w14:paraId="4E3D2537">
            <w:pPr>
              <w:jc w:val="center"/>
              <w:rPr>
                <w:rFonts w:ascii="仿宋_GB2312" w:hAnsi="宋体" w:eastAsia="仿宋_GB2312" w:cs="宋体"/>
                <w:sz w:val="24"/>
              </w:rPr>
            </w:pPr>
            <w:r>
              <w:rPr>
                <w:rFonts w:hint="eastAsia" w:ascii="仿宋_GB2312" w:hAnsi="宋体" w:eastAsia="仿宋_GB2312" w:cs="宋体"/>
                <w:sz w:val="24"/>
              </w:rPr>
              <w:t xml:space="preserve">网 </w:t>
            </w:r>
            <w:r>
              <w:rPr>
                <w:rFonts w:ascii="仿宋_GB2312" w:hAnsi="宋体" w:eastAsia="仿宋_GB2312" w:cs="宋体"/>
                <w:sz w:val="24"/>
              </w:rPr>
              <w:t xml:space="preserve"> </w:t>
            </w:r>
            <w:r>
              <w:rPr>
                <w:rFonts w:hint="eastAsia" w:ascii="仿宋_GB2312" w:hAnsi="宋体" w:eastAsia="仿宋_GB2312" w:cs="宋体"/>
                <w:sz w:val="24"/>
              </w:rPr>
              <w:t>架</w:t>
            </w:r>
          </w:p>
        </w:tc>
        <w:tc>
          <w:tcPr>
            <w:tcW w:w="6273" w:type="dxa"/>
            <w:noWrap w:val="0"/>
            <w:vAlign w:val="center"/>
          </w:tcPr>
          <w:p w14:paraId="366607CB">
            <w:pPr>
              <w:rPr>
                <w:rFonts w:ascii="仿宋_GB2312" w:hAnsi="宋体" w:eastAsia="仿宋_GB2312" w:cs="宋体"/>
                <w:sz w:val="24"/>
              </w:rPr>
            </w:pPr>
            <w:r>
              <w:rPr>
                <w:rFonts w:hint="eastAsia" w:ascii="仿宋_GB2312" w:hAnsi="宋体" w:eastAsia="仿宋_GB2312" w:cs="宋体"/>
                <w:sz w:val="24"/>
              </w:rPr>
              <w:t>网架铁板加工有小圆孔，既增强了整体的强度，又使产品造型美观</w:t>
            </w:r>
          </w:p>
        </w:tc>
      </w:tr>
      <w:tr w14:paraId="3B451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26" w:type="dxa"/>
            <w:vMerge w:val="restart"/>
            <w:noWrap w:val="0"/>
            <w:vAlign w:val="center"/>
          </w:tcPr>
          <w:p w14:paraId="3BFADA9A">
            <w:pPr>
              <w:jc w:val="center"/>
              <w:rPr>
                <w:rFonts w:ascii="仿宋_GB2312" w:hAnsi="宋体" w:eastAsia="仿宋_GB2312" w:cs="宋体"/>
                <w:sz w:val="24"/>
              </w:rPr>
            </w:pPr>
            <w:r>
              <w:rPr>
                <w:rFonts w:hint="eastAsia" w:ascii="仿宋_GB2312" w:hAnsi="宋体" w:eastAsia="仿宋_GB2312" w:cs="宋体"/>
                <w:sz w:val="24"/>
              </w:rPr>
              <w:t>产品说明</w:t>
            </w:r>
          </w:p>
        </w:tc>
        <w:tc>
          <w:tcPr>
            <w:tcW w:w="6273" w:type="dxa"/>
            <w:noWrap w:val="0"/>
            <w:vAlign w:val="center"/>
          </w:tcPr>
          <w:p w14:paraId="0E2A0D4C">
            <w:pPr>
              <w:rPr>
                <w:rFonts w:ascii="仿宋_GB2312" w:hAnsi="宋体" w:eastAsia="仿宋_GB2312" w:cs="宋体"/>
                <w:sz w:val="24"/>
              </w:rPr>
            </w:pPr>
            <w:r>
              <w:rPr>
                <w:rFonts w:hint="eastAsia" w:ascii="仿宋_GB2312" w:hAnsi="宋体" w:eastAsia="仿宋_GB2312" w:cs="宋体"/>
                <w:sz w:val="24"/>
              </w:rPr>
              <w:t>球台台面与台脚等部件能方便地进行拆卸分开包装，便于运输</w:t>
            </w:r>
          </w:p>
        </w:tc>
      </w:tr>
      <w:tr w14:paraId="6DA6B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jc w:val="center"/>
        </w:trPr>
        <w:tc>
          <w:tcPr>
            <w:tcW w:w="1626" w:type="dxa"/>
            <w:vMerge w:val="continue"/>
            <w:noWrap w:val="0"/>
            <w:vAlign w:val="center"/>
          </w:tcPr>
          <w:p w14:paraId="00937B47">
            <w:pPr>
              <w:jc w:val="center"/>
              <w:rPr>
                <w:rFonts w:ascii="仿宋_GB2312" w:hAnsi="宋体" w:eastAsia="仿宋_GB2312" w:cs="宋体"/>
                <w:sz w:val="24"/>
              </w:rPr>
            </w:pPr>
          </w:p>
        </w:tc>
        <w:tc>
          <w:tcPr>
            <w:tcW w:w="6273" w:type="dxa"/>
            <w:noWrap w:val="0"/>
            <w:vAlign w:val="center"/>
          </w:tcPr>
          <w:p w14:paraId="5CE75B7F">
            <w:pPr>
              <w:rPr>
                <w:rFonts w:ascii="仿宋_GB2312" w:hAnsi="宋体" w:eastAsia="仿宋_GB2312" w:cs="宋体"/>
                <w:sz w:val="24"/>
              </w:rPr>
            </w:pPr>
            <w:r>
              <w:rPr>
                <w:rFonts w:hint="eastAsia" w:ascii="仿宋_GB2312" w:hAnsi="宋体" w:eastAsia="仿宋_GB2312" w:cs="宋体"/>
                <w:sz w:val="24"/>
              </w:rPr>
              <w:t>符合GB19272-2011《室外健身器材的安全通用要求》</w:t>
            </w:r>
          </w:p>
        </w:tc>
      </w:tr>
      <w:tr w14:paraId="3C314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1626" w:type="dxa"/>
            <w:noWrap w:val="0"/>
            <w:vAlign w:val="center"/>
          </w:tcPr>
          <w:p w14:paraId="2797BDFD">
            <w:pPr>
              <w:jc w:val="center"/>
              <w:rPr>
                <w:rFonts w:ascii="仿宋_GB2312" w:hAnsi="宋体" w:eastAsia="仿宋_GB2312" w:cs="宋体"/>
                <w:sz w:val="24"/>
              </w:rPr>
            </w:pPr>
            <w:r>
              <w:rPr>
                <w:rFonts w:hint="eastAsia" w:ascii="仿宋_GB2312" w:hAnsi="宋体" w:eastAsia="仿宋_GB2312" w:cs="宋体"/>
                <w:sz w:val="24"/>
              </w:rPr>
              <w:t>特性</w:t>
            </w:r>
          </w:p>
        </w:tc>
        <w:tc>
          <w:tcPr>
            <w:tcW w:w="6273" w:type="dxa"/>
            <w:noWrap w:val="0"/>
            <w:vAlign w:val="center"/>
          </w:tcPr>
          <w:p w14:paraId="67DB68DF">
            <w:pPr>
              <w:rPr>
                <w:rFonts w:ascii="仿宋_GB2312" w:hAnsi="宋体" w:eastAsia="仿宋_GB2312" w:cs="宋体"/>
                <w:sz w:val="24"/>
              </w:rPr>
            </w:pPr>
            <w:r>
              <w:rPr>
                <w:rFonts w:hint="eastAsia" w:ascii="仿宋_GB2312" w:hAnsi="宋体" w:eastAsia="仿宋_GB2312" w:cs="宋体"/>
                <w:spacing w:val="-6"/>
                <w:sz w:val="24"/>
              </w:rPr>
              <w:t>产品具有耐酸碱、耐湿热、抗老化、外观美观等优点，能适合潮湿和酸雨环境，涂料均为绿色环保无毒产品，避免损害使用者的健康。</w:t>
            </w:r>
          </w:p>
        </w:tc>
      </w:tr>
      <w:tr w14:paraId="3C4F3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26" w:type="dxa"/>
            <w:noWrap w:val="0"/>
            <w:vAlign w:val="center"/>
          </w:tcPr>
          <w:p w14:paraId="2BF147F9">
            <w:pPr>
              <w:jc w:val="center"/>
              <w:rPr>
                <w:rFonts w:ascii="仿宋_GB2312" w:hAnsi="宋体" w:eastAsia="仿宋_GB2312" w:cs="宋体"/>
                <w:sz w:val="24"/>
              </w:rPr>
            </w:pPr>
            <w:r>
              <w:rPr>
                <w:rFonts w:hint="eastAsia" w:ascii="仿宋_GB2312" w:hAnsi="宋体" w:eastAsia="仿宋_GB2312" w:cs="宋体"/>
                <w:sz w:val="24"/>
              </w:rPr>
              <w:t>表面质量</w:t>
            </w:r>
          </w:p>
        </w:tc>
        <w:tc>
          <w:tcPr>
            <w:tcW w:w="6273" w:type="dxa"/>
            <w:noWrap w:val="0"/>
            <w:vAlign w:val="center"/>
          </w:tcPr>
          <w:p w14:paraId="3E133DB2">
            <w:pPr>
              <w:rPr>
                <w:rFonts w:ascii="仿宋_GB2312" w:hAnsi="宋体" w:eastAsia="仿宋_GB2312" w:cs="宋体"/>
                <w:sz w:val="24"/>
              </w:rPr>
            </w:pPr>
            <w:r>
              <w:rPr>
                <w:rFonts w:hint="eastAsia" w:ascii="仿宋_GB2312" w:hAnsi="宋体" w:eastAsia="仿宋_GB2312" w:cs="宋体"/>
                <w:sz w:val="24"/>
              </w:rPr>
              <w:t>符合GB19272-2011中5.10的相关规定要求</w:t>
            </w:r>
          </w:p>
        </w:tc>
      </w:tr>
      <w:tr w14:paraId="78AA4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jc w:val="center"/>
        </w:trPr>
        <w:tc>
          <w:tcPr>
            <w:tcW w:w="1626" w:type="dxa"/>
            <w:noWrap w:val="0"/>
            <w:vAlign w:val="center"/>
          </w:tcPr>
          <w:p w14:paraId="763EA9A0">
            <w:pPr>
              <w:jc w:val="center"/>
              <w:rPr>
                <w:rFonts w:ascii="仿宋_GB2312" w:hAnsi="宋体" w:eastAsia="仿宋_GB2312" w:cs="宋体"/>
                <w:sz w:val="24"/>
              </w:rPr>
            </w:pPr>
            <w:r>
              <w:rPr>
                <w:rFonts w:hint="eastAsia" w:ascii="宋体" w:hAnsi="宋体" w:eastAsia="仿宋_GB2312" w:cs="宋体"/>
                <w:sz w:val="24"/>
                <w:lang w:eastAsia="zh-CN"/>
              </w:rPr>
              <w:t>▲</w:t>
            </w:r>
            <w:r>
              <w:rPr>
                <w:rFonts w:hint="eastAsia" w:ascii="仿宋_GB2312" w:hAnsi="宋体" w:eastAsia="仿宋_GB2312" w:cs="宋体"/>
                <w:sz w:val="24"/>
              </w:rPr>
              <w:t>环保要求</w:t>
            </w:r>
          </w:p>
        </w:tc>
        <w:tc>
          <w:tcPr>
            <w:tcW w:w="6273" w:type="dxa"/>
            <w:noWrap w:val="0"/>
            <w:vAlign w:val="center"/>
          </w:tcPr>
          <w:p w14:paraId="3E1CF94A">
            <w:pPr>
              <w:rPr>
                <w:rFonts w:ascii="仿宋_GB2312" w:hAnsi="宋体" w:eastAsia="仿宋_GB2312" w:cs="宋体"/>
                <w:sz w:val="24"/>
              </w:rPr>
            </w:pPr>
            <w:r>
              <w:rPr>
                <w:rFonts w:hint="eastAsia" w:ascii="仿宋_GB2312" w:hAnsi="宋体" w:eastAsia="仿宋_GB2312" w:cs="宋体"/>
                <w:sz w:val="24"/>
              </w:rPr>
              <w:t>符合GB19272-2011中5.9.2的相关规定要求</w:t>
            </w:r>
          </w:p>
        </w:tc>
      </w:tr>
    </w:tbl>
    <w:p w14:paraId="24FCD231">
      <w:pPr>
        <w:spacing w:line="560" w:lineRule="exact"/>
        <w:ind w:firstLine="420" w:firstLineChars="200"/>
        <w:rPr>
          <w:rFonts w:ascii="仿宋_GB2312" w:hAnsi="仿宋" w:eastAsia="仿宋_GB2312"/>
          <w:szCs w:val="32"/>
        </w:rPr>
      </w:pPr>
      <w:r>
        <w:rPr>
          <w:rFonts w:hint="eastAsia" w:ascii="仿宋_GB2312" w:hAnsi="仿宋" w:eastAsia="仿宋_GB2312"/>
          <w:szCs w:val="32"/>
        </w:rPr>
        <w:t>5.体育器械应采用优质、耐用的室外型中高档产品。</w:t>
      </w:r>
    </w:p>
    <w:p w14:paraId="212FC004">
      <w:pPr>
        <w:spacing w:line="560" w:lineRule="exact"/>
        <w:ind w:firstLine="645"/>
        <w:rPr>
          <w:rFonts w:ascii="仿宋_GB2312" w:hAnsi="仿宋" w:eastAsia="仿宋_GB2312"/>
          <w:b/>
          <w:bCs/>
          <w:szCs w:val="32"/>
        </w:rPr>
      </w:pPr>
      <w:r>
        <w:rPr>
          <w:rFonts w:hint="eastAsia" w:ascii="仿宋_GB2312" w:hAnsi="仿宋" w:eastAsia="仿宋_GB2312"/>
          <w:b/>
          <w:bCs/>
          <w:szCs w:val="32"/>
        </w:rPr>
        <w:t>四、检测及验收：</w:t>
      </w:r>
    </w:p>
    <w:p w14:paraId="70B1D31D">
      <w:pPr>
        <w:spacing w:line="560" w:lineRule="exact"/>
        <w:ind w:firstLine="645"/>
        <w:rPr>
          <w:rFonts w:ascii="仿宋_GB2312" w:hAnsi="仿宋" w:eastAsia="仿宋_GB2312"/>
          <w:szCs w:val="32"/>
        </w:rPr>
      </w:pPr>
      <w:r>
        <w:rPr>
          <w:rFonts w:hint="eastAsia" w:ascii="仿宋_GB2312" w:hAnsi="仿宋" w:eastAsia="仿宋_GB2312"/>
          <w:szCs w:val="32"/>
        </w:rPr>
        <w:t>1.田径场、人造草坪、篮球场等所有所用材料进场时，必须进行验收。施工单位应提供原材料品质和原材料的合格证明、说明书和一年内的检验报告等质量证明文件。报告应包含规范中要求的参数，未包含的项目，进场时必须进行检测。体育器械须经招标人选样、选色确定后方可采购和进场。</w:t>
      </w:r>
    </w:p>
    <w:p w14:paraId="2C13923F">
      <w:pPr>
        <w:spacing w:line="560" w:lineRule="exact"/>
        <w:ind w:firstLine="645"/>
        <w:rPr>
          <w:rFonts w:ascii="仿宋_GB2312" w:hAnsi="仿宋" w:eastAsia="仿宋_GB2312"/>
          <w:szCs w:val="32"/>
        </w:rPr>
      </w:pPr>
      <w:r>
        <w:rPr>
          <w:rFonts w:hint="eastAsia" w:ascii="仿宋_GB2312" w:hAnsi="仿宋" w:eastAsia="仿宋_GB2312"/>
          <w:szCs w:val="32"/>
        </w:rPr>
        <w:t>2.田径场、人造草坪、篮球场面层应在施工完毕14天后，进行物理性能、有害物质限量检测以及空气质量等级评定，场地检测结果均符合“体育用人造草坪 GBT20394-2019、中小学合成面层国家标准 GB3624</w:t>
      </w:r>
      <w:bookmarkStart w:id="2" w:name="_GoBack"/>
      <w:bookmarkEnd w:id="2"/>
      <w:r>
        <w:rPr>
          <w:rFonts w:hint="eastAsia" w:ascii="仿宋_GB2312" w:hAnsi="仿宋" w:eastAsia="仿宋_GB2312"/>
          <w:szCs w:val="32"/>
        </w:rPr>
        <w:t>6-2018、合成材料运动场地面层 GB/T14833-2020”的执行标准，合格后投入使用。检测费用由施工单位承担。</w:t>
      </w:r>
    </w:p>
    <w:p w14:paraId="78C2DCA5">
      <w:pPr>
        <w:spacing w:line="560" w:lineRule="exact"/>
        <w:ind w:firstLine="420" w:firstLineChars="200"/>
        <w:rPr>
          <w:rFonts w:ascii="仿宋_GB2312" w:hAnsi="仿宋" w:eastAsia="仿宋_GB2312"/>
          <w:szCs w:val="32"/>
        </w:rPr>
      </w:pPr>
      <w:r>
        <w:rPr>
          <w:rFonts w:hint="eastAsia" w:ascii="仿宋_GB2312" w:hAnsi="仿宋" w:eastAsia="仿宋_GB2312"/>
          <w:szCs w:val="32"/>
        </w:rPr>
        <w:t>3.竣工后，建设单位组织有关单位及验收专家对场地进行验收。场地验收费用由施工单位承担。</w:t>
      </w:r>
    </w:p>
    <w:p w14:paraId="56D5D16E">
      <w:pPr>
        <w:spacing w:line="560" w:lineRule="exact"/>
        <w:ind w:firstLine="422" w:firstLineChars="200"/>
        <w:rPr>
          <w:rFonts w:ascii="仿宋_GB2312" w:hAnsi="仿宋" w:eastAsia="仿宋_GB2312"/>
          <w:b/>
          <w:bCs/>
          <w:szCs w:val="32"/>
        </w:rPr>
      </w:pPr>
      <w:r>
        <w:rPr>
          <w:rFonts w:hint="eastAsia" w:ascii="仿宋_GB2312" w:hAnsi="仿宋" w:eastAsia="仿宋_GB2312"/>
          <w:b/>
          <w:bCs/>
          <w:szCs w:val="32"/>
        </w:rPr>
        <w:t>五、其他</w:t>
      </w:r>
    </w:p>
    <w:p w14:paraId="7A34E9F6">
      <w:pPr>
        <w:spacing w:line="560" w:lineRule="exact"/>
        <w:ind w:firstLine="645"/>
        <w:rPr>
          <w:rFonts w:hint="default" w:ascii="仿宋_GB2312" w:hAnsi="仿宋" w:eastAsia="仿宋_GB2312"/>
          <w:szCs w:val="32"/>
          <w:lang w:val="en-US" w:eastAsia="zh-CN"/>
        </w:rPr>
      </w:pPr>
      <w:r>
        <w:rPr>
          <w:rFonts w:hint="eastAsia" w:ascii="仿宋_GB2312" w:hAnsi="仿宋" w:eastAsia="仿宋_GB2312"/>
          <w:szCs w:val="32"/>
        </w:rPr>
        <w:t>1.投标单位递交投标文件时，需提供预制型橡胶跑道和人造草坪（单块样品尺寸在300mmx300mm至500mmx500mm范围内）、塑胶弹性层、硅PU样板样品。样品上粘贴有投标人名称和品牌的标识，样品不需要封装。体育器械提供照片，照片上粘贴有投标人名称和品牌的标识。</w:t>
      </w:r>
      <w:r>
        <w:rPr>
          <w:rFonts w:hint="eastAsia" w:ascii="仿宋_GB2312" w:hAnsi="仿宋" w:eastAsia="仿宋_GB2312"/>
          <w:szCs w:val="32"/>
          <w:lang w:val="en-US" w:eastAsia="zh-CN"/>
        </w:rPr>
        <w:t>中标单位样品不予退还，其他投标人样品于中标公告发布之后退还。</w:t>
      </w:r>
    </w:p>
    <w:p w14:paraId="7B7CA6D6">
      <w:pPr>
        <w:spacing w:line="560" w:lineRule="exact"/>
        <w:ind w:firstLine="645"/>
        <w:rPr>
          <w:rFonts w:ascii="仿宋_GB2312" w:hAnsi="仿宋" w:eastAsia="仿宋_GB2312"/>
          <w:szCs w:val="32"/>
        </w:rPr>
      </w:pPr>
      <w:r>
        <w:rPr>
          <w:rFonts w:hint="eastAsia" w:ascii="仿宋_GB2312" w:hAnsi="仿宋" w:eastAsia="仿宋_GB2312"/>
          <w:szCs w:val="32"/>
        </w:rPr>
        <w:t>2.场地改造后各面层材料间平滑过度，接缝严密平整不得开裂，达到面层封闭，从而解决地下车库漏水的问题。</w:t>
      </w:r>
    </w:p>
    <w:p w14:paraId="7C18115B">
      <w:pPr>
        <w:spacing w:line="560" w:lineRule="exact"/>
        <w:ind w:firstLine="645"/>
        <w:rPr>
          <w:rFonts w:hint="eastAsia" w:ascii="仿宋_GB2312" w:hAnsi="仿宋" w:eastAsia="仿宋_GB2312"/>
          <w:szCs w:val="32"/>
        </w:rPr>
      </w:pPr>
      <w:r>
        <w:rPr>
          <w:rFonts w:hint="eastAsia" w:ascii="仿宋_GB2312" w:hAnsi="仿宋" w:eastAsia="仿宋_GB2312"/>
          <w:szCs w:val="32"/>
        </w:rPr>
        <w:t>3.因该场地在地下车库顶板上建成，场地下部车库顶板承载力有限，大型机械设备无法进场、场地无法堆载。投标单位在投标时应充分考虑地下车库顶板承载力的限制条件，合理选择施工机械。施工降效和二次倒运产生的费用应在投标时充分考虑。施工时，承包人不得以此要求学校延长工期或者增加费用。</w:t>
      </w:r>
    </w:p>
    <w:p w14:paraId="69395593">
      <w:pPr>
        <w:spacing w:line="560" w:lineRule="exact"/>
        <w:ind w:firstLine="645"/>
        <w:rPr>
          <w:rFonts w:hint="eastAsia" w:ascii="仿宋_GB2312" w:hAnsi="仿宋" w:eastAsia="仿宋_GB2312"/>
          <w:szCs w:val="32"/>
        </w:rPr>
      </w:pPr>
      <w:r>
        <w:rPr>
          <w:rFonts w:hint="eastAsia" w:ascii="仿宋_GB2312" w:hAnsi="仿宋" w:eastAsia="仿宋_GB2312"/>
          <w:szCs w:val="32"/>
        </w:rPr>
        <w:t>六、工程量清单（另附）</w:t>
      </w:r>
    </w:p>
    <w:p w14:paraId="7360276D">
      <w:pPr>
        <w:spacing w:line="560" w:lineRule="exact"/>
        <w:ind w:firstLine="645"/>
        <w:rPr>
          <w:rFonts w:ascii="仿宋_GB2312" w:hAnsi="仿宋" w:eastAsia="仿宋_GB2312"/>
          <w:szCs w:val="32"/>
        </w:rPr>
      </w:pPr>
      <w:r>
        <w:rPr>
          <w:rFonts w:hint="eastAsia" w:ascii="仿宋_GB2312" w:hAnsi="仿宋" w:eastAsia="仿宋_GB2312"/>
          <w:szCs w:val="32"/>
        </w:rPr>
        <w:t>七、图纸（另附）</w:t>
      </w:r>
    </w:p>
    <w:p w14:paraId="1C90A404">
      <w:pPr>
        <w:spacing w:line="360" w:lineRule="auto"/>
        <w:rPr>
          <w:rFonts w:hint="eastAsia" w:ascii="宋体" w:hAnsi="宋体"/>
          <w:sz w:val="32"/>
          <w:szCs w:val="32"/>
        </w:rPr>
      </w:pPr>
      <w:r>
        <w:rPr>
          <w:rFonts w:hint="eastAsia" w:ascii="宋体" w:hAnsi="宋体"/>
          <w:sz w:val="32"/>
          <w:szCs w:val="32"/>
        </w:rPr>
        <w:t xml:space="preserve">                </w:t>
      </w:r>
    </w:p>
    <w:p w14:paraId="170F0AE8"/>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PMingLiU">
    <w:altName w:val="Microsoft JhengHei UI"/>
    <w:panose1 w:val="02010601000101010101"/>
    <w:charset w:val="88"/>
    <w:family w:val="roman"/>
    <w:pitch w:val="default"/>
    <w:sig w:usb0="00000000" w:usb1="00000000" w:usb2="00000016" w:usb3="00000000" w:csb0="00100001" w:csb1="00000000"/>
  </w:font>
  <w:font w:name="KSOFE44F9426">
    <w:panose1 w:val="02010609060101010101"/>
    <w:charset w:val="86"/>
    <w:family w:val="auto"/>
    <w:pitch w:val="default"/>
    <w:sig w:usb0="00000001" w:usb1="00000000" w:usb2="00000000"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6A189B"/>
    <w:rsid w:val="636A189B"/>
    <w:rsid w:val="647549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2026-05-25T14:02:00Z</dcterms:created>
  <dc:creator>Mickey</dc:creator>
  <cp:lastModifiedBy>Mickey</cp:lastModifiedBy>
  <dcterms:modified xsi:type="dcterms:W3CDTF">2026-05-25T14:02:11Z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712995CB396D481C8FF1CEF93F3766E4_11</vt:lpwstr>
  </property>
  <property fmtid="{D5CDD505-2E9C-101B-9397-08002B2CF9AE}" pid="4" name="KSOTemplateDocerSaveRecord">
    <vt:lpwstr>eyJoZGlkIjoiZmE0OTNlZjU3ZDYwMzkxMjlkODRjMmFmMzliY2Y0M2YiLCJ1c2VySWQiOiIzODc0OTMyNjkifQ==</vt:lpwstr>
  </property>
</Properties>
</file>