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版本号：【KRDL】K4-260610520260716004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草堂校区体育场馆提升改造项目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【KRDL】K4-2606105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草堂校区体育场馆提升改造项目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【KRDL】K4-2606105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草堂校区体育场馆提升改造项目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建筑科技大学草堂校区部分体育场地进行提升改造，以满足广大师生活动需求，并为承办全国高校匹克球比赛提供良好的场地条件。施工区域均位于草堂校区内，现有乒乓球场及门球场为室外场地，体育运动中心网球场位于场馆一层，灯具安装高度约13米，现场均具备施工条件。改造内容如下：1.南山书院乒乓球场改造：将现有乒乓球台搬迁至场地西侧空置活动区，并加装与现乒乓球场规格一致的围网。对乒乓球场南侧区域延伸至场地内的树根进行切割刨除，在排水沟处采用不锈钢板做树根阻断处理，随后回填并夯实基础。地面采用200mm厚C20混凝土收面，铺设4cm厚AC-10沥青，再铺设3mm厚弹性丙烯酸，改建为10片匹克球场。同时，检修加固原围网，新安装场地照明灯柱6根、移位灯柱2根，安装400W体育照明灯20个。2.体育运动中心北侧门球场改造：清理原人造草坪，对混凝土基础进行检修与平整。铺设4cm厚AC-10沥青和3mm厚弹性丙烯酸，改建为2片匹克球场。新安装场地照明灯柱及400W体育专用照明灯4套，并在原门球围网基础上加装横向浸塑钢丝。3.体育运动中心网球场照明改造：更换400W体育专用照明灯20个。具体以本项目竞争性磋商文件、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采购包1（草堂校区体育场馆提升改造项目）：属于专门面向中小企业采购。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3、税收缴纳证明：供应商提供自2025年6月至今已缴纳的至少一个月纳税证明或完税证明，依法免税的单位应提供相关证明材料；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说明：成交供应商凭成交通知书向采购人缴纳成交金额的5%作为履约保证金，待合同（含保修期）履约完毕后无息退还。若保修期内出现质量问题未及时处理或处理不当造成事故的，履约保证金不予退还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10:00:00</w:t>
            </w:r>
          </w:p>
          <w:p>
            <w:pPr>
              <w:pStyle w:val="null3"/>
              <w:ind w:firstLine="975"/>
            </w:pPr>
            <w:r>
              <w:rPr>
                <w:rFonts w:ascii="仿宋_GB2312" w:hAnsi="仿宋_GB2312" w:cs="仿宋_GB2312" w:eastAsia="仿宋_GB2312"/>
              </w:rPr>
              <w:t>踏勘地点：西安建筑科技大学草堂校区南山书院6号楼南侧</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980,600.00</w:t>
      </w:r>
    </w:p>
    <w:p>
      <w:pPr>
        <w:pStyle w:val="null3"/>
      </w:pPr>
      <w:r>
        <w:rPr>
          <w:rFonts w:ascii="仿宋_GB2312" w:hAnsi="仿宋_GB2312" w:cs="仿宋_GB2312" w:eastAsia="仿宋_GB2312"/>
        </w:rPr>
        <w:t>采购包最高限价（元）: 980,600.00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草堂校区体育场馆提升改造项目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980,600.00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标的名称：草堂校区体育场馆提升改造项目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西安建筑科技大学草堂校区体育场馆提升改造项目，拟对西安建筑科技大学草堂校区部分体育场地进行提升改造，以满足广大师生活动需求，并为承办全国高校匹克球比赛提供良好的场地条件。施工区域均位于草堂校区内，现有乒乓球场及门球场为室外场地，体育运动中心网球场位于场馆一层，灯具安装高度约</w:t>
            </w:r>
            <w:r>
              <w:rPr>
                <w:rFonts w:ascii="仿宋_GB2312" w:hAnsi="仿宋_GB2312" w:cs="仿宋_GB2312" w:eastAsia="仿宋_GB2312"/>
                <w:sz w:val="24"/>
                <w:color w:val="0000FF"/>
              </w:rPr>
              <w:t>13米，现场均具备施工条件。改造内容如下：1.南山书院乒乓球场改造：将现有乒乓球台搬迁至场地西侧空置活动区，并加装与现乒乓球场规格一致的围网。对乒乓球场南侧区域延伸至场地内的树根进行切割刨除，在排水沟处采用不锈钢板做树根阻断处理，随后回填并夯实基础。地面采用200mm厚C20混凝土收面，铺设4cm厚AC-10沥青，再铺设3mm厚弹性丙烯酸，改建为10片匹克球场。同时，检修加固原围网，新安装场地照明灯柱6根、移位灯柱2根，安装400W体育照明灯20个。2.体育运动中心北侧门球场改造：清理原人造草坪，对混凝土基础进行检修与平整。铺设4cm厚AC-10沥青和3mm厚弹性丙烯酸，改建为2片匹克球场。新安装场地照明灯柱及400W体育专用照明灯4套，并在原门球围网基础上加装横向浸塑钢丝。3.体育运动中心网球场照明改造：更换400W体育专用照明灯20个。</w:t>
            </w:r>
          </w:p>
          <w:p>
            <w:pPr>
              <w:pStyle w:val="null3"/>
              <w:ind w:firstLine="482"/>
              <w:jc w:val="both"/>
            </w:pPr>
            <w:r>
              <w:rPr>
                <w:rFonts w:ascii="仿宋_GB2312" w:hAnsi="仿宋_GB2312" w:cs="仿宋_GB2312" w:eastAsia="仿宋_GB2312"/>
                <w:sz w:val="24"/>
                <w:b/>
                <w:color w:val="0000FF"/>
              </w:rPr>
              <w:t>二、工程技术标准及要求</w:t>
            </w:r>
          </w:p>
          <w:p>
            <w:pPr>
              <w:pStyle w:val="null3"/>
              <w:ind w:firstLine="480"/>
              <w:jc w:val="both"/>
            </w:pPr>
            <w:r>
              <w:rPr>
                <w:rFonts w:ascii="仿宋_GB2312" w:hAnsi="仿宋_GB2312" w:cs="仿宋_GB2312" w:eastAsia="仿宋_GB2312"/>
                <w:sz w:val="24"/>
                <w:color w:val="0000FF"/>
              </w:rPr>
              <w:t>1.项目需执行的国家标准、行业标准、地方标准或者其他标准、规范等：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标准、规范、规程名称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建筑工程施工质量验收统一标准（</w:t>
                  </w:r>
                  <w:r>
                    <w:rPr>
                      <w:rFonts w:ascii="仿宋_GB2312" w:hAnsi="仿宋_GB2312" w:cs="仿宋_GB2312" w:eastAsia="仿宋_GB2312"/>
                      <w:sz w:val="24"/>
                      <w:color w:val="0000FF"/>
                    </w:rPr>
                    <w:t>GB50300-2013）</w:t>
                  </w:r>
                </w:p>
              </w:tc>
            </w:tr>
          </w:tbl>
          <w:p>
            <w:pPr>
              <w:pStyle w:val="null3"/>
              <w:ind w:firstLine="480"/>
              <w:jc w:val="both"/>
            </w:pPr>
            <w:r>
              <w:rPr>
                <w:rFonts w:ascii="仿宋_GB2312" w:hAnsi="仿宋_GB2312" w:cs="仿宋_GB2312" w:eastAsia="仿宋_GB2312"/>
                <w:sz w:val="24"/>
                <w:color w:val="0000FF"/>
              </w:rPr>
              <w:t>2.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FF"/>
              </w:rPr>
              <w:t>3.供应商应提供相关主材相关检查报告及节能环保相关证书。</w:t>
            </w:r>
          </w:p>
          <w:p>
            <w:pPr>
              <w:pStyle w:val="null3"/>
              <w:ind w:firstLine="480"/>
              <w:jc w:val="both"/>
            </w:pPr>
            <w:r>
              <w:rPr>
                <w:rFonts w:ascii="仿宋_GB2312" w:hAnsi="仿宋_GB2312" w:cs="仿宋_GB2312" w:eastAsia="仿宋_GB2312"/>
                <w:sz w:val="24"/>
                <w:color w:val="0000FF"/>
              </w:rPr>
              <w:t>4.供应商提供的丙烯酸面层材料应具备CMA/CNAS第三方检测报告，符合：GB 36246-2018《中小学合成材料面层运动场地》(甲醛、VOC、重金属等限量)。</w:t>
            </w:r>
          </w:p>
          <w:p>
            <w:pPr>
              <w:pStyle w:val="null3"/>
              <w:ind w:firstLine="480"/>
              <w:jc w:val="both"/>
            </w:pPr>
            <w:r>
              <w:rPr>
                <w:rFonts w:ascii="仿宋_GB2312" w:hAnsi="仿宋_GB2312" w:cs="仿宋_GB2312" w:eastAsia="仿宋_GB2312"/>
                <w:sz w:val="24"/>
                <w:color w:val="0000FF"/>
              </w:rPr>
              <w:t>5.本工程其他技术标准及要求执行现行规范和采购人实际需求。</w:t>
            </w:r>
          </w:p>
          <w:p>
            <w:pPr>
              <w:pStyle w:val="null3"/>
              <w:ind w:firstLine="480"/>
              <w:jc w:val="both"/>
            </w:pPr>
            <w:r>
              <w:rPr>
                <w:rFonts w:ascii="仿宋_GB2312" w:hAnsi="仿宋_GB2312" w:cs="仿宋_GB2312" w:eastAsia="仿宋_GB2312"/>
                <w:sz w:val="24"/>
                <w:color w:val="0000FF"/>
              </w:rPr>
              <w:t>6.在施工过程中，如果国家或有关部门颁布了新的技术部分准或规范，则承包人应采用新的标准或规范进行施工。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FF"/>
              </w:rPr>
              <w:t>7.采购人提供工程的施工方案和相关技术文件，是采购人现有的能被供应商利用的资料，采购人对供应商做出的任何推论、理解均不负责任。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FF"/>
              </w:rPr>
              <w:t>8.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FF"/>
              </w:rPr>
              <w:t>9.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FF"/>
              </w:rPr>
              <w:t>10.成交供应商未经采购人及有关部门同意，不得擅自变更本项目在竞争性磋商过程承诺中认定的采购范围、实施组织方案和项目经理（响应文件中应明确项目经理的姓名及联系方法，以备检查）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FF"/>
              </w:rPr>
              <w:t>11.成交供应商必须自行施工，不得转包、分包。</w:t>
            </w:r>
          </w:p>
          <w:p>
            <w:pPr>
              <w:pStyle w:val="null3"/>
              <w:ind w:firstLine="480"/>
              <w:jc w:val="both"/>
            </w:pPr>
            <w:r>
              <w:rPr>
                <w:rFonts w:ascii="仿宋_GB2312" w:hAnsi="仿宋_GB2312" w:cs="仿宋_GB2312" w:eastAsia="仿宋_GB2312"/>
                <w:sz w:val="24"/>
                <w:color w:val="0000FF"/>
              </w:rPr>
              <w:t>12.成交供应商在施工过程中不得影响学校的日常生活、工作秩序。</w:t>
            </w:r>
          </w:p>
          <w:p>
            <w:pPr>
              <w:pStyle w:val="null3"/>
              <w:ind w:firstLine="480"/>
              <w:jc w:val="both"/>
            </w:pPr>
            <w:r>
              <w:rPr>
                <w:rFonts w:ascii="仿宋_GB2312" w:hAnsi="仿宋_GB2312" w:cs="仿宋_GB2312" w:eastAsia="仿宋_GB2312"/>
                <w:sz w:val="24"/>
                <w:color w:val="0000FF"/>
              </w:rPr>
              <w:t>13.现场垃圾清运、治污减霾工作由成交供应商全权负责，供应商应负责做好项目的扬尘防治工作及垃圾清运工作。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FF"/>
              </w:rPr>
              <w:t>三、工程量清单</w:t>
            </w:r>
          </w:p>
          <w:tbl>
            <w:tblPr>
              <w:tblBorders>
                <w:top w:val="none" w:color="000000" w:sz="4"/>
                <w:left w:val="none" w:color="000000" w:sz="4"/>
                <w:bottom w:val="none" w:color="000000" w:sz="4"/>
                <w:right w:val="none" w:color="000000" w:sz="4"/>
                <w:insideH w:val="none"/>
                <w:insideV w:val="none"/>
              </w:tblBorders>
            </w:tblPr>
            <w:tblGrid>
              <w:gridCol w:w="232"/>
              <w:gridCol w:w="428"/>
              <w:gridCol w:w="1349"/>
              <w:gridCol w:w="305"/>
              <w:gridCol w:w="227"/>
            </w:tblGrid>
            <w:tr>
              <w:tc>
                <w:tcPr>
                  <w:tcW w:type="dxa" w:w="2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序号</w:t>
                  </w:r>
                </w:p>
              </w:tc>
              <w:tc>
                <w:tcPr>
                  <w:tcW w:type="dxa" w:w="4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项目</w:t>
                  </w:r>
                </w:p>
              </w:tc>
              <w:tc>
                <w:tcPr>
                  <w:tcW w:type="dxa" w:w="1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施工内容</w:t>
                  </w:r>
                </w:p>
              </w:tc>
              <w:tc>
                <w:tcPr>
                  <w:tcW w:type="dxa" w:w="3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工程量</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单位</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42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乒乓球场改造匹克球场</w:t>
                  </w: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原隆起树根地面破除，厚度约</w:t>
                  </w:r>
                  <w:r>
                    <w:rPr>
                      <w:rFonts w:ascii="仿宋_GB2312" w:hAnsi="仿宋_GB2312" w:cs="仿宋_GB2312" w:eastAsia="仿宋_GB2312"/>
                      <w:sz w:val="24"/>
                      <w:color w:val="0000FF"/>
                    </w:rPr>
                    <w:t>30cm,树根拆除，基础回填灰土夯实，厚20cm砼收面</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南侧排水沟拆除，下挖至树根，深度约</w:t>
                  </w:r>
                  <w:r>
                    <w:rPr>
                      <w:rFonts w:ascii="仿宋_GB2312" w:hAnsi="仿宋_GB2312" w:cs="仿宋_GB2312" w:eastAsia="仿宋_GB2312"/>
                      <w:sz w:val="24"/>
                      <w:color w:val="0000FF"/>
                    </w:rPr>
                    <w:t>1m,不锈钢板阻断处理，基础回填夯实，厚20cm砼收面</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地面整体铺</w:t>
                  </w:r>
                  <w:r>
                    <w:rPr>
                      <w:rFonts w:ascii="仿宋_GB2312" w:hAnsi="仿宋_GB2312" w:cs="仿宋_GB2312" w:eastAsia="仿宋_GB2312"/>
                      <w:sz w:val="24"/>
                      <w:color w:val="0000FF"/>
                    </w:rPr>
                    <w:t>4cmAC-10细粒式改性沥青</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3mm弹性丙烯酸</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预埋式匹克球网柱、球网</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1匹克球场地画线</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10米高杆灯杆安装(含基座开挖制作、2.5平方线缆及控制开关)</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w:t>
                  </w:r>
                  <w:r>
                    <w:rPr>
                      <w:rFonts w:ascii="仿宋_GB2312" w:hAnsi="仿宋_GB2312" w:cs="仿宋_GB2312" w:eastAsia="仿宋_GB2312"/>
                      <w:sz w:val="24"/>
                      <w:color w:val="0000FF"/>
                    </w:rPr>
                    <w:t>10m高灯杆移位(含基座开挖制作、2.5平方线缆及控制开关)</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YJV-5*6电缆敷设(穿套管)</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混凝土地面开挖及恢复</w:t>
                  </w:r>
                  <w:r>
                    <w:rPr>
                      <w:rFonts w:ascii="仿宋_GB2312" w:hAnsi="仿宋_GB2312" w:cs="仿宋_GB2312" w:eastAsia="仿宋_GB2312"/>
                      <w:sz w:val="24"/>
                      <w:color w:val="0000FF"/>
                    </w:rPr>
                    <w:t>(深度30cm)</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安装</w:t>
                  </w:r>
                  <w:r>
                    <w:rPr>
                      <w:rFonts w:ascii="仿宋_GB2312" w:hAnsi="仿宋_GB2312" w:cs="仿宋_GB2312" w:eastAsia="仿宋_GB2312"/>
                      <w:sz w:val="24"/>
                      <w:color w:val="0000FF"/>
                    </w:rPr>
                    <w:t>400W体育专用LED投光灯、接电、现场调试</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原绿色喷塑围网检修加固，局部喷漆</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13</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乒乓球台搬移安装</w:t>
                  </w:r>
                  <w:r>
                    <w:rPr>
                      <w:rFonts w:ascii="仿宋_GB2312" w:hAnsi="仿宋_GB2312" w:cs="仿宋_GB2312" w:eastAsia="仿宋_GB2312"/>
                      <w:sz w:val="24"/>
                      <w:color w:val="0000FF"/>
                    </w:rPr>
                    <w:t>(44台)</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14</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安装乒乓场</w:t>
                  </w:r>
                  <w:r>
                    <w:rPr>
                      <w:rFonts w:ascii="仿宋_GB2312" w:hAnsi="仿宋_GB2312" w:cs="仿宋_GB2312" w:eastAsia="仿宋_GB2312"/>
                      <w:sz w:val="24"/>
                      <w:color w:val="0000FF"/>
                    </w:rPr>
                    <w:t>1米高绿色喷塑围网</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140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15</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地面开挖、砌筑深</w:t>
                  </w:r>
                  <w:r>
                    <w:rPr>
                      <w:rFonts w:ascii="仿宋_GB2312" w:hAnsi="仿宋_GB2312" w:cs="仿宋_GB2312" w:eastAsia="仿宋_GB2312"/>
                      <w:sz w:val="24"/>
                      <w:color w:val="0000FF"/>
                    </w:rPr>
                    <w:t>2m深雨水井，井盖安装</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16</w:t>
                  </w:r>
                </w:p>
              </w:tc>
              <w:tc>
                <w:tcPr>
                  <w:tcW w:type="dxa" w:w="42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门球场地改造匹克球场</w:t>
                  </w: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原草坪清理</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17</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原地面整体铺</w:t>
                  </w:r>
                  <w:r>
                    <w:rPr>
                      <w:rFonts w:ascii="仿宋_GB2312" w:hAnsi="仿宋_GB2312" w:cs="仿宋_GB2312" w:eastAsia="仿宋_GB2312"/>
                      <w:sz w:val="24"/>
                      <w:color w:val="0000FF"/>
                    </w:rPr>
                    <w:t>4cmAC-10细粒式改性沥青</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18</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3mm弹性丙烯酸</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400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m²</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19</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预埋式匹克球网柱、球网</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匹克球场地画线</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21</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10米高杆灯杆安装(含基座开挖制作、2.5平方线缆及控制开关)</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22</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安装</w:t>
                  </w:r>
                  <w:r>
                    <w:rPr>
                      <w:rFonts w:ascii="仿宋_GB2312" w:hAnsi="仿宋_GB2312" w:cs="仿宋_GB2312" w:eastAsia="仿宋_GB2312"/>
                      <w:sz w:val="24"/>
                      <w:color w:val="0000FF"/>
                    </w:rPr>
                    <w:t>400W体育专用LED投光灯、接电、现场调试</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23</w:t>
                  </w:r>
                </w:p>
              </w:tc>
              <w:tc>
                <w:tcPr>
                  <w:tcW w:type="dxa" w:w="428"/>
                  <w:vMerge/>
                  <w:tcBorders>
                    <w:top w:val="none" w:color="000000" w:sz="4"/>
                    <w:left w:val="single" w:color="000000" w:sz="4"/>
                    <w:bottom w:val="single" w:color="000000" w:sz="4"/>
                    <w:right w:val="single" w:color="000000" w:sz="4"/>
                  </w:tcBorders>
                </w:tcP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原围网立柱间空隙加横向寖塑钢丝</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24</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网球馆照明</w:t>
                  </w: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拆除原网球场照明灯具</w:t>
                  </w:r>
                  <w:r>
                    <w:rPr>
                      <w:rFonts w:ascii="仿宋_GB2312" w:hAnsi="仿宋_GB2312" w:cs="仿宋_GB2312" w:eastAsia="仿宋_GB2312"/>
                      <w:sz w:val="24"/>
                      <w:color w:val="0000FF"/>
                    </w:rPr>
                    <w:t>36套，检修线路，按照指定点位重新安装体育专用400W照明灯，现场调试</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w:t>
                  </w:r>
                </w:p>
              </w:tc>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25</w:t>
                  </w:r>
                </w:p>
              </w:tc>
              <w:tc>
                <w:tcPr>
                  <w:tcW w:type="dxa" w:w="4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暂列金</w:t>
                  </w:r>
                </w:p>
              </w:tc>
              <w:tc>
                <w:tcPr>
                  <w:tcW w:type="dxa" w:w="1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1项</w:t>
                  </w:r>
                </w:p>
              </w:tc>
              <w:tc>
                <w:tcPr>
                  <w:tcW w:type="dxa" w:w="5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50000元</w:t>
                  </w:r>
                </w:p>
              </w:tc>
            </w:tr>
          </w:tbl>
          <w:p>
            <w:pPr>
              <w:pStyle w:val="null3"/>
              <w:ind w:firstLine="482"/>
              <w:jc w:val="both"/>
            </w:pPr>
            <w:r>
              <w:rPr>
                <w:rFonts w:ascii="仿宋_GB2312" w:hAnsi="仿宋_GB2312" w:cs="仿宋_GB2312" w:eastAsia="仿宋_GB2312"/>
                <w:sz w:val="24"/>
                <w:b/>
                <w:color w:val="0000FF"/>
              </w:rPr>
              <w:t>四、图纸：无</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五、主要材料技术参数要求</w:t>
            </w:r>
          </w:p>
          <w:tbl>
            <w:tblPr>
              <w:tblBorders>
                <w:top w:val="none" w:color="000000" w:sz="4"/>
                <w:left w:val="none" w:color="000000" w:sz="4"/>
                <w:bottom w:val="none" w:color="000000" w:sz="4"/>
                <w:right w:val="none" w:color="000000" w:sz="4"/>
                <w:insideH w:val="none"/>
                <w:insideV w:val="none"/>
              </w:tblBorders>
            </w:tblPr>
            <w:tblGrid>
              <w:gridCol w:w="240"/>
              <w:gridCol w:w="494"/>
              <w:gridCol w:w="1808"/>
            </w:tblGrid>
            <w:tr>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序号</w:t>
                  </w:r>
                </w:p>
              </w:tc>
              <w:tc>
                <w:tcPr>
                  <w:tcW w:type="dxa" w:w="4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材料名称</w:t>
                  </w:r>
                </w:p>
              </w:tc>
              <w:tc>
                <w:tcPr>
                  <w:tcW w:type="dxa" w:w="18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主要技术指标要求</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10米体育专用高杆灯杆</w:t>
                  </w:r>
                </w:p>
              </w:tc>
              <w:tc>
                <w:tcPr>
                  <w:tcW w:type="dxa" w:w="1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热镀锌钢管、整体喷塑、防腐防锈、直埋</w:t>
                  </w:r>
                  <w:r>
                    <w:rPr>
                      <w:rFonts w:ascii="仿宋_GB2312" w:hAnsi="仿宋_GB2312" w:cs="仿宋_GB2312" w:eastAsia="仿宋_GB2312"/>
                      <w:sz w:val="24"/>
                      <w:color w:val="0000FF"/>
                    </w:rPr>
                    <w:t>/法兰底座加厚款，下段底部壁厚≥3.5mm，上段顶部壁厚≥2.5mm，全程足额实厚无虚标、无磨薄、无偷减壁厚工艺</w:t>
                  </w:r>
                  <w:r>
                    <w:rPr>
                      <w:rFonts w:ascii="仿宋_GB2312" w:hAnsi="仿宋_GB2312" w:cs="仿宋_GB2312" w:eastAsia="仿宋_GB2312"/>
                      <w:sz w:val="24"/>
                      <w:color w:val="0000FF"/>
                    </w:rPr>
                    <w:t>；</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400W体育专用LED投光灯</w:t>
                  </w:r>
                </w:p>
              </w:tc>
              <w:tc>
                <w:tcPr>
                  <w:tcW w:type="dxa" w:w="1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1）球场专用，采用进口级LED灯珠，SMD封装。</w:t>
                  </w:r>
                </w:p>
                <w:p>
                  <w:pPr>
                    <w:pStyle w:val="null3"/>
                    <w:jc w:val="both"/>
                  </w:pPr>
                  <w:r>
                    <w:rPr>
                      <w:rFonts w:ascii="仿宋_GB2312" w:hAnsi="仿宋_GB2312" w:cs="仿宋_GB2312" w:eastAsia="仿宋_GB2312"/>
                      <w:sz w:val="24"/>
                      <w:color w:val="0000FF"/>
                    </w:rPr>
                    <w:t>★（2）灯具输入电压AC100-220V,50/60 Hz,灯具功率400W±2.5%，整灯光通量≥59000Lm，灯具效能≥150lm/W，一般显色指数Ra≥70，色温≥5500K，功率因数≥0.99。</w:t>
                  </w:r>
                </w:p>
                <w:p>
                  <w:pPr>
                    <w:pStyle w:val="null3"/>
                    <w:jc w:val="both"/>
                  </w:pPr>
                  <w:r>
                    <w:rPr>
                      <w:rFonts w:ascii="仿宋_GB2312" w:hAnsi="仿宋_GB2312" w:cs="仿宋_GB2312" w:eastAsia="仿宋_GB2312"/>
                      <w:sz w:val="24"/>
                      <w:color w:val="0000FF"/>
                    </w:rPr>
                    <w:t>★（3）防尘、防固体异物和防水等级为IP66。</w:t>
                  </w:r>
                </w:p>
                <w:p>
                  <w:pPr>
                    <w:pStyle w:val="null3"/>
                    <w:jc w:val="both"/>
                  </w:pPr>
                  <w:r>
                    <w:rPr>
                      <w:rFonts w:ascii="仿宋_GB2312" w:hAnsi="仿宋_GB2312" w:cs="仿宋_GB2312" w:eastAsia="仿宋_GB2312"/>
                      <w:sz w:val="24"/>
                      <w:color w:val="0000FF"/>
                    </w:rPr>
                    <w:t>★（4）LED灯具整体符合GB/T39560.301-2020《电子电气产品中某些物质的测定第3-1部分:X射线荧光光谱法筛选铅、汞、镉、总铬和总溴》、GB/T 43017-2023 《绿色产品评价 照明产品》中铅Pb、汞Hg、镉Cd、六价铬Cr、溴Br产品有害物质测试合格。</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5）LED灯具在正常工作3000小时的光通量维持率不低于98.5%；6000小时的光通量维持率不低于97%。提供第三方检测机构出具的具有CMA、CNAS标志的检测报告</w:t>
                  </w:r>
                  <w:r>
                    <w:rPr>
                      <w:rFonts w:ascii="仿宋_GB2312" w:hAnsi="仿宋_GB2312" w:cs="仿宋_GB2312" w:eastAsia="仿宋_GB2312"/>
                      <w:sz w:val="24"/>
                      <w:color w:val="0000FF"/>
                    </w:rPr>
                    <w:t>的复印件或扫描件。</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3mm弹性丙烯</w:t>
                  </w:r>
                </w:p>
                <w:p>
                  <w:pPr>
                    <w:pStyle w:val="null3"/>
                    <w:jc w:val="center"/>
                  </w:pPr>
                  <w:r>
                    <w:rPr>
                      <w:rFonts w:ascii="仿宋_GB2312" w:hAnsi="仿宋_GB2312" w:cs="仿宋_GB2312" w:eastAsia="仿宋_GB2312"/>
                      <w:sz w:val="24"/>
                      <w:color w:val="0000FF"/>
                    </w:rPr>
                    <w:t>酸球场全套材</w:t>
                  </w:r>
                </w:p>
                <w:p>
                  <w:pPr>
                    <w:pStyle w:val="null3"/>
                    <w:jc w:val="center"/>
                  </w:pPr>
                  <w:r>
                    <w:rPr>
                      <w:rFonts w:ascii="仿宋_GB2312" w:hAnsi="仿宋_GB2312" w:cs="仿宋_GB2312" w:eastAsia="仿宋_GB2312"/>
                      <w:sz w:val="24"/>
                      <w:color w:val="0000FF"/>
                    </w:rPr>
                    <w:t>料</w:t>
                  </w:r>
                </w:p>
              </w:tc>
              <w:tc>
                <w:tcPr>
                  <w:tcW w:type="dxa" w:w="1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球场专用环保弹性层+加强层+耐磨面层+专用划线漆，国标体育场地材料，耐候、防滑、不开裂，有效厚度均匀达标3mm,全场厚度误差严控在±0.3mm以内，无局部厚薄不均、无高低落差；分层标准化铺设，多层复合结构一体化成型</w:t>
                  </w:r>
                </w:p>
                <w:p>
                  <w:pPr>
                    <w:pStyle w:val="null3"/>
                    <w:jc w:val="both"/>
                  </w:pPr>
                  <w:r>
                    <w:rPr>
                      <w:rFonts w:ascii="仿宋_GB2312" w:hAnsi="仿宋_GB2312" w:cs="仿宋_GB2312" w:eastAsia="仿宋_GB2312"/>
                      <w:sz w:val="24"/>
                      <w:color w:val="0000FF"/>
                    </w:rPr>
                    <w:t>★（2）丙烯酸符合GB 36246-2018《中小学合成材料面层运动场地》非固体原料中有害物质限量要求：</w:t>
                  </w:r>
                </w:p>
                <w:p>
                  <w:pPr>
                    <w:pStyle w:val="null3"/>
                    <w:jc w:val="both"/>
                  </w:pPr>
                  <w:r>
                    <w:rPr>
                      <w:rFonts w:ascii="仿宋_GB2312" w:hAnsi="仿宋_GB2312" w:cs="仿宋_GB2312" w:eastAsia="仿宋_GB2312"/>
                      <w:sz w:val="24"/>
                      <w:color w:val="0000FF"/>
                    </w:rPr>
                    <w:t>3种邻苯二甲酸酯类化合物（DBP、BBP、DEHP）总和/（g/kg）≤1.0；</w:t>
                  </w:r>
                </w:p>
                <w:p>
                  <w:pPr>
                    <w:pStyle w:val="null3"/>
                    <w:jc w:val="both"/>
                  </w:pPr>
                  <w:r>
                    <w:rPr>
                      <w:rFonts w:ascii="仿宋_GB2312" w:hAnsi="仿宋_GB2312" w:cs="仿宋_GB2312" w:eastAsia="仿宋_GB2312"/>
                      <w:sz w:val="24"/>
                      <w:color w:val="0000FF"/>
                    </w:rPr>
                    <w:t>3种邻苯二甲酸酯类化合物（DNOP、DINP、DIDP）总和（g/kg）≤1.0；</w:t>
                  </w:r>
                </w:p>
                <w:p>
                  <w:pPr>
                    <w:pStyle w:val="null3"/>
                    <w:jc w:val="both"/>
                  </w:pPr>
                  <w:r>
                    <w:rPr>
                      <w:rFonts w:ascii="仿宋_GB2312" w:hAnsi="仿宋_GB2312" w:cs="仿宋_GB2312" w:eastAsia="仿宋_GB2312"/>
                      <w:sz w:val="24"/>
                      <w:color w:val="0000FF"/>
                    </w:rPr>
                    <w:t>短链氯化石蜡</w:t>
                  </w:r>
                  <w:r>
                    <w:rPr>
                      <w:rFonts w:ascii="仿宋_GB2312" w:hAnsi="仿宋_GB2312" w:cs="仿宋_GB2312" w:eastAsia="仿宋_GB2312"/>
                      <w:sz w:val="24"/>
                      <w:color w:val="0000FF"/>
                    </w:rPr>
                    <w:t>C10-C13/(g/kg)≤1.5；</w:t>
                  </w:r>
                </w:p>
                <w:p>
                  <w:pPr>
                    <w:pStyle w:val="null3"/>
                    <w:jc w:val="both"/>
                  </w:pPr>
                  <w:r>
                    <w:rPr>
                      <w:rFonts w:ascii="仿宋_GB2312" w:hAnsi="仿宋_GB2312" w:cs="仿宋_GB2312" w:eastAsia="仿宋_GB2312"/>
                      <w:sz w:val="24"/>
                      <w:color w:val="0000FF"/>
                    </w:rPr>
                    <w:t>游离甲苯二异氰酸酯（</w:t>
                  </w:r>
                  <w:r>
                    <w:rPr>
                      <w:rFonts w:ascii="仿宋_GB2312" w:hAnsi="仿宋_GB2312" w:cs="仿宋_GB2312" w:eastAsia="仿宋_GB2312"/>
                      <w:sz w:val="24"/>
                      <w:color w:val="0000FF"/>
                    </w:rPr>
                    <w:t>TDI）和游离六亚甲基二异氰酸酯（HDI）总和/（g/kg）≤10；</w:t>
                  </w:r>
                </w:p>
                <w:p>
                  <w:pPr>
                    <w:pStyle w:val="null3"/>
                    <w:jc w:val="both"/>
                  </w:pPr>
                  <w:r>
                    <w:rPr>
                      <w:rFonts w:ascii="仿宋_GB2312" w:hAnsi="仿宋_GB2312" w:cs="仿宋_GB2312" w:eastAsia="仿宋_GB2312"/>
                      <w:sz w:val="24"/>
                      <w:color w:val="0000FF"/>
                    </w:rPr>
                    <w:t>挥发性有机化合物</w:t>
                  </w:r>
                  <w:r>
                    <w:rPr>
                      <w:rFonts w:ascii="仿宋_GB2312" w:hAnsi="仿宋_GB2312" w:cs="仿宋_GB2312" w:eastAsia="仿宋_GB2312"/>
                      <w:sz w:val="24"/>
                      <w:color w:val="0000FF"/>
                    </w:rPr>
                    <w:t>/（g/L）≤50；</w:t>
                  </w:r>
                </w:p>
                <w:p>
                  <w:pPr>
                    <w:pStyle w:val="null3"/>
                    <w:jc w:val="both"/>
                  </w:pPr>
                  <w:r>
                    <w:rPr>
                      <w:rFonts w:ascii="仿宋_GB2312" w:hAnsi="仿宋_GB2312" w:cs="仿宋_GB2312" w:eastAsia="仿宋_GB2312"/>
                      <w:sz w:val="24"/>
                      <w:color w:val="0000FF"/>
                    </w:rPr>
                    <w:t>游离甲醛</w:t>
                  </w:r>
                  <w:r>
                    <w:rPr>
                      <w:rFonts w:ascii="仿宋_GB2312" w:hAnsi="仿宋_GB2312" w:cs="仿宋_GB2312" w:eastAsia="仿宋_GB2312"/>
                      <w:sz w:val="24"/>
                      <w:color w:val="0000FF"/>
                    </w:rPr>
                    <w:t>/（g/kg）≤0.50；</w:t>
                  </w:r>
                </w:p>
                <w:p>
                  <w:pPr>
                    <w:pStyle w:val="null3"/>
                    <w:jc w:val="both"/>
                  </w:pPr>
                  <w:r>
                    <w:rPr>
                      <w:rFonts w:ascii="仿宋_GB2312" w:hAnsi="仿宋_GB2312" w:cs="仿宋_GB2312" w:eastAsia="仿宋_GB2312"/>
                      <w:sz w:val="24"/>
                      <w:color w:val="0000FF"/>
                    </w:rPr>
                    <w:t>苯</w:t>
                  </w:r>
                  <w:r>
                    <w:rPr>
                      <w:rFonts w:ascii="仿宋_GB2312" w:hAnsi="仿宋_GB2312" w:cs="仿宋_GB2312" w:eastAsia="仿宋_GB2312"/>
                      <w:sz w:val="24"/>
                      <w:color w:val="0000FF"/>
                    </w:rPr>
                    <w:t>/（g/kg）≤0.05；</w:t>
                  </w:r>
                </w:p>
                <w:p>
                  <w:pPr>
                    <w:pStyle w:val="null3"/>
                    <w:jc w:val="both"/>
                  </w:pPr>
                  <w:r>
                    <w:rPr>
                      <w:rFonts w:ascii="仿宋_GB2312" w:hAnsi="仿宋_GB2312" w:cs="仿宋_GB2312" w:eastAsia="仿宋_GB2312"/>
                      <w:sz w:val="24"/>
                      <w:color w:val="0000FF"/>
                    </w:rPr>
                    <w:t>甲苯、二甲苯和乙苯总和</w:t>
                  </w:r>
                  <w:r>
                    <w:rPr>
                      <w:rFonts w:ascii="仿宋_GB2312" w:hAnsi="仿宋_GB2312" w:cs="仿宋_GB2312" w:eastAsia="仿宋_GB2312"/>
                      <w:sz w:val="24"/>
                      <w:color w:val="0000FF"/>
                    </w:rPr>
                    <w:t>/（g/kg）≤1.0；</w:t>
                  </w:r>
                </w:p>
                <w:p>
                  <w:pPr>
                    <w:pStyle w:val="null3"/>
                    <w:jc w:val="both"/>
                  </w:pPr>
                  <w:r>
                    <w:rPr>
                      <w:rFonts w:ascii="仿宋_GB2312" w:hAnsi="仿宋_GB2312" w:cs="仿宋_GB2312" w:eastAsia="仿宋_GB2312"/>
                      <w:sz w:val="24"/>
                      <w:color w:val="0000FF"/>
                    </w:rPr>
                    <w:t>可溶性铅</w:t>
                  </w:r>
                  <w:r>
                    <w:rPr>
                      <w:rFonts w:ascii="仿宋_GB2312" w:hAnsi="仿宋_GB2312" w:cs="仿宋_GB2312" w:eastAsia="仿宋_GB2312"/>
                      <w:sz w:val="24"/>
                      <w:color w:val="0000FF"/>
                    </w:rPr>
                    <w:t>/（mg/kg）≤50；</w:t>
                  </w:r>
                </w:p>
                <w:p>
                  <w:pPr>
                    <w:pStyle w:val="null3"/>
                    <w:jc w:val="both"/>
                  </w:pPr>
                  <w:r>
                    <w:rPr>
                      <w:rFonts w:ascii="仿宋_GB2312" w:hAnsi="仿宋_GB2312" w:cs="仿宋_GB2312" w:eastAsia="仿宋_GB2312"/>
                      <w:sz w:val="24"/>
                      <w:color w:val="0000FF"/>
                    </w:rPr>
                    <w:t>可溶性镉</w:t>
                  </w:r>
                  <w:r>
                    <w:rPr>
                      <w:rFonts w:ascii="仿宋_GB2312" w:hAnsi="仿宋_GB2312" w:cs="仿宋_GB2312" w:eastAsia="仿宋_GB2312"/>
                      <w:sz w:val="24"/>
                      <w:color w:val="0000FF"/>
                    </w:rPr>
                    <w:t>/（mg/kg）≤10；</w:t>
                  </w:r>
                </w:p>
                <w:p>
                  <w:pPr>
                    <w:pStyle w:val="null3"/>
                    <w:jc w:val="both"/>
                  </w:pPr>
                  <w:r>
                    <w:rPr>
                      <w:rFonts w:ascii="仿宋_GB2312" w:hAnsi="仿宋_GB2312" w:cs="仿宋_GB2312" w:eastAsia="仿宋_GB2312"/>
                      <w:sz w:val="24"/>
                      <w:color w:val="0000FF"/>
                    </w:rPr>
                    <w:t>可溶性铬</w:t>
                  </w:r>
                  <w:r>
                    <w:rPr>
                      <w:rFonts w:ascii="仿宋_GB2312" w:hAnsi="仿宋_GB2312" w:cs="仿宋_GB2312" w:eastAsia="仿宋_GB2312"/>
                      <w:sz w:val="24"/>
                      <w:color w:val="0000FF"/>
                    </w:rPr>
                    <w:t>/（mg/kg）≤10；</w:t>
                  </w:r>
                </w:p>
                <w:p>
                  <w:pPr>
                    <w:pStyle w:val="null3"/>
                    <w:jc w:val="both"/>
                  </w:pPr>
                  <w:r>
                    <w:rPr>
                      <w:rFonts w:ascii="仿宋_GB2312" w:hAnsi="仿宋_GB2312" w:cs="仿宋_GB2312" w:eastAsia="仿宋_GB2312"/>
                      <w:sz w:val="24"/>
                      <w:color w:val="0000FF"/>
                    </w:rPr>
                    <w:t>可溶性汞</w:t>
                  </w:r>
                  <w:r>
                    <w:rPr>
                      <w:rFonts w:ascii="仿宋_GB2312" w:hAnsi="仿宋_GB2312" w:cs="仿宋_GB2312" w:eastAsia="仿宋_GB2312"/>
                      <w:sz w:val="24"/>
                      <w:color w:val="0000FF"/>
                    </w:rPr>
                    <w:t>/（mg/kg）≤2。</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依据《地坪涂装材料》（</w:t>
                  </w:r>
                  <w:r>
                    <w:rPr>
                      <w:rFonts w:ascii="仿宋_GB2312" w:hAnsi="仿宋_GB2312" w:cs="仿宋_GB2312" w:eastAsia="仿宋_GB2312"/>
                      <w:sz w:val="24"/>
                      <w:color w:val="0000FF"/>
                    </w:rPr>
                    <w:t>GB/T 22374-2018）3mm弹性丙烯酸球场关于耐用性（水性）主要参数要求为：“耐磨性（750g/500r）/g≤0.050；耐水性（168h）不起泡，不剥落，允许轻微变色，2h后恢复；耐人工气候老化性（不低于400h）：无起泡、不剥落无裂纹，粉化≤1级，变色≤2级。投标人针对所投产品提供第三方检测机构出具的检测报告，检测结果满足上述要求即可</w:t>
                  </w:r>
                  <w:r>
                    <w:rPr>
                      <w:rFonts w:ascii="仿宋_GB2312" w:hAnsi="仿宋_GB2312" w:cs="仿宋_GB2312" w:eastAsia="仿宋_GB2312"/>
                      <w:sz w:val="24"/>
                      <w:color w:val="0000FF"/>
                    </w:rPr>
                    <w:t>。</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AC-10细粒式</w:t>
                  </w:r>
                </w:p>
                <w:p>
                  <w:pPr>
                    <w:pStyle w:val="null3"/>
                    <w:jc w:val="center"/>
                  </w:pPr>
                  <w:r>
                    <w:rPr>
                      <w:rFonts w:ascii="仿宋_GB2312" w:hAnsi="仿宋_GB2312" w:cs="仿宋_GB2312" w:eastAsia="仿宋_GB2312"/>
                      <w:sz w:val="24"/>
                      <w:color w:val="0000FF"/>
                    </w:rPr>
                    <w:t>改性沥青混合</w:t>
                  </w:r>
                </w:p>
                <w:p>
                  <w:pPr>
                    <w:pStyle w:val="null3"/>
                    <w:jc w:val="center"/>
                  </w:pPr>
                  <w:r>
                    <w:rPr>
                      <w:rFonts w:ascii="仿宋_GB2312" w:hAnsi="仿宋_GB2312" w:cs="仿宋_GB2312" w:eastAsia="仿宋_GB2312"/>
                      <w:sz w:val="24"/>
                      <w:color w:val="0000FF"/>
                    </w:rPr>
                    <w:t>料</w:t>
                  </w:r>
                </w:p>
              </w:tc>
              <w:tc>
                <w:tcPr>
                  <w:tcW w:type="dxa" w:w="1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国标道路专用、热拌、改性沥青、粒径</w:t>
                  </w:r>
                  <w:r>
                    <w:rPr>
                      <w:rFonts w:ascii="仿宋_GB2312" w:hAnsi="仿宋_GB2312" w:cs="仿宋_GB2312" w:eastAsia="仿宋_GB2312"/>
                      <w:sz w:val="24"/>
                      <w:color w:val="0000FF"/>
                    </w:rPr>
                    <w:t>10mm以内，压实厚度4cm</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直插预埋式匹克球柱和网</w:t>
                  </w:r>
                </w:p>
              </w:tc>
              <w:tc>
                <w:tcPr>
                  <w:tcW w:type="dxa" w:w="1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1）全铝合金型材+型钢连接芯精制而成；</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2）表面经超耐候聚酯粉末喷涂，颜色十年不脱落，全天候环境使用；</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3）结构稳固，内置收线拉网。</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4）单个匹克球柱尺寸：57mm×57mm方形柱，颜色：墨绿色；单个匹克球网尺寸：PE网：长6650×宽900mm，宽边线径:2mm，网孔：45*45mm，颜色：黑色；安装后实物尺寸允差±20mm。</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5）标配：匹克球柱（1对）、匹克球网（1张）、钢丝绳、中心索带、中心索带预埋件。</w:t>
                  </w:r>
                </w:p>
                <w:p>
                  <w:pPr>
                    <w:pStyle w:val="null3"/>
                    <w:jc w:val="both"/>
                  </w:pPr>
                  <w:r>
                    <w:rPr>
                      <w:rFonts w:ascii="仿宋_GB2312" w:hAnsi="仿宋_GB2312" w:cs="仿宋_GB2312" w:eastAsia="仿宋_GB2312"/>
                      <w:sz w:val="24"/>
                      <w:color w:val="0000FF"/>
                    </w:rPr>
                    <w:t>★（6）管材符合GB/T 9286-2021《色漆和清漆划格试验》标准，通过附着力达到0级（2a-间距1mm）；符合GB/T 1732-2020《漆膜耐冲击测定法》标准，通过耐冲击性≥50cm；符合GB/T 9279.1-2015《色漆和清漆耐划痕性的测定第1部分：负荷恒定法》标准，通过耐划痕性（500g）测试。</w:t>
                  </w:r>
                </w:p>
              </w:tc>
            </w:tr>
          </w:tbl>
          <w:p>
            <w:pPr>
              <w:pStyle w:val="null3"/>
              <w:ind w:firstLine="482"/>
              <w:jc w:val="both"/>
            </w:pPr>
            <w:r>
              <w:rPr>
                <w:rFonts w:ascii="仿宋_GB2312" w:hAnsi="仿宋_GB2312" w:cs="仿宋_GB2312" w:eastAsia="仿宋_GB2312"/>
                <w:sz w:val="24"/>
                <w:b/>
                <w:color w:val="0000FF"/>
              </w:rPr>
              <w:t>六、</w:t>
            </w:r>
            <w:r>
              <w:rPr>
                <w:rFonts w:ascii="仿宋_GB2312" w:hAnsi="仿宋_GB2312" w:cs="仿宋_GB2312" w:eastAsia="仿宋_GB2312"/>
                <w:sz w:val="24"/>
                <w:b/>
                <w:color w:val="0000FF"/>
              </w:rPr>
              <w:t>商务要求</w:t>
            </w:r>
          </w:p>
          <w:p>
            <w:pPr>
              <w:pStyle w:val="null3"/>
              <w:ind w:firstLine="482"/>
              <w:jc w:val="both"/>
            </w:pPr>
            <w:r>
              <w:rPr>
                <w:rFonts w:ascii="仿宋_GB2312" w:hAnsi="仿宋_GB2312" w:cs="仿宋_GB2312" w:eastAsia="仿宋_GB2312"/>
                <w:sz w:val="24"/>
                <w:b/>
                <w:color w:val="0000FF"/>
              </w:rPr>
              <w:t>（一）工期；</w:t>
            </w:r>
            <w:r>
              <w:rPr>
                <w:rFonts w:ascii="仿宋_GB2312" w:hAnsi="仿宋_GB2312" w:cs="仿宋_GB2312" w:eastAsia="仿宋_GB2312"/>
                <w:sz w:val="24"/>
                <w:color w:val="0000FF"/>
              </w:rPr>
              <w:t>自接到采购人开工通知之日起</w:t>
            </w:r>
            <w:r>
              <w:rPr>
                <w:rFonts w:ascii="仿宋_GB2312" w:hAnsi="仿宋_GB2312" w:cs="仿宋_GB2312" w:eastAsia="仿宋_GB2312"/>
                <w:sz w:val="24"/>
                <w:color w:val="0000FF"/>
              </w:rPr>
              <w:t>30个日历天，具体以具体以采购人开工令为准。</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：西安建筑科技大学草堂校区。</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：工程验收标准执行国家现行的有关规范及标准，本工程质量要求为合格。</w:t>
            </w:r>
          </w:p>
          <w:p>
            <w:pPr>
              <w:pStyle w:val="null3"/>
              <w:ind w:firstLine="482"/>
              <w:jc w:val="both"/>
            </w:pPr>
            <w:r>
              <w:rPr>
                <w:rFonts w:ascii="仿宋_GB2312" w:hAnsi="仿宋_GB2312" w:cs="仿宋_GB2312" w:eastAsia="仿宋_GB2312"/>
                <w:sz w:val="24"/>
                <w:b/>
                <w:color w:val="0000FF"/>
              </w:rPr>
              <w:t>（四）付款方式：</w:t>
            </w:r>
          </w:p>
          <w:p>
            <w:pPr>
              <w:pStyle w:val="null3"/>
              <w:ind w:firstLine="480"/>
              <w:jc w:val="both"/>
            </w:pPr>
            <w:r>
              <w:rPr>
                <w:rFonts w:ascii="仿宋_GB2312" w:hAnsi="仿宋_GB2312" w:cs="仿宋_GB2312" w:eastAsia="仿宋_GB2312"/>
                <w:sz w:val="24"/>
                <w:color w:val="0000FF"/>
              </w:rPr>
              <w:t>□签订合同完毕，成交供应商提供银行等金融机构出具的预付款保函，采购人支付合同总价的40%作为预付款。</w:t>
            </w:r>
          </w:p>
          <w:p>
            <w:pPr>
              <w:pStyle w:val="null3"/>
              <w:ind w:firstLine="480"/>
              <w:jc w:val="both"/>
            </w:pPr>
            <w:r>
              <w:rPr>
                <w:rFonts w:ascii="仿宋_GB2312" w:hAnsi="仿宋_GB2312" w:cs="仿宋_GB2312" w:eastAsia="仿宋_GB2312"/>
                <w:sz w:val="24"/>
                <w:color w:val="0000FF"/>
              </w:rPr>
              <w:t>□签订合同完毕，施工满一个月且整体施工进度完成80%合同约定工程量后，采购人支付合同额50%进度款。</w:t>
            </w:r>
          </w:p>
          <w:p>
            <w:pPr>
              <w:pStyle w:val="null3"/>
              <w:ind w:firstLine="480"/>
              <w:jc w:val="both"/>
            </w:pPr>
            <w:r>
              <w:rPr>
                <w:rFonts w:ascii="仿宋_GB2312" w:hAnsi="仿宋_GB2312" w:cs="仿宋_GB2312" w:eastAsia="仿宋_GB2312"/>
                <w:sz w:val="24"/>
                <w:color w:val="0000FF"/>
              </w:rPr>
              <w:t>工程竣工验收合格后经审计部门或其委托有工程造价咨询资质的机构审定结算后，成交供应商缴纳施工水电费后，采购人支付至审定结算价</w:t>
            </w:r>
            <w:r>
              <w:rPr>
                <w:rFonts w:ascii="仿宋_GB2312" w:hAnsi="仿宋_GB2312" w:cs="仿宋_GB2312" w:eastAsia="仿宋_GB2312"/>
                <w:sz w:val="24"/>
                <w:color w:val="0000FF"/>
              </w:rPr>
              <w:t>100%工程款。但在国家规定的保修期限内，保修责任仍由承包人继续承担。</w:t>
            </w:r>
          </w:p>
          <w:p>
            <w:pPr>
              <w:pStyle w:val="null3"/>
              <w:ind w:firstLine="480"/>
              <w:jc w:val="both"/>
            </w:pPr>
            <w:r>
              <w:rPr>
                <w:rFonts w:ascii="仿宋_GB2312" w:hAnsi="仿宋_GB2312" w:cs="仿宋_GB2312" w:eastAsia="仿宋_GB2312"/>
                <w:sz w:val="24"/>
                <w:color w:val="0000FF"/>
              </w:rPr>
              <w:t>合同以外的变更、签证、工程量的增加等内容，随竣工结算支付。</w:t>
            </w:r>
          </w:p>
          <w:p>
            <w:pPr>
              <w:pStyle w:val="null3"/>
              <w:ind w:firstLine="480"/>
              <w:jc w:val="both"/>
            </w:pPr>
            <w:r>
              <w:rPr>
                <w:rFonts w:ascii="仿宋_GB2312" w:hAnsi="仿宋_GB2312" w:cs="仿宋_GB2312" w:eastAsia="仿宋_GB2312"/>
                <w:sz w:val="24"/>
                <w:color w:val="0000FF"/>
              </w:rPr>
              <w:t>采购人支付上述所有款项前，成交供应商须向采购人提供合法有效足额的增值税专用发票。</w:t>
            </w:r>
          </w:p>
          <w:p>
            <w:pPr>
              <w:pStyle w:val="null3"/>
              <w:ind w:firstLine="482"/>
              <w:jc w:val="both"/>
            </w:pPr>
            <w:r>
              <w:rPr>
                <w:rFonts w:ascii="仿宋_GB2312" w:hAnsi="仿宋_GB2312" w:cs="仿宋_GB2312" w:eastAsia="仿宋_GB2312"/>
                <w:sz w:val="24"/>
                <w:b/>
                <w:color w:val="0000FF"/>
              </w:rPr>
              <w:t>（五）质量保证期及保修要求</w:t>
            </w:r>
          </w:p>
          <w:p>
            <w:pPr>
              <w:pStyle w:val="null3"/>
              <w:ind w:firstLine="480"/>
              <w:jc w:val="both"/>
            </w:pPr>
            <w:r>
              <w:rPr>
                <w:rFonts w:ascii="仿宋_GB2312" w:hAnsi="仿宋_GB2312" w:cs="仿宋_GB2312" w:eastAsia="仿宋_GB2312"/>
                <w:sz w:val="24"/>
                <w:color w:val="0000FF"/>
              </w:rPr>
              <w:t>1.质量保证期：自本项目竣工验收合格通过之日起2年。</w:t>
            </w:r>
          </w:p>
          <w:p>
            <w:pPr>
              <w:pStyle w:val="null3"/>
              <w:ind w:firstLine="480"/>
              <w:jc w:val="both"/>
            </w:pPr>
            <w:r>
              <w:rPr>
                <w:rFonts w:ascii="仿宋_GB2312" w:hAnsi="仿宋_GB2312" w:cs="仿宋_GB2312" w:eastAsia="仿宋_GB2312"/>
                <w:sz w:val="24"/>
                <w:color w:val="0000FF"/>
              </w:rPr>
              <w:t>2.保修要求：属于保修范围和内容的项目，成交供应商应在接到维修通知后，1天内派人维修。发生紧急抢修事故，成交供应商应在接到事故通知后4小时内到达事故现场并于3小时内完成应急维修。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工程验收标准执行国家现行的有关规范及标准，本工程质量要求为合格。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等有明确要求的，不得变更相关要求，使用前应当由采购人认质确认后方可投入使用。工程施工完毕后需对施工场地进行保洁，保洁标准达到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lutan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3.供应商未按指定账户提交响应保证金的，我公司将退回，供应商须在文件递交截止时间前按照指定账户再次提交。 4.本项目成交供应商须在领取中标（成交）通知书同一时间向采购代理机构 提供响应文件（应与政府采购电子化交易平台上传的响应文件完全一致）正本1份、副本1份。 5.结算时，依据采购人审定的工程量，按实际发生量据实结算，工程价款结算时依据最终价款和一次报价的下浮比例执行。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供应商提供自2025年6月至今已缴纳的至少一个月纳税证明或完税证明，依法免税的单位应提供相关证明材料；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 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资格审查.docx 主要材料样品.docx 质量管理体系与保证措施.docx 对项目整体理解及施工方案.docx 服务承诺.docx 企业业绩.docx 主要材料品质、价格表.docx 工程进度计划与保证措施.docx 已标价工程量清单(系统自动生成，无需填写) 绿色建材明细表.docx 标的清单 拟派项目经理业绩.docx 监狱企业的证明文件 拟派项目经理及项目组人员承诺函.docx 已标价工程量清单.docx 确保安全生产、文明施工的技术组织措施及环境保护措施.docx 中小企业声明函 技术服务合同条款及其他商务要求应答表 项目经理社保.docx 响应文件封面 残疾人福利性单位声明函 法定代表人证明书及授权书.docx 报价函 响应函 项目人员组成.docx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项目经理社保.docx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拟派项目经理业绩1</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主要材料品质及来源证明资料1</w:t>
            </w:r>
          </w:p>
        </w:tc>
        <w:tc>
          <w:tcPr>
            <w:tcW w:type="dxa" w:w="2492"/>
          </w:tcPr>
          <w:p>
            <w:pPr>
              <w:pStyle w:val="null3"/>
            </w:pPr>
            <w:r>
              <w:rPr>
                <w:rFonts w:ascii="仿宋_GB2312" w:hAnsi="仿宋_GB2312" w:cs="仿宋_GB2312" w:eastAsia="仿宋_GB2312"/>
              </w:rPr>
              <w:t>1.供应商针对本项目提供的主要材料品质、价格表填写完整，无缺漏项的得2分。未提供或提供不全或拟投主要材料品质不明确的本项不得分。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主要材料品质及来源证明资料2</w:t>
            </w:r>
          </w:p>
        </w:tc>
        <w:tc>
          <w:tcPr>
            <w:tcW w:type="dxa" w:w="2492"/>
          </w:tcPr>
          <w:p>
            <w:pPr>
              <w:pStyle w:val="null3"/>
            </w:pPr>
            <w:r>
              <w:rPr>
                <w:rFonts w:ascii="仿宋_GB2312" w:hAnsi="仿宋_GB2312" w:cs="仿宋_GB2312" w:eastAsia="仿宋_GB2312"/>
              </w:rPr>
              <w:t>2.根据供应商提供丙烯酸、LED投光灯来源渠道合法的证明文件（包括但不限于销售协议或代理协议或原厂授权等），相关复印件需加盖供应商公章。提供1项计1分，未提供不计分。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主要材料参数响应情况</w:t>
            </w:r>
          </w:p>
        </w:tc>
        <w:tc>
          <w:tcPr>
            <w:tcW w:type="dxa" w:w="2492"/>
          </w:tcPr>
          <w:p>
            <w:pPr>
              <w:pStyle w:val="null3"/>
            </w:pPr>
            <w:r>
              <w:rPr>
                <w:rFonts w:ascii="仿宋_GB2312" w:hAnsi="仿宋_GB2312" w:cs="仿宋_GB2312" w:eastAsia="仿宋_GB2312"/>
              </w:rPr>
              <w:t>本项目主要材料技术参数中标记“★”的参数需求为实质性要求，供应商必须响应并满足的参数需求，并按照要求提供佐证材料，未标记“★”的技术参数，完全响应主要材料技术参数的得3分；技术参数每有1项参数负偏离的扣0.5分，扣完为止。 备注：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主要材料样品</w:t>
            </w:r>
          </w:p>
        </w:tc>
        <w:tc>
          <w:tcPr>
            <w:tcW w:type="dxa" w:w="2492"/>
          </w:tcPr>
          <w:p>
            <w:pPr>
              <w:pStyle w:val="null3"/>
            </w:pPr>
            <w:r>
              <w:rPr>
                <w:rFonts w:ascii="仿宋_GB2312" w:hAnsi="仿宋_GB2312" w:cs="仿宋_GB2312" w:eastAsia="仿宋_GB2312"/>
              </w:rPr>
              <w:t>供应商提供弹性丙烯酸面层样品，磋商小组根据样品的性能、材质、规格、气味、质量、颜色等方面进行综合评审：样品材质为弹性丙烯酸，规格尺寸完全符合采购文件技术要求；颜色均匀一致，无色差；表面平整光滑，无气泡、裂纹、杂质、起皮等缺陷；无刺激性异味，完全满足项目需求的得2分； 样品材质为弹性丙烯酸，规格尺寸基本符合技术要求（偏差在允许范围内）；颜色基本一致，存在轻微色差；表面存在少量细小气泡或轻微瑕疵，不影响整体使用功能；无明显刺激性异味，基本满足项目需求，存在轻微瑕疵的得1.5分； 样品材质为弹性丙烯酸，但规格尺寸存在明显偏差；颜色均匀性较差或色差较明显；表面瑕疵较明显（如较多气泡、轻微裂纹、少量杂质）；存在轻微异味；弹性或耐磨性能表现一般，部分满足项目需求，质量存在明显不足的得1分； 未提供的得0分； 备注： （1）样品要求尺寸不小于3mm； （2）样品递交时间：于响应文件递交时间截止时间前递交。 （3）样品递交地点：同响应文件递交地点。 （4）供应商应在竞争性磋商会议举行前充分考虑样品的装卸、搬运等相关问题。由于供应商提供的样品未能在竞争性磋商会议开始时间之前搬运到指定地点或提供的样品在过程中发生损坏、遗失等相关不利风险，均由供应商自行承担相关责任，采购人与采购代理机构概不负责。 （5）供应商须提供1个纸箱放置样品（纸箱外包装不得体现供应商名称、品牌商标及Logo）；于响应文件截止时间之前递交至采购代理机构指定地点，未按要求递交的样品将会被拒收。 （6）开标会议结束后所有供应商的样品留存；在发布结果公告后成交供应商将样品送至采购人处，由采购人保管封存，验收以样品为准，未中标单位得样品在结果公告发布之日起2个工作日内自行领取处置，本次采购对供应商的样品无补偿费。 （7）未提供或提供样品（样块）不全的不得分。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主要材料样品.docx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供应商针对本项目所选用的材料采用绿色环保、节能材料的；以上内容每提供一项得1分，最高得3分，不提供不计分。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绿色建材明细表.docx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已标价工程量清单(系统自动生成，无需填写)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详见附件：已标价工程量清单(系统自动生成，无需填写)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详见附件：绿色建材明细表.docx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详见附件：项目经理社保.docx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详见附件：主要材料样品.docx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