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56D1C">
      <w:pPr>
        <w:pStyle w:val="3"/>
        <w:snapToGrid w:val="0"/>
        <w:spacing w:before="0" w:beforeAutospacing="0" w:after="0" w:afterAutospacing="0" w:line="312" w:lineRule="auto"/>
        <w:jc w:val="center"/>
        <w:rPr>
          <w:rFonts w:ascii="宋体"/>
          <w:b/>
          <w:bCs/>
          <w:color w:val="auto"/>
          <w:sz w:val="40"/>
          <w:szCs w:val="40"/>
          <w:highlight w:val="none"/>
        </w:rPr>
      </w:pPr>
      <w:r>
        <w:rPr>
          <w:rFonts w:hint="eastAsia" w:ascii="宋体"/>
          <w:b/>
          <w:bCs/>
          <w:color w:val="auto"/>
          <w:sz w:val="40"/>
          <w:szCs w:val="40"/>
          <w:highlight w:val="none"/>
        </w:rPr>
        <w:t>西安建筑科技大学</w:t>
      </w:r>
    </w:p>
    <w:p w14:paraId="2EE795CD">
      <w:pPr>
        <w:pStyle w:val="3"/>
        <w:snapToGrid w:val="0"/>
        <w:spacing w:before="0" w:beforeAutospacing="0" w:after="0" w:afterAutospacing="0" w:line="312" w:lineRule="auto"/>
        <w:jc w:val="center"/>
        <w:rPr>
          <w:rFonts w:ascii="宋体"/>
          <w:b/>
          <w:bCs/>
          <w:color w:val="auto"/>
          <w:sz w:val="40"/>
          <w:szCs w:val="40"/>
          <w:highlight w:val="none"/>
        </w:rPr>
      </w:pPr>
      <w:r>
        <w:rPr>
          <w:rFonts w:hint="eastAsia" w:ascii="宋体"/>
          <w:b/>
          <w:bCs/>
          <w:color w:val="auto"/>
          <w:sz w:val="40"/>
          <w:szCs w:val="40"/>
          <w:highlight w:val="none"/>
        </w:rPr>
        <w:t>草堂校区体育场馆提升改造项目</w:t>
      </w:r>
    </w:p>
    <w:p w14:paraId="056AB005">
      <w:pPr>
        <w:spacing w:before="0" w:beforeAutospacing="0" w:after="0" w:afterAutospacing="0"/>
        <w:rPr>
          <w:color w:val="auto"/>
          <w:highlight w:val="none"/>
        </w:rPr>
      </w:pPr>
    </w:p>
    <w:p w14:paraId="68EF5B6C">
      <w:pPr>
        <w:spacing w:before="0" w:beforeAutospacing="0" w:after="0" w:afterAutospacing="0"/>
        <w:rPr>
          <w:color w:val="auto"/>
          <w:highlight w:val="none"/>
        </w:rPr>
      </w:pPr>
    </w:p>
    <w:p w14:paraId="4193337F">
      <w:pPr>
        <w:spacing w:before="0" w:beforeAutospacing="0" w:after="0" w:afterAutospacing="0"/>
        <w:rPr>
          <w:color w:val="auto"/>
          <w:highlight w:val="none"/>
        </w:rPr>
      </w:pPr>
    </w:p>
    <w:p w14:paraId="472B733E">
      <w:pPr>
        <w:spacing w:before="0" w:beforeAutospacing="0" w:after="0" w:afterAutospacing="0"/>
        <w:rPr>
          <w:color w:val="auto"/>
          <w:highlight w:val="none"/>
        </w:rPr>
      </w:pPr>
    </w:p>
    <w:p w14:paraId="68F0DEC6">
      <w:pPr>
        <w:spacing w:before="0" w:beforeAutospacing="0" w:after="0" w:afterAutospacing="0"/>
        <w:rPr>
          <w:color w:val="auto"/>
          <w:highlight w:val="none"/>
        </w:rPr>
      </w:pPr>
    </w:p>
    <w:p w14:paraId="7B9F362E">
      <w:pPr>
        <w:spacing w:before="0" w:beforeAutospacing="0" w:after="0" w:afterAutospacing="0"/>
        <w:rPr>
          <w:color w:val="auto"/>
          <w:highlight w:val="none"/>
        </w:rPr>
      </w:pPr>
    </w:p>
    <w:p w14:paraId="25EE8444">
      <w:pPr>
        <w:spacing w:before="0" w:beforeAutospacing="0" w:after="0" w:afterAutospacing="0"/>
        <w:rPr>
          <w:color w:val="auto"/>
          <w:highlight w:val="none"/>
        </w:rPr>
      </w:pPr>
    </w:p>
    <w:p w14:paraId="4A54DA6D">
      <w:pPr>
        <w:spacing w:before="0" w:beforeAutospacing="0" w:after="0" w:afterAutospacing="0"/>
        <w:rPr>
          <w:color w:val="auto"/>
          <w:highlight w:val="none"/>
        </w:rPr>
      </w:pPr>
    </w:p>
    <w:p w14:paraId="344C6A81">
      <w:pPr>
        <w:spacing w:before="0" w:beforeAutospacing="0" w:after="0" w:afterAutospacing="0"/>
        <w:rPr>
          <w:color w:val="auto"/>
          <w:highlight w:val="none"/>
        </w:rPr>
      </w:pPr>
    </w:p>
    <w:p w14:paraId="729EA7B5">
      <w:pPr>
        <w:spacing w:before="0" w:beforeAutospacing="0" w:after="0" w:afterAutospacing="0"/>
        <w:rPr>
          <w:color w:val="auto"/>
          <w:highlight w:val="none"/>
        </w:rPr>
      </w:pPr>
    </w:p>
    <w:p w14:paraId="4B94CA95">
      <w:pPr>
        <w:spacing w:before="0" w:beforeAutospacing="0" w:after="0" w:afterAutospacing="0"/>
        <w:rPr>
          <w:color w:val="auto"/>
          <w:highlight w:val="none"/>
        </w:rPr>
      </w:pPr>
    </w:p>
    <w:p w14:paraId="262C8B79">
      <w:pPr>
        <w:adjustRightInd w:val="0"/>
        <w:snapToGrid w:val="0"/>
        <w:spacing w:before="0" w:beforeAutospacing="0" w:after="0" w:afterAutospacing="0" w:line="360" w:lineRule="auto"/>
        <w:jc w:val="center"/>
        <w:rPr>
          <w:b/>
          <w:color w:val="auto"/>
          <w:sz w:val="56"/>
          <w:szCs w:val="24"/>
          <w:highlight w:val="none"/>
        </w:rPr>
      </w:pPr>
      <w:r>
        <w:rPr>
          <w:rFonts w:hint="eastAsia"/>
          <w:b/>
          <w:color w:val="auto"/>
          <w:sz w:val="56"/>
          <w:szCs w:val="24"/>
          <w:highlight w:val="none"/>
        </w:rPr>
        <w:t>建设工程施工合同</w:t>
      </w:r>
    </w:p>
    <w:p w14:paraId="15EF7687">
      <w:pPr>
        <w:spacing w:before="0" w:beforeAutospacing="0" w:after="0" w:afterAutospacing="0"/>
        <w:rPr>
          <w:color w:val="auto"/>
          <w:highlight w:val="none"/>
        </w:rPr>
      </w:pPr>
    </w:p>
    <w:p w14:paraId="1EA2DD28">
      <w:pPr>
        <w:spacing w:before="0" w:beforeAutospacing="0" w:after="0" w:afterAutospacing="0"/>
        <w:rPr>
          <w:color w:val="auto"/>
          <w:highlight w:val="none"/>
        </w:rPr>
      </w:pPr>
    </w:p>
    <w:p w14:paraId="690AFF47">
      <w:pPr>
        <w:spacing w:before="0" w:beforeAutospacing="0" w:after="0" w:afterAutospacing="0"/>
        <w:rPr>
          <w:color w:val="auto"/>
          <w:highlight w:val="none"/>
        </w:rPr>
      </w:pPr>
    </w:p>
    <w:p w14:paraId="65F02606">
      <w:pPr>
        <w:spacing w:before="0" w:beforeAutospacing="0" w:after="0" w:afterAutospacing="0"/>
        <w:rPr>
          <w:color w:val="auto"/>
          <w:highlight w:val="none"/>
        </w:rPr>
      </w:pPr>
    </w:p>
    <w:p w14:paraId="48EFAF36">
      <w:pPr>
        <w:spacing w:before="0" w:beforeAutospacing="0" w:after="0" w:afterAutospacing="0"/>
        <w:rPr>
          <w:color w:val="auto"/>
          <w:highlight w:val="none"/>
        </w:rPr>
      </w:pPr>
    </w:p>
    <w:p w14:paraId="2E218E33">
      <w:pPr>
        <w:spacing w:before="0" w:beforeAutospacing="0" w:after="0" w:afterAutospacing="0"/>
        <w:rPr>
          <w:color w:val="auto"/>
          <w:highlight w:val="none"/>
        </w:rPr>
      </w:pPr>
    </w:p>
    <w:p w14:paraId="5858FD5D">
      <w:pPr>
        <w:spacing w:before="0" w:beforeAutospacing="0" w:after="0" w:afterAutospacing="0"/>
        <w:rPr>
          <w:color w:val="auto"/>
          <w:highlight w:val="none"/>
        </w:rPr>
      </w:pPr>
    </w:p>
    <w:p w14:paraId="68FCB385">
      <w:pPr>
        <w:spacing w:before="0" w:beforeAutospacing="0" w:after="0" w:afterAutospacing="0"/>
        <w:rPr>
          <w:color w:val="auto"/>
          <w:highlight w:val="none"/>
        </w:rPr>
      </w:pPr>
    </w:p>
    <w:p w14:paraId="417FF43F">
      <w:pPr>
        <w:spacing w:before="0" w:beforeAutospacing="0" w:after="0" w:afterAutospacing="0"/>
        <w:rPr>
          <w:color w:val="auto"/>
          <w:highlight w:val="none"/>
        </w:rPr>
      </w:pPr>
    </w:p>
    <w:p w14:paraId="64C9E32F">
      <w:pPr>
        <w:spacing w:before="0" w:beforeAutospacing="0" w:after="0" w:afterAutospacing="0"/>
        <w:rPr>
          <w:color w:val="auto"/>
          <w:highlight w:val="none"/>
        </w:rPr>
      </w:pPr>
    </w:p>
    <w:p w14:paraId="301D7B29">
      <w:pPr>
        <w:spacing w:before="0" w:beforeAutospacing="0" w:after="0" w:afterAutospacing="0"/>
        <w:rPr>
          <w:color w:val="auto"/>
          <w:highlight w:val="none"/>
        </w:rPr>
      </w:pPr>
    </w:p>
    <w:p w14:paraId="760A9BBF">
      <w:pPr>
        <w:spacing w:before="0" w:beforeAutospacing="0" w:after="0" w:afterAutospacing="0" w:line="408" w:lineRule="auto"/>
        <w:ind w:firstLine="2249" w:firstLineChars="700"/>
        <w:rPr>
          <w:b/>
          <w:color w:val="auto"/>
          <w:kern w:val="0"/>
          <w:sz w:val="32"/>
          <w:szCs w:val="32"/>
          <w:highlight w:val="none"/>
        </w:rPr>
      </w:pPr>
      <w:r>
        <w:rPr>
          <w:rFonts w:hint="eastAsia" w:ascii="宋体" w:hAnsi="宋体"/>
          <w:b/>
          <w:color w:val="auto"/>
          <w:kern w:val="0"/>
          <w:sz w:val="32"/>
          <w:szCs w:val="32"/>
          <w:highlight w:val="none"/>
        </w:rPr>
        <w:t>甲方：</w:t>
      </w:r>
      <w:r>
        <w:rPr>
          <w:rFonts w:hint="eastAsia" w:ascii="宋体" w:hAnsi="宋体"/>
          <w:b/>
          <w:color w:val="auto"/>
          <w:kern w:val="0"/>
          <w:sz w:val="32"/>
          <w:szCs w:val="32"/>
          <w:highlight w:val="none"/>
          <w:u w:val="single"/>
        </w:rPr>
        <w:t>西安建筑科技大学</w:t>
      </w:r>
    </w:p>
    <w:p w14:paraId="1005F603">
      <w:pPr>
        <w:spacing w:before="0" w:beforeAutospacing="0" w:after="0" w:afterAutospacing="0" w:line="408" w:lineRule="auto"/>
        <w:ind w:firstLine="2249" w:firstLineChars="700"/>
        <w:rPr>
          <w:rFonts w:hint="eastAsia" w:ascii="宋体" w:hAnsi="宋体"/>
          <w:b/>
          <w:color w:val="auto"/>
          <w:kern w:val="0"/>
          <w:sz w:val="32"/>
          <w:szCs w:val="32"/>
          <w:highlight w:val="none"/>
        </w:rPr>
      </w:pPr>
      <w:r>
        <w:rPr>
          <w:rFonts w:hint="eastAsia" w:ascii="宋体" w:hAnsi="宋体"/>
          <w:b/>
          <w:color w:val="auto"/>
          <w:kern w:val="0"/>
          <w:sz w:val="32"/>
          <w:szCs w:val="32"/>
          <w:highlight w:val="none"/>
        </w:rPr>
        <w:t>乙方：</w:t>
      </w:r>
      <w:r>
        <w:rPr>
          <w:rFonts w:hint="eastAsia" w:ascii="宋体" w:hAnsi="宋体"/>
          <w:b/>
          <w:color w:val="auto"/>
          <w:kern w:val="0"/>
          <w:sz w:val="32"/>
          <w:szCs w:val="32"/>
          <w:highlight w:val="none"/>
          <w:u w:val="single"/>
        </w:rPr>
        <w:t xml:space="preserve">                </w:t>
      </w:r>
    </w:p>
    <w:p w14:paraId="4FBB7BE0">
      <w:pPr>
        <w:spacing w:before="0" w:beforeAutospacing="0" w:after="0" w:afterAutospacing="0" w:line="408" w:lineRule="auto"/>
        <w:ind w:firstLine="2570" w:firstLineChars="800"/>
        <w:rPr>
          <w:rFonts w:hint="eastAsia" w:ascii="宋体" w:hAnsi="宋体"/>
          <w:b/>
          <w:color w:val="auto"/>
          <w:kern w:val="0"/>
          <w:sz w:val="32"/>
          <w:szCs w:val="32"/>
          <w:highlight w:val="none"/>
        </w:rPr>
      </w:pPr>
      <w:r>
        <w:rPr>
          <w:rFonts w:hint="eastAsia" w:ascii="宋体" w:hAnsi="宋体"/>
          <w:b/>
          <w:color w:val="auto"/>
          <w:kern w:val="0"/>
          <w:sz w:val="32"/>
          <w:szCs w:val="32"/>
          <w:highlight w:val="none"/>
          <w:u w:val="single"/>
        </w:rPr>
        <w:t xml:space="preserve">     </w:t>
      </w:r>
      <w:r>
        <w:rPr>
          <w:rFonts w:hint="eastAsia" w:ascii="宋体" w:hAnsi="宋体"/>
          <w:b/>
          <w:color w:val="auto"/>
          <w:kern w:val="0"/>
          <w:sz w:val="32"/>
          <w:szCs w:val="32"/>
          <w:highlight w:val="none"/>
        </w:rPr>
        <w:t>年</w:t>
      </w:r>
      <w:r>
        <w:rPr>
          <w:rFonts w:hint="eastAsia" w:ascii="宋体" w:hAnsi="宋体"/>
          <w:b/>
          <w:color w:val="auto"/>
          <w:kern w:val="0"/>
          <w:sz w:val="32"/>
          <w:szCs w:val="32"/>
          <w:highlight w:val="none"/>
          <w:u w:val="single"/>
        </w:rPr>
        <w:t xml:space="preserve">    </w:t>
      </w:r>
      <w:r>
        <w:rPr>
          <w:rFonts w:hint="eastAsia" w:ascii="宋体" w:hAnsi="宋体"/>
          <w:b/>
          <w:color w:val="auto"/>
          <w:kern w:val="0"/>
          <w:sz w:val="32"/>
          <w:szCs w:val="32"/>
          <w:highlight w:val="none"/>
        </w:rPr>
        <w:t>月</w:t>
      </w:r>
      <w:r>
        <w:rPr>
          <w:rFonts w:hint="eastAsia" w:ascii="宋体" w:hAnsi="宋体"/>
          <w:b/>
          <w:color w:val="auto"/>
          <w:kern w:val="0"/>
          <w:sz w:val="32"/>
          <w:szCs w:val="32"/>
          <w:highlight w:val="none"/>
          <w:u w:val="single"/>
        </w:rPr>
        <w:t xml:space="preserve">    </w:t>
      </w:r>
      <w:r>
        <w:rPr>
          <w:rFonts w:hint="eastAsia" w:ascii="宋体" w:hAnsi="宋体"/>
          <w:b/>
          <w:color w:val="auto"/>
          <w:kern w:val="0"/>
          <w:sz w:val="32"/>
          <w:szCs w:val="32"/>
          <w:highlight w:val="none"/>
        </w:rPr>
        <w:t>日</w:t>
      </w:r>
    </w:p>
    <w:p w14:paraId="668C0F59">
      <w:pPr>
        <w:pStyle w:val="2"/>
        <w:spacing w:before="0" w:beforeAutospacing="0" w:after="0" w:afterAutospacing="0" w:line="312" w:lineRule="auto"/>
        <w:rPr>
          <w:color w:val="auto"/>
          <w:highlight w:val="none"/>
        </w:rPr>
        <w:sectPr>
          <w:headerReference r:id="rId4" w:type="default"/>
          <w:footerReference r:id="rId5" w:type="default"/>
          <w:pgSz w:w="11960" w:h="16880"/>
          <w:pgMar w:top="1440" w:right="1701" w:bottom="1440" w:left="1701" w:header="850" w:footer="992" w:gutter="0"/>
          <w:cols w:space="720" w:num="1"/>
        </w:sectPr>
      </w:pPr>
    </w:p>
    <w:p w14:paraId="2635B468">
      <w:pPr>
        <w:pStyle w:val="2"/>
        <w:spacing w:before="0" w:beforeAutospacing="0" w:after="0" w:afterAutospacing="0" w:line="360" w:lineRule="auto"/>
        <w:jc w:val="center"/>
        <w:rPr>
          <w:color w:val="auto"/>
          <w:highlight w:val="none"/>
        </w:rPr>
      </w:pPr>
      <w:r>
        <w:rPr>
          <w:rFonts w:hint="eastAsia"/>
          <w:color w:val="auto"/>
          <w:highlight w:val="none"/>
        </w:rPr>
        <w:t>第一部分  协议书</w:t>
      </w:r>
    </w:p>
    <w:p w14:paraId="7556C2E9">
      <w:pPr>
        <w:widowControl/>
        <w:wordWrap w:val="0"/>
        <w:spacing w:before="0" w:beforeAutospacing="0" w:after="0" w:afterAutospacing="0" w:line="360" w:lineRule="auto"/>
        <w:ind w:firstLine="480" w:firstLineChars="20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甲方（全称）：</w:t>
      </w:r>
      <w:r>
        <w:rPr>
          <w:rFonts w:hint="eastAsia" w:ascii="宋体" w:hAnsi="宋体" w:cs="宋体"/>
          <w:color w:val="auto"/>
          <w:kern w:val="0"/>
          <w:sz w:val="24"/>
          <w:szCs w:val="24"/>
          <w:highlight w:val="none"/>
          <w:u w:val="single"/>
        </w:rPr>
        <w:t xml:space="preserve">  西安建筑科技大学   </w:t>
      </w:r>
    </w:p>
    <w:p w14:paraId="1C804947">
      <w:pPr>
        <w:widowControl/>
        <w:wordWrap w:val="0"/>
        <w:spacing w:before="0" w:beforeAutospacing="0" w:after="0" w:afterAutospacing="0" w:line="360" w:lineRule="auto"/>
        <w:ind w:firstLine="480" w:firstLineChars="20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乙方（全称）：</w:t>
      </w:r>
      <w:r>
        <w:rPr>
          <w:rFonts w:hint="eastAsia" w:ascii="宋体" w:hAnsi="宋体" w:cs="宋体"/>
          <w:color w:val="auto"/>
          <w:kern w:val="0"/>
          <w:sz w:val="24"/>
          <w:szCs w:val="24"/>
          <w:highlight w:val="none"/>
          <w:u w:val="single"/>
        </w:rPr>
        <w:t xml:space="preserve">                     </w:t>
      </w:r>
    </w:p>
    <w:p w14:paraId="0087DA2D">
      <w:pPr>
        <w:widowControl/>
        <w:wordWrap w:val="0"/>
        <w:spacing w:before="0" w:beforeAutospacing="0" w:after="0" w:afterAutospacing="0" w:line="360" w:lineRule="auto"/>
        <w:ind w:firstLine="480" w:firstLineChars="20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依照《中华人民共和国民法典》《中华人民共和国建筑法》及其他有关法律、行政法规，遵循平等、自愿、公平和诚实信用的原则，双方就本建设工程施工协商一致，订立本合同。</w:t>
      </w:r>
    </w:p>
    <w:p w14:paraId="76C9985B">
      <w:pPr>
        <w:widowControl/>
        <w:wordWrap w:val="0"/>
        <w:spacing w:before="0" w:beforeAutospacing="0" w:after="0" w:afterAutospacing="0" w:line="360" w:lineRule="auto"/>
        <w:ind w:firstLine="482" w:firstLineChars="200"/>
        <w:jc w:val="left"/>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一、工程概况</w:t>
      </w:r>
    </w:p>
    <w:p w14:paraId="2EE6DB1D">
      <w:pPr>
        <w:widowControl/>
        <w:wordWrap w:val="0"/>
        <w:spacing w:before="0" w:beforeAutospacing="0" w:after="0" w:afterAutospacing="0" w:line="360" w:lineRule="auto"/>
        <w:ind w:left="-178" w:leftChars="-85" w:firstLine="660" w:firstLineChars="275"/>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工程名称：</w:t>
      </w:r>
      <w:r>
        <w:rPr>
          <w:rFonts w:hint="eastAsia" w:ascii="宋体" w:hAnsi="宋体" w:cs="宋体"/>
          <w:color w:val="auto"/>
          <w:kern w:val="0"/>
          <w:sz w:val="24"/>
          <w:szCs w:val="24"/>
          <w:highlight w:val="none"/>
          <w:u w:val="single"/>
        </w:rPr>
        <w:t>西安建筑科技大学草堂校区体育场馆提升改造项目</w:t>
      </w:r>
    </w:p>
    <w:p w14:paraId="6970B6E2">
      <w:pPr>
        <w:widowControl/>
        <w:wordWrap w:val="0"/>
        <w:spacing w:before="0" w:beforeAutospacing="0" w:after="0" w:afterAutospacing="0" w:line="360" w:lineRule="auto"/>
        <w:ind w:firstLine="480" w:firstLineChars="20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工程地点：</w:t>
      </w:r>
      <w:r>
        <w:rPr>
          <w:rFonts w:hint="eastAsia" w:ascii="宋体" w:hAnsi="宋体" w:cs="宋体"/>
          <w:color w:val="auto"/>
          <w:kern w:val="0"/>
          <w:sz w:val="24"/>
          <w:szCs w:val="24"/>
          <w:highlight w:val="none"/>
          <w:u w:val="single"/>
        </w:rPr>
        <w:t>西安建筑科技大学草堂校区</w:t>
      </w:r>
    </w:p>
    <w:p w14:paraId="2424E3A8">
      <w:pPr>
        <w:widowControl/>
        <w:wordWrap w:val="0"/>
        <w:spacing w:before="0" w:beforeAutospacing="0" w:after="0" w:afterAutospacing="0" w:line="360" w:lineRule="auto"/>
        <w:ind w:firstLine="482" w:firstLineChars="200"/>
        <w:jc w:val="left"/>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二、工程承包范围</w:t>
      </w:r>
    </w:p>
    <w:p w14:paraId="363E588F">
      <w:pPr>
        <w:widowControl/>
        <w:wordWrap w:val="0"/>
        <w:spacing w:before="0" w:beforeAutospacing="0" w:after="0" w:afterAutospacing="0" w:line="360" w:lineRule="auto"/>
        <w:ind w:firstLine="480" w:firstLineChars="200"/>
        <w:jc w:val="left"/>
        <w:rPr>
          <w:rFonts w:hint="eastAsia" w:ascii="宋体" w:hAnsi="宋体" w:cs="宋体"/>
          <w:color w:val="auto"/>
          <w:kern w:val="0"/>
          <w:sz w:val="24"/>
          <w:szCs w:val="24"/>
          <w:highlight w:val="none"/>
          <w:u w:val="single"/>
        </w:rPr>
      </w:pPr>
      <w:r>
        <w:rPr>
          <w:rFonts w:hint="eastAsia" w:ascii="宋体" w:hAnsi="宋体" w:cs="宋体"/>
          <w:color w:val="auto"/>
          <w:kern w:val="0"/>
          <w:sz w:val="24"/>
          <w:szCs w:val="24"/>
          <w:highlight w:val="none"/>
        </w:rPr>
        <w:t>承包范围：</w:t>
      </w:r>
      <w:r>
        <w:rPr>
          <w:rFonts w:hint="eastAsia" w:ascii="宋体" w:hAnsi="宋体" w:cs="宋体"/>
          <w:color w:val="auto"/>
          <w:kern w:val="0"/>
          <w:sz w:val="24"/>
          <w:szCs w:val="24"/>
          <w:highlight w:val="none"/>
          <w:u w:val="single"/>
        </w:rPr>
        <w:t>包工包料</w:t>
      </w:r>
    </w:p>
    <w:p w14:paraId="10D82617">
      <w:pPr>
        <w:widowControl/>
        <w:wordWrap w:val="0"/>
        <w:spacing w:before="0" w:beforeAutospacing="0" w:after="0" w:afterAutospacing="0"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三、合同工期及履约保证金</w:t>
      </w:r>
    </w:p>
    <w:p w14:paraId="4F3A066A">
      <w:pPr>
        <w:widowControl/>
        <w:wordWrap w:val="0"/>
        <w:spacing w:before="0" w:beforeAutospacing="0" w:after="0" w:afterAutospacing="0" w:line="360" w:lineRule="auto"/>
        <w:ind w:left="-178" w:leftChars="-85" w:firstLine="660" w:firstLineChars="275"/>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1.总日历天数</w:t>
      </w:r>
      <w:r>
        <w:rPr>
          <w:rFonts w:hint="eastAsia" w:ascii="宋体" w:hAnsi="宋体" w:cs="宋体"/>
          <w:color w:val="auto"/>
          <w:kern w:val="0"/>
          <w:sz w:val="24"/>
          <w:szCs w:val="24"/>
          <w:highlight w:val="none"/>
          <w:u w:val="single"/>
        </w:rPr>
        <w:t xml:space="preserve"> 30 </w:t>
      </w:r>
      <w:r>
        <w:rPr>
          <w:rFonts w:hint="eastAsia" w:ascii="宋体" w:hAnsi="宋体" w:cs="宋体"/>
          <w:color w:val="auto"/>
          <w:kern w:val="0"/>
          <w:sz w:val="24"/>
          <w:szCs w:val="24"/>
          <w:highlight w:val="none"/>
        </w:rPr>
        <w:t>天</w:t>
      </w:r>
    </w:p>
    <w:p w14:paraId="0014E3FB">
      <w:pPr>
        <w:widowControl/>
        <w:wordWrap w:val="0"/>
        <w:spacing w:before="0" w:beforeAutospacing="0" w:after="0" w:afterAutospacing="0" w:line="360" w:lineRule="auto"/>
        <w:ind w:left="-178" w:leftChars="-85" w:firstLine="660" w:firstLineChars="275"/>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计划开工日期：</w:t>
      </w:r>
      <w:r>
        <w:rPr>
          <w:rFonts w:hint="eastAsia" w:ascii="宋体" w:hAnsi="宋体" w:cs="宋体"/>
          <w:color w:val="auto"/>
          <w:kern w:val="0"/>
          <w:sz w:val="24"/>
          <w:szCs w:val="24"/>
          <w:highlight w:val="none"/>
          <w:u w:val="single"/>
        </w:rPr>
        <w:t xml:space="preserve"> 2026 </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日</w:t>
      </w:r>
    </w:p>
    <w:p w14:paraId="3C7AD4FF">
      <w:pPr>
        <w:widowControl/>
        <w:wordWrap w:val="0"/>
        <w:spacing w:before="0" w:beforeAutospacing="0" w:after="0" w:afterAutospacing="0" w:line="360" w:lineRule="auto"/>
        <w:ind w:left="-178" w:leftChars="-85" w:firstLine="660" w:firstLineChars="275"/>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计划竣工日期：</w:t>
      </w:r>
      <w:r>
        <w:rPr>
          <w:rFonts w:hint="eastAsia" w:ascii="宋体" w:hAnsi="宋体" w:cs="宋体"/>
          <w:color w:val="auto"/>
          <w:kern w:val="0"/>
          <w:sz w:val="24"/>
          <w:szCs w:val="24"/>
          <w:highlight w:val="none"/>
          <w:u w:val="single"/>
        </w:rPr>
        <w:t xml:space="preserve"> 2026 </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日 </w:t>
      </w:r>
    </w:p>
    <w:p w14:paraId="4F4A190C">
      <w:pPr>
        <w:widowControl/>
        <w:wordWrap w:val="0"/>
        <w:spacing w:before="0" w:beforeAutospacing="0" w:after="0" w:afterAutospacing="0" w:line="360" w:lineRule="auto"/>
        <w:ind w:left="-178" w:leftChars="-85" w:firstLine="660" w:firstLineChars="275"/>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具体开工日期以甲方发出的开工令为准。</w:t>
      </w:r>
    </w:p>
    <w:p w14:paraId="68AFC3BD">
      <w:pPr>
        <w:widowControl/>
        <w:wordWrap w:val="0"/>
        <w:spacing w:before="0" w:beforeAutospacing="0" w:after="0" w:afterAutospacing="0" w:line="360" w:lineRule="auto"/>
        <w:ind w:left="-178" w:leftChars="-85" w:firstLine="660" w:firstLineChars="275"/>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2.履约保证金：</w:t>
      </w:r>
      <w:r>
        <w:rPr>
          <w:rFonts w:hint="eastAsia" w:ascii="宋体" w:hAnsi="宋体" w:cs="宋体"/>
          <w:color w:val="auto"/>
          <w:kern w:val="0"/>
          <w:sz w:val="24"/>
          <w:szCs w:val="24"/>
          <w:highlight w:val="none"/>
          <w:u w:val="single"/>
        </w:rPr>
        <w:t>乙方凭成交通知书向甲方缴纳成交金额的5%作为履约保证金</w:t>
      </w:r>
      <w:r>
        <w:rPr>
          <w:rFonts w:hint="eastAsia" w:ascii="宋体" w:hAnsi="宋体" w:cs="宋体"/>
          <w:color w:val="auto"/>
          <w:kern w:val="0"/>
          <w:sz w:val="24"/>
          <w:szCs w:val="24"/>
          <w:highlight w:val="none"/>
        </w:rPr>
        <w:t>。</w:t>
      </w:r>
    </w:p>
    <w:p w14:paraId="39F51675">
      <w:pPr>
        <w:widowControl/>
        <w:wordWrap w:val="0"/>
        <w:spacing w:before="0" w:beforeAutospacing="0" w:after="0" w:afterAutospacing="0" w:line="360" w:lineRule="auto"/>
        <w:ind w:left="-178" w:leftChars="-85" w:firstLine="663" w:firstLineChars="275"/>
        <w:jc w:val="left"/>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四、质量标准</w:t>
      </w:r>
    </w:p>
    <w:p w14:paraId="0A6B5675">
      <w:pPr>
        <w:wordWrap w:val="0"/>
        <w:spacing w:before="0" w:beforeAutospacing="0" w:after="0" w:afterAutospacing="0" w:line="360" w:lineRule="auto"/>
        <w:ind w:firstLine="480" w:firstLineChars="200"/>
        <w:rPr>
          <w:rFonts w:hint="eastAsia" w:ascii="宋体" w:hAnsi="宋体" w:cs="宋体"/>
          <w:color w:val="auto"/>
          <w:kern w:val="0"/>
          <w:sz w:val="24"/>
          <w:szCs w:val="24"/>
          <w:highlight w:val="none"/>
          <w:u w:val="single"/>
        </w:rPr>
      </w:pPr>
      <w:r>
        <w:rPr>
          <w:rFonts w:hint="eastAsia" w:ascii="宋体" w:hAnsi="宋体" w:cs="宋体"/>
          <w:color w:val="auto"/>
          <w:kern w:val="0"/>
          <w:sz w:val="24"/>
          <w:highlight w:val="none"/>
        </w:rPr>
        <w:t>工程质量标准：</w:t>
      </w:r>
      <w:r>
        <w:rPr>
          <w:rFonts w:hint="eastAsia" w:ascii="宋体" w:hAnsi="宋体" w:cs="宋体"/>
          <w:color w:val="auto"/>
          <w:kern w:val="0"/>
          <w:sz w:val="24"/>
          <w:highlight w:val="none"/>
          <w:u w:val="single"/>
        </w:rPr>
        <w:t>工程验收标准执行国家现行的有关规范及标准，本工程质量要求为合格</w:t>
      </w:r>
      <w:r>
        <w:rPr>
          <w:rFonts w:hint="eastAsia" w:ascii="宋体" w:hAnsi="宋体" w:cs="宋体"/>
          <w:color w:val="auto"/>
          <w:kern w:val="0"/>
          <w:sz w:val="24"/>
          <w:szCs w:val="24"/>
          <w:highlight w:val="none"/>
        </w:rPr>
        <w:t>。</w:t>
      </w:r>
    </w:p>
    <w:p w14:paraId="52E072B6">
      <w:pPr>
        <w:widowControl/>
        <w:wordWrap w:val="0"/>
        <w:spacing w:before="0" w:beforeAutospacing="0" w:after="0" w:afterAutospacing="0" w:line="360" w:lineRule="auto"/>
        <w:ind w:firstLine="482" w:firstLineChars="200"/>
        <w:jc w:val="left"/>
        <w:rPr>
          <w:rFonts w:hint="eastAsia" w:ascii="宋体" w:hAnsi="宋体" w:cs="宋体"/>
          <w:color w:val="auto"/>
          <w:kern w:val="0"/>
          <w:sz w:val="24"/>
          <w:highlight w:val="none"/>
        </w:rPr>
      </w:pPr>
      <w:r>
        <w:rPr>
          <w:rFonts w:hint="eastAsia" w:ascii="宋体" w:hAnsi="宋体" w:cs="宋体"/>
          <w:b/>
          <w:color w:val="auto"/>
          <w:kern w:val="0"/>
          <w:sz w:val="24"/>
          <w:highlight w:val="none"/>
        </w:rPr>
        <w:t>五、合同总价</w:t>
      </w:r>
    </w:p>
    <w:p w14:paraId="079D9067">
      <w:pPr>
        <w:widowControl/>
        <w:wordWrap w:val="0"/>
        <w:spacing w:before="0" w:beforeAutospacing="0" w:after="0" w:afterAutospacing="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合同总价（暂定）（大写）：</w:t>
      </w:r>
      <w:r>
        <w:rPr>
          <w:rFonts w:hint="eastAsia" w:ascii="宋体" w:hAnsi="宋体" w:cs="宋体"/>
          <w:color w:val="auto"/>
          <w:kern w:val="0"/>
          <w:sz w:val="24"/>
          <w:highlight w:val="none"/>
          <w:u w:val="single"/>
        </w:rPr>
        <w:t xml:space="preserve">         (人民币)</w:t>
      </w:r>
      <w:r>
        <w:rPr>
          <w:rFonts w:hint="eastAsia" w:ascii="宋体" w:hAnsi="宋体" w:cs="宋体"/>
          <w:color w:val="auto"/>
          <w:kern w:val="0"/>
          <w:sz w:val="24"/>
          <w:highlight w:val="none"/>
        </w:rPr>
        <w:t>，（小写）</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42B9828E">
      <w:pPr>
        <w:widowControl/>
        <w:wordWrap w:val="0"/>
        <w:spacing w:before="0" w:beforeAutospacing="0" w:after="0" w:afterAutospacing="0"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六、组成合同的文件</w:t>
      </w:r>
    </w:p>
    <w:p w14:paraId="61D251D5">
      <w:pPr>
        <w:widowControl/>
        <w:wordWrap w:val="0"/>
        <w:spacing w:before="0" w:beforeAutospacing="0" w:after="0" w:afterAutospacing="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组成本合同的文件包括：</w:t>
      </w:r>
    </w:p>
    <w:p w14:paraId="5C9A46D2">
      <w:pPr>
        <w:widowControl/>
        <w:wordWrap w:val="0"/>
        <w:spacing w:before="0" w:beforeAutospacing="0" w:after="0" w:afterAutospacing="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1.本合同协议书</w:t>
      </w:r>
    </w:p>
    <w:p w14:paraId="259BDC74">
      <w:pPr>
        <w:widowControl/>
        <w:wordWrap w:val="0"/>
        <w:spacing w:before="0" w:beforeAutospacing="0" w:after="0" w:afterAutospacing="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2.本合同专用条款</w:t>
      </w:r>
    </w:p>
    <w:p w14:paraId="676512C6">
      <w:pPr>
        <w:widowControl/>
        <w:wordWrap w:val="0"/>
        <w:spacing w:before="0" w:beforeAutospacing="0" w:after="0" w:afterAutospacing="0" w:line="360" w:lineRule="auto"/>
        <w:ind w:firstLine="480" w:firstLineChars="200"/>
        <w:jc w:val="left"/>
        <w:rPr>
          <w:rFonts w:hint="eastAsia" w:ascii="宋体" w:hAnsi="宋体" w:cs="宋体"/>
          <w:b/>
          <w:bCs/>
          <w:color w:val="auto"/>
          <w:kern w:val="0"/>
          <w:sz w:val="24"/>
          <w:highlight w:val="none"/>
        </w:rPr>
      </w:pPr>
      <w:r>
        <w:rPr>
          <w:rFonts w:hint="eastAsia" w:ascii="宋体" w:hAnsi="宋体" w:cs="宋体"/>
          <w:color w:val="auto"/>
          <w:kern w:val="0"/>
          <w:sz w:val="24"/>
          <w:highlight w:val="none"/>
        </w:rPr>
        <w:t>3.本合同通用条款</w:t>
      </w:r>
    </w:p>
    <w:p w14:paraId="2B8E1E75">
      <w:pPr>
        <w:widowControl/>
        <w:wordWrap w:val="0"/>
        <w:spacing w:before="0" w:beforeAutospacing="0" w:after="0" w:afterAutospacing="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4.成交通知书</w:t>
      </w:r>
    </w:p>
    <w:p w14:paraId="063330E5">
      <w:pPr>
        <w:widowControl/>
        <w:wordWrap w:val="0"/>
        <w:spacing w:before="0" w:beforeAutospacing="0" w:after="0" w:afterAutospacing="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5.投标书、工程报价单或预算书及其附件</w:t>
      </w:r>
    </w:p>
    <w:p w14:paraId="74E7721E">
      <w:pPr>
        <w:widowControl/>
        <w:wordWrap w:val="0"/>
        <w:spacing w:before="0" w:beforeAutospacing="0" w:after="0" w:afterAutospacing="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6.采购文件、答疑纪要及工程量清单</w:t>
      </w:r>
    </w:p>
    <w:p w14:paraId="6E11DA30">
      <w:pPr>
        <w:widowControl/>
        <w:wordWrap w:val="0"/>
        <w:spacing w:before="0" w:beforeAutospacing="0" w:after="0" w:afterAutospacing="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7.标准、规范及有关技术文件</w:t>
      </w:r>
    </w:p>
    <w:p w14:paraId="3DEC55DA">
      <w:pPr>
        <w:widowControl/>
        <w:wordWrap w:val="0"/>
        <w:spacing w:before="0" w:beforeAutospacing="0" w:after="0" w:afterAutospacing="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8.双方为履行本合同的有关洽商、变更等书面协议、文件，视为本合同的组成部分。</w:t>
      </w:r>
    </w:p>
    <w:p w14:paraId="2EA6741F">
      <w:pPr>
        <w:widowControl/>
        <w:wordWrap w:val="0"/>
        <w:spacing w:before="0" w:beforeAutospacing="0" w:after="0" w:afterAutospacing="0"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七、本协议书中有关词语含义与本合同第二部分《通用条款》中赋予的定义相同。</w:t>
      </w:r>
    </w:p>
    <w:p w14:paraId="42C1A0A1">
      <w:pPr>
        <w:widowControl/>
        <w:wordWrap w:val="0"/>
        <w:spacing w:before="0" w:beforeAutospacing="0" w:after="0" w:afterAutospacing="0"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八、乙方</w:t>
      </w:r>
      <w:r>
        <w:rPr>
          <w:rFonts w:hint="eastAsia" w:ascii="宋体" w:hAnsi="宋体" w:cs="宋体"/>
          <w:b/>
          <w:color w:val="auto"/>
          <w:spacing w:val="8"/>
          <w:kern w:val="0"/>
          <w:sz w:val="24"/>
          <w:highlight w:val="none"/>
        </w:rPr>
        <w:t>按照合同约定进行施工、竣工并在质量保修期内承担工程质量保修责</w:t>
      </w:r>
      <w:r>
        <w:rPr>
          <w:rFonts w:hint="eastAsia" w:ascii="宋体" w:hAnsi="宋体" w:cs="宋体"/>
          <w:b/>
          <w:color w:val="auto"/>
          <w:kern w:val="0"/>
          <w:sz w:val="24"/>
          <w:highlight w:val="none"/>
        </w:rPr>
        <w:t>任。</w:t>
      </w:r>
    </w:p>
    <w:p w14:paraId="193C1263">
      <w:pPr>
        <w:widowControl/>
        <w:wordWrap w:val="0"/>
        <w:spacing w:before="0" w:beforeAutospacing="0" w:after="0" w:afterAutospacing="0"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九、甲方按照合同约定的期限和方式支付合同价款及其他应当支付的款项。</w:t>
      </w:r>
    </w:p>
    <w:p w14:paraId="309A27E6">
      <w:pPr>
        <w:widowControl/>
        <w:wordWrap w:val="0"/>
        <w:spacing w:before="0" w:beforeAutospacing="0" w:after="0" w:afterAutospacing="0"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十、合同生效</w:t>
      </w:r>
    </w:p>
    <w:p w14:paraId="24F9646B">
      <w:pPr>
        <w:widowControl/>
        <w:wordWrap w:val="0"/>
        <w:spacing w:before="0" w:beforeAutospacing="0" w:after="0" w:afterAutospacing="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合同订立时间：_____年_____月_____日</w:t>
      </w:r>
    </w:p>
    <w:tbl>
      <w:tblPr>
        <w:tblStyle w:val="5"/>
        <w:tblpPr w:leftFromText="180" w:rightFromText="180" w:vertAnchor="text" w:horzAnchor="page" w:tblpX="1777" w:tblpY="108"/>
        <w:tblOverlap w:val="never"/>
        <w:tblW w:w="8600" w:type="dxa"/>
        <w:tblInd w:w="0" w:type="dxa"/>
        <w:tblLayout w:type="fixed"/>
        <w:tblCellMar>
          <w:top w:w="0" w:type="dxa"/>
          <w:left w:w="108" w:type="dxa"/>
          <w:bottom w:w="0" w:type="dxa"/>
          <w:right w:w="108" w:type="dxa"/>
        </w:tblCellMar>
      </w:tblPr>
      <w:tblGrid>
        <w:gridCol w:w="4448"/>
        <w:gridCol w:w="4152"/>
      </w:tblGrid>
      <w:tr w14:paraId="1C1650B1">
        <w:tblPrEx>
          <w:tblCellMar>
            <w:top w:w="0" w:type="dxa"/>
            <w:left w:w="108" w:type="dxa"/>
            <w:bottom w:w="0" w:type="dxa"/>
            <w:right w:w="108" w:type="dxa"/>
          </w:tblCellMar>
        </w:tblPrEx>
        <w:trPr>
          <w:trHeight w:val="907" w:hRule="atLeast"/>
        </w:trPr>
        <w:tc>
          <w:tcPr>
            <w:tcW w:w="4448" w:type="dxa"/>
            <w:vAlign w:val="center"/>
          </w:tcPr>
          <w:p w14:paraId="0E8E29C0">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甲方（盖章）：西安建筑科技大学</w:t>
            </w:r>
          </w:p>
        </w:tc>
        <w:tc>
          <w:tcPr>
            <w:tcW w:w="4152" w:type="dxa"/>
            <w:vAlign w:val="center"/>
          </w:tcPr>
          <w:p w14:paraId="7EE46C29">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乙方（盖章）： </w:t>
            </w:r>
          </w:p>
        </w:tc>
      </w:tr>
      <w:tr w14:paraId="3FCB0CAF">
        <w:tblPrEx>
          <w:tblCellMar>
            <w:top w:w="0" w:type="dxa"/>
            <w:left w:w="108" w:type="dxa"/>
            <w:bottom w:w="0" w:type="dxa"/>
            <w:right w:w="108" w:type="dxa"/>
          </w:tblCellMar>
        </w:tblPrEx>
        <w:trPr>
          <w:trHeight w:val="907" w:hRule="atLeast"/>
        </w:trPr>
        <w:tc>
          <w:tcPr>
            <w:tcW w:w="4448" w:type="dxa"/>
            <w:vAlign w:val="center"/>
          </w:tcPr>
          <w:p w14:paraId="1F224A14">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地    址：</w:t>
            </w:r>
            <w:r>
              <w:rPr>
                <w:rFonts w:hint="eastAsia" w:ascii="宋体" w:hAnsi="宋体" w:cs="宋体"/>
                <w:bCs/>
                <w:color w:val="auto"/>
                <w:sz w:val="24"/>
                <w:highlight w:val="none"/>
              </w:rPr>
              <w:t>西安市雁塔路中段13号</w:t>
            </w:r>
          </w:p>
        </w:tc>
        <w:tc>
          <w:tcPr>
            <w:tcW w:w="4152" w:type="dxa"/>
            <w:vAlign w:val="center"/>
          </w:tcPr>
          <w:p w14:paraId="0180A874">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地址： </w:t>
            </w:r>
          </w:p>
        </w:tc>
      </w:tr>
      <w:tr w14:paraId="2DDB3E13">
        <w:tblPrEx>
          <w:tblCellMar>
            <w:top w:w="0" w:type="dxa"/>
            <w:left w:w="108" w:type="dxa"/>
            <w:bottom w:w="0" w:type="dxa"/>
            <w:right w:w="108" w:type="dxa"/>
          </w:tblCellMar>
        </w:tblPrEx>
        <w:trPr>
          <w:trHeight w:val="907" w:hRule="atLeast"/>
        </w:trPr>
        <w:tc>
          <w:tcPr>
            <w:tcW w:w="4448" w:type="dxa"/>
            <w:vAlign w:val="center"/>
          </w:tcPr>
          <w:p w14:paraId="6BB2654C">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法定代理人（签字）：</w:t>
            </w:r>
          </w:p>
        </w:tc>
        <w:tc>
          <w:tcPr>
            <w:tcW w:w="4152" w:type="dxa"/>
            <w:vAlign w:val="center"/>
          </w:tcPr>
          <w:p w14:paraId="35E5041B">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法定代理人（签字）：</w:t>
            </w:r>
          </w:p>
        </w:tc>
      </w:tr>
      <w:tr w14:paraId="079E613A">
        <w:tblPrEx>
          <w:tblCellMar>
            <w:top w:w="0" w:type="dxa"/>
            <w:left w:w="108" w:type="dxa"/>
            <w:bottom w:w="0" w:type="dxa"/>
            <w:right w:w="108" w:type="dxa"/>
          </w:tblCellMar>
        </w:tblPrEx>
        <w:trPr>
          <w:trHeight w:val="907" w:hRule="atLeast"/>
        </w:trPr>
        <w:tc>
          <w:tcPr>
            <w:tcW w:w="4448" w:type="dxa"/>
            <w:vAlign w:val="center"/>
          </w:tcPr>
          <w:p w14:paraId="4EE93691">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委托代理人（签字）：</w:t>
            </w:r>
          </w:p>
        </w:tc>
        <w:tc>
          <w:tcPr>
            <w:tcW w:w="4152" w:type="dxa"/>
            <w:vAlign w:val="center"/>
          </w:tcPr>
          <w:p w14:paraId="63DF4672">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委托代理人（签字）：</w:t>
            </w:r>
          </w:p>
        </w:tc>
      </w:tr>
      <w:tr w14:paraId="4C7F709E">
        <w:tblPrEx>
          <w:tblCellMar>
            <w:top w:w="0" w:type="dxa"/>
            <w:left w:w="108" w:type="dxa"/>
            <w:bottom w:w="0" w:type="dxa"/>
            <w:right w:w="108" w:type="dxa"/>
          </w:tblCellMar>
        </w:tblPrEx>
        <w:trPr>
          <w:trHeight w:val="907" w:hRule="atLeast"/>
        </w:trPr>
        <w:tc>
          <w:tcPr>
            <w:tcW w:w="4448" w:type="dxa"/>
            <w:vAlign w:val="center"/>
          </w:tcPr>
          <w:p w14:paraId="6204B16E">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开 户 名：西安建筑科技大学</w:t>
            </w:r>
          </w:p>
        </w:tc>
        <w:tc>
          <w:tcPr>
            <w:tcW w:w="4152" w:type="dxa"/>
            <w:vAlign w:val="center"/>
          </w:tcPr>
          <w:p w14:paraId="6917AE1D">
            <w:pPr>
              <w:spacing w:before="0" w:beforeAutospacing="0" w:after="0" w:afterAutospacing="0" w:line="360" w:lineRule="auto"/>
              <w:jc w:val="left"/>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开 户 名： </w:t>
            </w:r>
          </w:p>
        </w:tc>
      </w:tr>
      <w:tr w14:paraId="501FBBC7">
        <w:tblPrEx>
          <w:tblCellMar>
            <w:top w:w="0" w:type="dxa"/>
            <w:left w:w="108" w:type="dxa"/>
            <w:bottom w:w="0" w:type="dxa"/>
            <w:right w:w="108" w:type="dxa"/>
          </w:tblCellMar>
        </w:tblPrEx>
        <w:trPr>
          <w:trHeight w:val="907" w:hRule="atLeast"/>
        </w:trPr>
        <w:tc>
          <w:tcPr>
            <w:tcW w:w="4448" w:type="dxa"/>
            <w:vAlign w:val="center"/>
          </w:tcPr>
          <w:p w14:paraId="50102E52">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开 户 行：工行西安雁塔路支行</w:t>
            </w:r>
          </w:p>
        </w:tc>
        <w:tc>
          <w:tcPr>
            <w:tcW w:w="4152" w:type="dxa"/>
            <w:vAlign w:val="center"/>
          </w:tcPr>
          <w:p w14:paraId="17CDE039">
            <w:pPr>
              <w:spacing w:before="0" w:beforeAutospacing="0" w:after="0" w:afterAutospacing="0" w:line="360" w:lineRule="auto"/>
              <w:ind w:left="1200" w:hanging="1200" w:hangingChars="500"/>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开 户 行： </w:t>
            </w:r>
          </w:p>
        </w:tc>
      </w:tr>
      <w:tr w14:paraId="45DCCA9C">
        <w:tblPrEx>
          <w:tblCellMar>
            <w:top w:w="0" w:type="dxa"/>
            <w:left w:w="108" w:type="dxa"/>
            <w:bottom w:w="0" w:type="dxa"/>
            <w:right w:w="108" w:type="dxa"/>
          </w:tblCellMar>
        </w:tblPrEx>
        <w:trPr>
          <w:trHeight w:val="907" w:hRule="atLeast"/>
        </w:trPr>
        <w:tc>
          <w:tcPr>
            <w:tcW w:w="4448" w:type="dxa"/>
            <w:vAlign w:val="center"/>
          </w:tcPr>
          <w:p w14:paraId="6C73AFA9">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帐    号：3700023009026400639</w:t>
            </w:r>
          </w:p>
        </w:tc>
        <w:tc>
          <w:tcPr>
            <w:tcW w:w="4152" w:type="dxa"/>
            <w:vAlign w:val="center"/>
          </w:tcPr>
          <w:p w14:paraId="2D26D597">
            <w:pPr>
              <w:pStyle w:val="7"/>
              <w:spacing w:before="0" w:beforeAutospacing="0" w:after="0" w:afterAutospacing="0" w:line="360" w:lineRule="auto"/>
              <w:ind w:firstLine="0" w:firstLineChars="0"/>
              <w:rPr>
                <w:rFonts w:hint="eastAsia" w:ascii="宋体" w:hAnsi="宋体" w:cs="宋体"/>
                <w:bCs/>
                <w:color w:val="auto"/>
                <w:sz w:val="24"/>
                <w:szCs w:val="24"/>
                <w:highlight w:val="none"/>
              </w:rPr>
            </w:pPr>
            <w:r>
              <w:rPr>
                <w:rFonts w:hint="eastAsia" w:ascii="宋体" w:hAnsi="宋体" w:cs="宋体"/>
                <w:bCs/>
                <w:color w:val="auto"/>
                <w:sz w:val="24"/>
                <w:szCs w:val="24"/>
                <w:highlight w:val="none"/>
              </w:rPr>
              <w:t>帐    号：</w:t>
            </w:r>
          </w:p>
        </w:tc>
      </w:tr>
      <w:tr w14:paraId="3ADF27D9">
        <w:tblPrEx>
          <w:tblCellMar>
            <w:top w:w="0" w:type="dxa"/>
            <w:left w:w="108" w:type="dxa"/>
            <w:bottom w:w="0" w:type="dxa"/>
            <w:right w:w="108" w:type="dxa"/>
          </w:tblCellMar>
        </w:tblPrEx>
        <w:trPr>
          <w:trHeight w:val="907" w:hRule="atLeast"/>
        </w:trPr>
        <w:tc>
          <w:tcPr>
            <w:tcW w:w="4448" w:type="dxa"/>
            <w:vAlign w:val="center"/>
          </w:tcPr>
          <w:p w14:paraId="4255AAD3">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联系电话：</w:t>
            </w:r>
          </w:p>
        </w:tc>
        <w:tc>
          <w:tcPr>
            <w:tcW w:w="4152" w:type="dxa"/>
            <w:vAlign w:val="center"/>
          </w:tcPr>
          <w:p w14:paraId="6B87268F">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联系电话：</w:t>
            </w:r>
          </w:p>
        </w:tc>
      </w:tr>
      <w:tr w14:paraId="4DE3F969">
        <w:tblPrEx>
          <w:tblCellMar>
            <w:top w:w="0" w:type="dxa"/>
            <w:left w:w="108" w:type="dxa"/>
            <w:bottom w:w="0" w:type="dxa"/>
            <w:right w:w="108" w:type="dxa"/>
          </w:tblCellMar>
        </w:tblPrEx>
        <w:trPr>
          <w:trHeight w:val="907" w:hRule="atLeast"/>
        </w:trPr>
        <w:tc>
          <w:tcPr>
            <w:tcW w:w="4448" w:type="dxa"/>
            <w:vAlign w:val="center"/>
          </w:tcPr>
          <w:p w14:paraId="1E0878E4">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 系 人：</w:t>
            </w:r>
          </w:p>
        </w:tc>
        <w:tc>
          <w:tcPr>
            <w:tcW w:w="4152" w:type="dxa"/>
            <w:vAlign w:val="center"/>
          </w:tcPr>
          <w:p w14:paraId="46127A20">
            <w:pPr>
              <w:spacing w:before="0" w:beforeAutospacing="0" w:after="0" w:afterAutospacing="0"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联系人： </w:t>
            </w:r>
          </w:p>
        </w:tc>
      </w:tr>
    </w:tbl>
    <w:p w14:paraId="3DE41E8A">
      <w:pPr>
        <w:pStyle w:val="2"/>
        <w:spacing w:before="0" w:beforeAutospacing="0" w:after="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br w:type="page"/>
      </w:r>
      <w:r>
        <w:rPr>
          <w:rFonts w:hint="eastAsia"/>
          <w:color w:val="auto"/>
          <w:highlight w:val="none"/>
        </w:rPr>
        <w:t>第二部分  通用条款</w:t>
      </w:r>
    </w:p>
    <w:p w14:paraId="73747576">
      <w:pPr>
        <w:spacing w:before="0" w:beforeAutospacing="0" w:after="0" w:afterAutospacing="0" w:line="360" w:lineRule="auto"/>
        <w:rPr>
          <w:color w:val="auto"/>
          <w:highlight w:val="none"/>
        </w:rPr>
      </w:pPr>
    </w:p>
    <w:p w14:paraId="55CB2E32">
      <w:pPr>
        <w:widowControl/>
        <w:spacing w:before="0" w:beforeAutospacing="0" w:after="0" w:afterAutospacing="0" w:line="360" w:lineRule="auto"/>
        <w:jc w:val="center"/>
        <w:rPr>
          <w:rFonts w:hint="eastAsia" w:ascii="宋体" w:hAnsi="宋体" w:cs="宋体"/>
          <w:bCs/>
          <w:color w:val="auto"/>
          <w:kern w:val="0"/>
          <w:sz w:val="24"/>
          <w:highlight w:val="none"/>
        </w:rPr>
      </w:pPr>
      <w:r>
        <w:rPr>
          <w:rFonts w:hint="eastAsia" w:ascii="宋体" w:hAnsi="宋体" w:cs="宋体"/>
          <w:bCs/>
          <w:color w:val="auto"/>
          <w:kern w:val="0"/>
          <w:sz w:val="24"/>
          <w:highlight w:val="none"/>
        </w:rPr>
        <w:t>详见《2017年陕西省建设工程施工合同（示范文本）》“第二部分  通用条款”</w:t>
      </w:r>
    </w:p>
    <w:p w14:paraId="6EB81797">
      <w:pPr>
        <w:widowControl/>
        <w:spacing w:before="0" w:beforeAutospacing="0" w:after="0" w:afterAutospacing="0" w:line="360" w:lineRule="auto"/>
        <w:jc w:val="center"/>
        <w:rPr>
          <w:rFonts w:hint="eastAsia" w:ascii="宋体" w:hAnsi="宋体" w:cs="宋体"/>
          <w:bCs/>
          <w:color w:val="auto"/>
          <w:kern w:val="0"/>
          <w:sz w:val="24"/>
          <w:highlight w:val="none"/>
        </w:rPr>
        <w:sectPr>
          <w:pgSz w:w="11960" w:h="16880"/>
          <w:pgMar w:top="1440" w:right="1701" w:bottom="1440" w:left="1701" w:header="850" w:footer="992" w:gutter="0"/>
          <w:cols w:space="720" w:num="1"/>
        </w:sectPr>
      </w:pPr>
      <w:r>
        <w:rPr>
          <w:rFonts w:hint="eastAsia" w:ascii="宋体" w:hAnsi="宋体" w:cs="宋体"/>
          <w:bCs/>
          <w:color w:val="auto"/>
          <w:kern w:val="0"/>
          <w:sz w:val="24"/>
          <w:highlight w:val="none"/>
        </w:rPr>
        <w:t>（此处略）</w:t>
      </w:r>
    </w:p>
    <w:p w14:paraId="276DFD7C">
      <w:pPr>
        <w:pStyle w:val="2"/>
        <w:wordWrap w:val="0"/>
        <w:spacing w:before="0" w:beforeAutospacing="0" w:after="0" w:afterAutospacing="0" w:line="360" w:lineRule="auto"/>
        <w:jc w:val="center"/>
        <w:rPr>
          <w:color w:val="auto"/>
          <w:highlight w:val="none"/>
        </w:rPr>
      </w:pPr>
      <w:r>
        <w:rPr>
          <w:rFonts w:hint="eastAsia"/>
          <w:color w:val="auto"/>
          <w:highlight w:val="none"/>
        </w:rPr>
        <w:t>第三部分  专用条款</w:t>
      </w:r>
    </w:p>
    <w:p w14:paraId="41A23AD0">
      <w:pPr>
        <w:widowControl/>
        <w:wordWrap w:val="0"/>
        <w:spacing w:before="0" w:beforeAutospacing="0" w:after="0" w:afterAutospacing="0"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一、合同文件解释顺序</w:t>
      </w:r>
    </w:p>
    <w:p w14:paraId="07B72352">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1.合同文件组成及解释顺序：</w:t>
      </w:r>
    </w:p>
    <w:p w14:paraId="17D2A788">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1.1合同补充协议、变更通知；</w:t>
      </w:r>
    </w:p>
    <w:p w14:paraId="0771BC5D">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1.2合同协议书；</w:t>
      </w:r>
    </w:p>
    <w:p w14:paraId="3153F8DA">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1.3合同专用条款；</w:t>
      </w:r>
    </w:p>
    <w:p w14:paraId="7D7E9E74">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1.4合同通用条款；</w:t>
      </w:r>
    </w:p>
    <w:p w14:paraId="7D91D17B">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1.5成交通知书；</w:t>
      </w:r>
    </w:p>
    <w:p w14:paraId="5E1E59F0">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1.6图纸；</w:t>
      </w:r>
    </w:p>
    <w:p w14:paraId="4D6D2893">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1.7采购文件、答疑纪要及工程量清单；</w:t>
      </w:r>
    </w:p>
    <w:p w14:paraId="6FBA67D1">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1.8采购文件及其附件；</w:t>
      </w:r>
    </w:p>
    <w:p w14:paraId="5D2DA3A7">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1.9工程质量保修书；</w:t>
      </w:r>
    </w:p>
    <w:p w14:paraId="3AEC18B5">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1.10标准、规范及有关技术文件。</w:t>
      </w:r>
    </w:p>
    <w:p w14:paraId="0E7CA5D5">
      <w:pPr>
        <w:widowControl/>
        <w:wordWrap w:val="0"/>
        <w:spacing w:before="0" w:beforeAutospacing="0" w:after="0" w:afterAutospacing="0"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二、双方一般权利和义务</w:t>
      </w:r>
    </w:p>
    <w:p w14:paraId="5EF29A31">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2.工程师</w:t>
      </w:r>
    </w:p>
    <w:p w14:paraId="1C124463">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2.1甲方派驻的工程师</w:t>
      </w:r>
    </w:p>
    <w:p w14:paraId="03D643BD">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职务：</w:t>
      </w:r>
      <w:r>
        <w:rPr>
          <w:rFonts w:hint="eastAsia" w:ascii="宋体" w:hAnsi="宋体" w:cs="宋体"/>
          <w:color w:val="auto"/>
          <w:kern w:val="0"/>
          <w:sz w:val="24"/>
          <w:highlight w:val="none"/>
          <w:u w:val="single"/>
        </w:rPr>
        <w:t xml:space="preserve"> 项目负责人 </w:t>
      </w:r>
    </w:p>
    <w:p w14:paraId="4DF15EDC">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u w:val="single"/>
        </w:rPr>
      </w:pPr>
      <w:r>
        <w:rPr>
          <w:rFonts w:hint="eastAsia" w:ascii="宋体" w:hAnsi="宋体" w:cs="宋体"/>
          <w:color w:val="auto"/>
          <w:kern w:val="0"/>
          <w:sz w:val="24"/>
          <w:highlight w:val="none"/>
          <w:u w:val="single"/>
        </w:rPr>
        <w:t>职权：配合乙方协调施工全过程内外部关系，处理往来文件，对工程进度、质量、造价进行监督管理</w:t>
      </w:r>
    </w:p>
    <w:p w14:paraId="3FD0F66A">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3.项目经理</w:t>
      </w:r>
    </w:p>
    <w:p w14:paraId="4E8A07D7">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职务：</w:t>
      </w:r>
      <w:r>
        <w:rPr>
          <w:rFonts w:hint="eastAsia" w:ascii="宋体" w:hAnsi="宋体" w:cs="宋体"/>
          <w:color w:val="auto"/>
          <w:kern w:val="0"/>
          <w:sz w:val="24"/>
          <w:highlight w:val="none"/>
          <w:u w:val="single"/>
        </w:rPr>
        <w:t xml:space="preserve"> 项目经理 </w:t>
      </w:r>
    </w:p>
    <w:p w14:paraId="205B99F3">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3.1乙方对项目经理的授权范围：</w:t>
      </w:r>
      <w:r>
        <w:rPr>
          <w:rFonts w:hint="eastAsia" w:ascii="宋体" w:hAnsi="宋体" w:cs="宋体"/>
          <w:color w:val="auto"/>
          <w:kern w:val="0"/>
          <w:sz w:val="24"/>
          <w:highlight w:val="none"/>
          <w:u w:val="single"/>
        </w:rPr>
        <w:t xml:space="preserve"> 按照施工合同和设计文件严格施工，确保安全生产，按期完成和交付合格工程。权限：（1）参与项目招标、投标和合同签订；（2）组建项目管理班子；（3）指挥工程项目建设的生产经营活动 </w:t>
      </w:r>
      <w:r>
        <w:rPr>
          <w:rFonts w:hint="eastAsia" w:ascii="宋体" w:hAnsi="宋体" w:cs="宋体"/>
          <w:color w:val="auto"/>
          <w:kern w:val="0"/>
          <w:sz w:val="24"/>
          <w:highlight w:val="none"/>
        </w:rPr>
        <w:t>。</w:t>
      </w:r>
    </w:p>
    <w:p w14:paraId="752DC6C2">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3.2关于项目经理每月在施工现场的时间要求：不小于工作日的80%。</w:t>
      </w:r>
    </w:p>
    <w:p w14:paraId="782EE541">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3.3项目经理未经批准，擅自离开施工现场的违约责任：</w:t>
      </w:r>
      <w:r>
        <w:rPr>
          <w:rFonts w:hint="eastAsia" w:ascii="宋体" w:hAnsi="宋体" w:cs="宋体"/>
          <w:color w:val="auto"/>
          <w:kern w:val="0"/>
          <w:sz w:val="24"/>
          <w:highlight w:val="none"/>
          <w:u w:val="single"/>
        </w:rPr>
        <w:t xml:space="preserve"> 处以5000元/天·人的罚款 </w:t>
      </w:r>
      <w:r>
        <w:rPr>
          <w:rFonts w:hint="eastAsia" w:ascii="宋体" w:hAnsi="宋体" w:cs="宋体"/>
          <w:color w:val="auto"/>
          <w:kern w:val="0"/>
          <w:sz w:val="24"/>
          <w:highlight w:val="none"/>
        </w:rPr>
        <w:t>。</w:t>
      </w:r>
    </w:p>
    <w:p w14:paraId="3A1DD44B">
      <w:pPr>
        <w:widowControl/>
        <w:wordWrap w:val="0"/>
        <w:spacing w:before="0" w:beforeAutospacing="0" w:after="0" w:afterAutospacing="0"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三、施工组织设计和工期</w:t>
      </w:r>
    </w:p>
    <w:p w14:paraId="25660775">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4.进度计划</w:t>
      </w:r>
    </w:p>
    <w:p w14:paraId="5638CE8C">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乙方提供施工组织设计（施工方案）和进度计划的时间：按甲方要求。工程师确认的时间：</w:t>
      </w:r>
      <w:r>
        <w:rPr>
          <w:rFonts w:hint="eastAsia" w:ascii="宋体" w:hAnsi="宋体" w:cs="宋体"/>
          <w:color w:val="auto"/>
          <w:kern w:val="0"/>
          <w:sz w:val="24"/>
          <w:highlight w:val="none"/>
          <w:u w:val="single"/>
        </w:rPr>
        <w:t>5日内</w:t>
      </w:r>
      <w:r>
        <w:rPr>
          <w:rFonts w:hint="eastAsia" w:ascii="宋体" w:hAnsi="宋体" w:cs="宋体"/>
          <w:color w:val="auto"/>
          <w:kern w:val="0"/>
          <w:sz w:val="24"/>
          <w:highlight w:val="none"/>
        </w:rPr>
        <w:t>。</w:t>
      </w:r>
    </w:p>
    <w:p w14:paraId="5C58AFCB">
      <w:pPr>
        <w:pStyle w:val="8"/>
        <w:wordWrap w:val="0"/>
        <w:spacing w:before="0" w:beforeAutospacing="0" w:after="0" w:afterAutospacing="0"/>
        <w:ind w:firstLine="480"/>
        <w:rPr>
          <w:rFonts w:hint="eastAsia" w:hAnsi="宋体" w:cs="宋体"/>
          <w:color w:val="auto"/>
          <w:szCs w:val="24"/>
          <w:highlight w:val="none"/>
        </w:rPr>
      </w:pPr>
      <w:r>
        <w:rPr>
          <w:rFonts w:hint="eastAsia" w:hAnsi="宋体" w:cs="宋体"/>
          <w:color w:val="auto"/>
          <w:szCs w:val="24"/>
          <w:highlight w:val="none"/>
        </w:rPr>
        <w:t>5.工期延误</w:t>
      </w:r>
    </w:p>
    <w:p w14:paraId="515CDDE7">
      <w:pPr>
        <w:pStyle w:val="8"/>
        <w:wordWrap w:val="0"/>
        <w:spacing w:before="0" w:beforeAutospacing="0" w:after="0" w:afterAutospacing="0"/>
        <w:ind w:firstLine="480"/>
        <w:rPr>
          <w:rFonts w:hint="eastAsia" w:hAnsi="宋体" w:cs="宋体"/>
          <w:color w:val="auto"/>
          <w:szCs w:val="24"/>
          <w:highlight w:val="none"/>
        </w:rPr>
      </w:pPr>
      <w:r>
        <w:rPr>
          <w:rFonts w:hint="eastAsia" w:hAnsi="宋体" w:cs="宋体"/>
          <w:color w:val="auto"/>
          <w:szCs w:val="24"/>
          <w:highlight w:val="none"/>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72B9DAFB">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5.2因乙方原因工期延误除按合同约定处罚外，还应承担其延误工期之后发生的以下相关责任（费用）：</w:t>
      </w:r>
    </w:p>
    <w:p w14:paraId="5F12B6E2">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（1）国家、省、市颁布政策文件调增工程造价，造价不予调整；调减工程造价的予以调减。</w:t>
      </w:r>
    </w:p>
    <w:p w14:paraId="6BFEE4ED">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（2）乙方供应的材料、机械、设备等涨价，造价不予调整。</w:t>
      </w:r>
    </w:p>
    <w:p w14:paraId="2CA1365C">
      <w:pPr>
        <w:widowControl/>
        <w:wordWrap w:val="0"/>
        <w:spacing w:before="0" w:beforeAutospacing="0" w:after="0" w:afterAutospacing="0"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四、合同价款调整约定</w:t>
      </w:r>
    </w:p>
    <w:p w14:paraId="3FAF2E61">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6.合同价款调整约定</w:t>
      </w:r>
    </w:p>
    <w:p w14:paraId="3E93199A">
      <w:pPr>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本工程工程量清单和设计图纸内的分项及工程量据实结算，工程量清单和设计图纸外的变增项目，由校内相关单位审核后，按实际发生量据实结算；工程价款结算时依据最终价款和一次报价分别扣除暂列金后的下浮比例执行。乙方提供增值税专用发票方可予以报销。</w:t>
      </w:r>
    </w:p>
    <w:p w14:paraId="2C4A0509">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u w:val="single"/>
        </w:rPr>
      </w:pPr>
      <w:r>
        <w:rPr>
          <w:rFonts w:hint="eastAsia" w:ascii="宋体" w:hAnsi="宋体" w:cs="宋体"/>
          <w:bCs/>
          <w:color w:val="auto"/>
          <w:kern w:val="0"/>
          <w:sz w:val="24"/>
          <w:highlight w:val="none"/>
        </w:rPr>
        <w:t>6.1</w:t>
      </w:r>
      <w:r>
        <w:rPr>
          <w:rFonts w:hint="eastAsia" w:ascii="宋体" w:hAnsi="宋体" w:cs="宋体"/>
          <w:bCs/>
          <w:color w:val="auto"/>
          <w:kern w:val="0"/>
          <w:sz w:val="24"/>
          <w:highlight w:val="none"/>
          <w:u w:val="single"/>
        </w:rPr>
        <w:t>除暂定材料、设备价格外，其他材料、设备价格工程竣工结算时不再调整；</w:t>
      </w:r>
    </w:p>
    <w:p w14:paraId="2EAFE6D0">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6.2</w:t>
      </w:r>
      <w:r>
        <w:rPr>
          <w:rFonts w:hint="eastAsia" w:ascii="宋体" w:hAnsi="宋体" w:cs="宋体"/>
          <w:bCs/>
          <w:color w:val="auto"/>
          <w:kern w:val="0"/>
          <w:sz w:val="24"/>
          <w:highlight w:val="none"/>
          <w:u w:val="single"/>
        </w:rPr>
        <w:t>遇政策性调整及其他风险费用工程竣工结算时不再调整。</w:t>
      </w:r>
    </w:p>
    <w:p w14:paraId="2D368A69">
      <w:pPr>
        <w:widowControl/>
        <w:wordWrap w:val="0"/>
        <w:spacing w:before="0" w:beforeAutospacing="0" w:after="0" w:afterAutospacing="0"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五、材料设备供应</w:t>
      </w:r>
    </w:p>
    <w:p w14:paraId="2068B79C">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7.乙方采购材料设备的约定：</w:t>
      </w:r>
    </w:p>
    <w:p w14:paraId="6C58B0DD">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2185FC48">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7.2乙方采购的材料与设备，如与设计标准要求不符时，乙方应按甲方要求的时间运出施工场地，重新采购符合要求的产品，承担由此发生的费用，由此延误的工期不予顺延。</w:t>
      </w:r>
    </w:p>
    <w:p w14:paraId="2C2C2282">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7.3乙方采购的材料与设备在使用前，乙方应按甲方的要求进行检验或试验，不合格的不得使用，检验或试验费用由乙方承担。</w:t>
      </w:r>
    </w:p>
    <w:p w14:paraId="3434B297">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64B40AC4">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6A0DFF15">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7.6对按正常程序已经确认的材料与设备，乙方拒不执行的，甲方有权解除合同。并对乙方按该批材料与设备总价款的10%处罚。</w:t>
      </w:r>
    </w:p>
    <w:p w14:paraId="35FFA877">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7.7施工期间需重新进行认质认价对的材料设备采购。需经甲方同意后方可采购。</w:t>
      </w:r>
    </w:p>
    <w:p w14:paraId="2BEE9CEC">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7.8凡需认质认价的材料、设备一经认定，价格不再调整。</w:t>
      </w:r>
    </w:p>
    <w:p w14:paraId="7C06CC58">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2BDA382B">
      <w:pPr>
        <w:widowControl/>
        <w:wordWrap w:val="0"/>
        <w:spacing w:before="0" w:beforeAutospacing="0" w:after="0" w:afterAutospacing="0"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六、竣工结算</w:t>
      </w:r>
    </w:p>
    <w:p w14:paraId="6DA9882F">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8、主要结算条款：</w:t>
      </w:r>
    </w:p>
    <w:p w14:paraId="1BDA669E">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8.1分部分项工程量据实结算。</w:t>
      </w:r>
    </w:p>
    <w:p w14:paraId="249F7279">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8.2变更签证调整合同价款的方式：</w:t>
      </w:r>
    </w:p>
    <w:p w14:paraId="13F752D8">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（1）合同中有相同或类似清单的参照相同或类似清单综合单价。</w:t>
      </w:r>
    </w:p>
    <w:p w14:paraId="1231D581">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（2）合同中无相同或类似清单时，参照合同中已有的材料价格或者认质认价价格，按照陕西省《建设工程工程量清单计价标准》DB61/5126-2025文件重新组价，经与建设单位协商后确定。</w:t>
      </w:r>
    </w:p>
    <w:p w14:paraId="1CD86FB6">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（3）变更产生的新材料或设备经甲方认质认价确认后，依据陕西省《建设工程工程量清单计价标准》DB61/5126-2025文件重新组价。</w:t>
      </w:r>
    </w:p>
    <w:p w14:paraId="36425549">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9.乙方提供竣工图的约定：竣工验收后20天内，提交竣工图及资料文件肆套。资料必须通过质检站备案要求（甲方原因除外）。若乙方不能按期完整提供归档施工资料，影响双方办理竣工结算时责任自负。</w:t>
      </w:r>
    </w:p>
    <w:p w14:paraId="29CEA5E4">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10.乙方应在工程通过竣工验收后，在20天内向甲方递交竣工结算报告及完整的结算资料（肆份），双方按照协议书约定的合同价款及专用条款约定的合同价款调整内容，进行工程竣工结算。</w:t>
      </w:r>
    </w:p>
    <w:p w14:paraId="77BEE388">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11.工程审定结算完成后，乙方缴纳施工水电费，安装计量表的按表据实计费，未安装计量表的按工程审定结算价的4‰计费。</w:t>
      </w:r>
    </w:p>
    <w:p w14:paraId="712BD216">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12.本工程的工程量据实结算，若乙方报送的原始结算价超出甲方审定结算价的3％，则乙方承担全部审计费，在结算付款时一次性扣除。</w:t>
      </w:r>
    </w:p>
    <w:p w14:paraId="39279599">
      <w:pPr>
        <w:widowControl/>
        <w:wordWrap w:val="0"/>
        <w:spacing w:before="0" w:beforeAutospacing="0" w:after="0" w:afterAutospacing="0"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七、工程款支付及结算</w:t>
      </w:r>
    </w:p>
    <w:p w14:paraId="3EA2CEF2">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13.支付方式：本工程分两次支付。</w:t>
      </w:r>
    </w:p>
    <w:p w14:paraId="06E9F4E1">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14.工程预付款及进度款如下：</w:t>
      </w:r>
    </w:p>
    <w:p w14:paraId="586422D8">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□签订合同完毕，乙方提供银行等金融机构出具的预付款保函，甲方支付合同总价的40%作为预付款。</w:t>
      </w:r>
    </w:p>
    <w:p w14:paraId="1499A0C6">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□签订合同完毕，施工满一个月且整体施工进度完成80%合同约定工程量后，甲方支付合同额50%进度款。</w:t>
      </w:r>
    </w:p>
    <w:p w14:paraId="64B97969">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15.工程结算款：</w:t>
      </w:r>
    </w:p>
    <w:p w14:paraId="3A7394CD">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15.1工程竣工验收合格后经审计部门或其委托有工程造价咨询资质的机构审定结算后，乙方缴纳施工水电费后，甲方支付至审定结算价100%工程款。但在国家规定的保修期限内，保修责任仍由承包人继续承担。</w:t>
      </w:r>
    </w:p>
    <w:p w14:paraId="7F204646">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15.2合同以外的变更、签证、工程量的增加等内容，随竣工结算支付。</w:t>
      </w:r>
    </w:p>
    <w:p w14:paraId="1434E86A">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16.甲方支付上述所有款项前，乙方须向甲方提供合法有效足额的增值税专用发票。</w:t>
      </w:r>
    </w:p>
    <w:p w14:paraId="4CC4DD15">
      <w:pPr>
        <w:widowControl/>
        <w:wordWrap w:val="0"/>
        <w:spacing w:before="0" w:beforeAutospacing="0" w:after="0" w:afterAutospacing="0"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八、工程保修期</w:t>
      </w:r>
    </w:p>
    <w:p w14:paraId="37625FC5">
      <w:pPr>
        <w:widowControl/>
        <w:wordWrap w:val="0"/>
        <w:spacing w:before="0" w:beforeAutospacing="0" w:after="0" w:afterAutospacing="0" w:line="360" w:lineRule="auto"/>
        <w:ind w:left="479" w:leftChars="228"/>
        <w:rPr>
          <w:rFonts w:hint="eastAsia" w:ascii="宋体" w:hAnsi="宋体" w:cs="宋体"/>
          <w:bCs/>
          <w:color w:val="auto"/>
          <w:kern w:val="0"/>
          <w:sz w:val="24"/>
          <w:highlight w:val="none"/>
        </w:rPr>
      </w:pPr>
      <w:r>
        <w:rPr>
          <w:rFonts w:hint="eastAsia" w:ascii="宋体" w:hAnsi="宋体" w:cs="宋体"/>
          <w:bCs/>
          <w:color w:val="auto"/>
          <w:kern w:val="0"/>
          <w:sz w:val="24"/>
          <w:highlight w:val="none"/>
        </w:rPr>
        <w:t>17.本工程保修期</w:t>
      </w:r>
      <w:r>
        <w:rPr>
          <w:rFonts w:hint="eastAsia" w:ascii="宋体" w:hAnsi="宋体" w:cs="宋体"/>
          <w:bCs/>
          <w:color w:val="auto"/>
          <w:kern w:val="0"/>
          <w:sz w:val="24"/>
          <w:highlight w:val="none"/>
          <w:u w:val="single"/>
        </w:rPr>
        <w:t xml:space="preserve"> 2 </w:t>
      </w:r>
      <w:r>
        <w:rPr>
          <w:rFonts w:hint="eastAsia" w:ascii="宋体" w:hAnsi="宋体" w:cs="宋体"/>
          <w:bCs/>
          <w:color w:val="auto"/>
          <w:kern w:val="0"/>
          <w:sz w:val="24"/>
          <w:highlight w:val="none"/>
        </w:rPr>
        <w:t>年。</w:t>
      </w:r>
      <w:r>
        <w:rPr>
          <w:rFonts w:hint="eastAsia" w:ascii="宋体" w:hAnsi="宋体" w:cs="宋体"/>
          <w:bCs/>
          <w:color w:val="auto"/>
          <w:kern w:val="0"/>
          <w:sz w:val="24"/>
          <w:highlight w:val="none"/>
        </w:rPr>
        <w:br w:type="textWrapping"/>
      </w:r>
      <w:r>
        <w:rPr>
          <w:rFonts w:hint="eastAsia" w:ascii="宋体" w:hAnsi="宋体" w:cs="宋体"/>
          <w:bCs/>
          <w:color w:val="auto"/>
          <w:kern w:val="0"/>
          <w:sz w:val="24"/>
          <w:highlight w:val="none"/>
        </w:rPr>
        <w:t>18.乙方承担合同约定保修期限内的保修责任。工程履约保证金待合同所有</w:t>
      </w:r>
    </w:p>
    <w:p w14:paraId="5400ED0B">
      <w:pPr>
        <w:widowControl/>
        <w:wordWrap w:val="0"/>
        <w:spacing w:before="0" w:beforeAutospacing="0" w:after="0" w:afterAutospacing="0"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rPr>
        <w:t>约定内容（含保修期）履约完毕无质量问题后无息退还，若保修期内出现质量问题未及时处理或处理不当造成事故的，履约保证金不予退还。</w:t>
      </w:r>
    </w:p>
    <w:p w14:paraId="4292AF17">
      <w:pPr>
        <w:widowControl/>
        <w:wordWrap w:val="0"/>
        <w:spacing w:before="0" w:beforeAutospacing="0" w:after="0" w:afterAutospacing="0"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九、合同份数及其他</w:t>
      </w:r>
    </w:p>
    <w:p w14:paraId="1053D502">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19.本合同正本陆份，具有同等效力，由甲方保存肆份，乙方保存贰份。</w:t>
      </w:r>
    </w:p>
    <w:p w14:paraId="7B1F646C">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7E5C73FF">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3BDB0C13">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22.乙方必须确保施工场地周围地下管线和邻近建筑物、构筑物及相关设施设备完好无损，如施工过程中出现损坏，乙方负责修复赔偿。工程最终移交甲方前乙方负责保护已完成的工程。</w:t>
      </w:r>
    </w:p>
    <w:p w14:paraId="5D6B1A47">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23.已完工程成品保护的特殊要求及费用承担：工程竣工、移交前由乙方负责保护并承担费用，最终移交后由甲方负责。</w:t>
      </w:r>
    </w:p>
    <w:p w14:paraId="70DC0CC7">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24.乙方应对其采用的施工工艺、施工方法等涉及到知识产权的行为的合法性负全责。</w:t>
      </w:r>
    </w:p>
    <w:p w14:paraId="44E31937">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25.乙方采购的建筑物资与设备，如与设计标准要求不符时，乙方应按甲方要求的时间运出施工场地，重新采购符合要求的产品，承担由此发生的费用，由此延误的工期不予顺延。</w:t>
      </w:r>
    </w:p>
    <w:p w14:paraId="574B349C">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7B2E3882">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27.对于违反施工规范，偷工减料，以次充好，影响工程安全、质量和进度的，甲方有权进行经济处罚。</w:t>
      </w:r>
    </w:p>
    <w:p w14:paraId="373ACC63">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bCs/>
          <w:color w:val="auto"/>
          <w:kern w:val="0"/>
          <w:sz w:val="24"/>
          <w:highlight w:val="none"/>
        </w:rPr>
        <w:t>28.在施工前乙方需与甲方项目负责人签订《安全文明施工责任书》《廉政协议》，该《安全文明施工责任书》《廉政协议》作为本合同不可分割的部分与本合同具有同等法律效力。</w:t>
      </w:r>
    </w:p>
    <w:p w14:paraId="65BFC0DD">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附件1：工程质量保修书</w:t>
      </w:r>
    </w:p>
    <w:p w14:paraId="0856C265">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附件2：工程量清单及报价/工程量总报价及分部分项工程量清单报价</w:t>
      </w:r>
    </w:p>
    <w:p w14:paraId="036C4395">
      <w:pPr>
        <w:widowControl/>
        <w:wordWrap w:val="0"/>
        <w:spacing w:before="0" w:beforeAutospacing="0" w:after="0" w:afterAutospacing="0"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附件3：主材清单</w:t>
      </w:r>
    </w:p>
    <w:p w14:paraId="6B696904">
      <w:pPr>
        <w:widowControl/>
        <w:wordWrap w:val="0"/>
        <w:spacing w:before="0" w:beforeAutospacing="0" w:after="0" w:afterAutospacing="0" w:line="360" w:lineRule="auto"/>
        <w:rPr>
          <w:rFonts w:hint="eastAsia" w:ascii="宋体" w:hAnsi="宋体" w:cs="宋体"/>
          <w:b/>
          <w:color w:val="auto"/>
          <w:sz w:val="24"/>
          <w:highlight w:val="none"/>
        </w:rPr>
        <w:sectPr>
          <w:pgSz w:w="11960" w:h="16880"/>
          <w:pgMar w:top="1440" w:right="1800" w:bottom="1440" w:left="1800" w:header="850" w:footer="992" w:gutter="0"/>
          <w:cols w:space="720" w:num="1"/>
        </w:sectPr>
      </w:pPr>
    </w:p>
    <w:p w14:paraId="45EEC001">
      <w:pPr>
        <w:widowControl/>
        <w:spacing w:before="0" w:beforeAutospacing="0" w:after="0" w:afterAutospacing="0" w:line="360" w:lineRule="auto"/>
        <w:rPr>
          <w:rFonts w:hint="eastAsia" w:ascii="宋体" w:hAnsi="宋体" w:cs="宋体"/>
          <w:b/>
          <w:color w:val="auto"/>
          <w:sz w:val="24"/>
          <w:highlight w:val="none"/>
        </w:rPr>
      </w:pPr>
      <w:r>
        <w:rPr>
          <w:rFonts w:hint="eastAsia" w:ascii="宋体" w:hAnsi="宋体" w:cs="宋体"/>
          <w:b/>
          <w:color w:val="auto"/>
          <w:sz w:val="24"/>
          <w:highlight w:val="none"/>
        </w:rPr>
        <w:t>附件1：</w:t>
      </w:r>
    </w:p>
    <w:p w14:paraId="7348C273">
      <w:pPr>
        <w:widowControl/>
        <w:spacing w:before="0" w:beforeAutospacing="0" w:after="0" w:afterAutospacing="0"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工程质量保修书</w:t>
      </w:r>
    </w:p>
    <w:p w14:paraId="495898AF">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甲方(全称)：</w:t>
      </w:r>
      <w:r>
        <w:rPr>
          <w:rFonts w:hint="eastAsia" w:ascii="宋体" w:hAnsi="宋体" w:cs="宋体"/>
          <w:color w:val="auto"/>
          <w:kern w:val="0"/>
          <w:sz w:val="24"/>
          <w:highlight w:val="none"/>
          <w:u w:val="single"/>
        </w:rPr>
        <w:t xml:space="preserve">西安建筑科技大学 </w:t>
      </w:r>
    </w:p>
    <w:p w14:paraId="66E6426B">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u w:val="single"/>
        </w:rPr>
      </w:pPr>
      <w:r>
        <w:rPr>
          <w:rFonts w:hint="eastAsia" w:ascii="宋体" w:hAnsi="宋体" w:cs="宋体"/>
          <w:color w:val="auto"/>
          <w:kern w:val="0"/>
          <w:sz w:val="24"/>
          <w:highlight w:val="none"/>
        </w:rPr>
        <w:t>乙方(全称)：</w:t>
      </w:r>
      <w:r>
        <w:rPr>
          <w:rFonts w:hint="eastAsia" w:ascii="宋体" w:hAnsi="宋体" w:cs="宋体"/>
          <w:color w:val="auto"/>
          <w:kern w:val="0"/>
          <w:sz w:val="24"/>
          <w:highlight w:val="none"/>
          <w:u w:val="single"/>
        </w:rPr>
        <w:t xml:space="preserve">                 </w:t>
      </w:r>
    </w:p>
    <w:p w14:paraId="2A8F02B3">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u w:val="single"/>
        </w:rPr>
      </w:pPr>
      <w:r>
        <w:rPr>
          <w:rFonts w:hint="eastAsia" w:ascii="宋体" w:hAnsi="宋体" w:cs="宋体"/>
          <w:color w:val="auto"/>
          <w:kern w:val="0"/>
          <w:sz w:val="24"/>
          <w:highlight w:val="none"/>
        </w:rPr>
        <w:t>为保证</w:t>
      </w:r>
      <w:r>
        <w:rPr>
          <w:rFonts w:hint="eastAsia" w:ascii="宋体" w:hAnsi="宋体" w:cs="宋体"/>
          <w:color w:val="auto"/>
          <w:kern w:val="0"/>
          <w:sz w:val="24"/>
          <w:highlight w:val="none"/>
          <w:u w:val="single"/>
        </w:rPr>
        <w:t xml:space="preserve"> 西安建筑科技大学草堂校区体育场馆提升改造项目 </w:t>
      </w:r>
      <w:r>
        <w:rPr>
          <w:rFonts w:hint="eastAsia" w:ascii="宋体" w:hAnsi="宋体" w:cs="宋体"/>
          <w:color w:val="auto"/>
          <w:kern w:val="0"/>
          <w:sz w:val="24"/>
          <w:highlight w:val="none"/>
        </w:rPr>
        <w:t>在合理使用期限内正常使用，甲方、乙方协商一致签订工程质量保修书。乙方在质量保修期内按照有关管理规定及双方约定承担工程质量保修责任。</w:t>
      </w:r>
    </w:p>
    <w:p w14:paraId="4B676238">
      <w:pPr>
        <w:widowControl/>
        <w:wordWrap w:val="0"/>
        <w:spacing w:before="0" w:beforeAutospacing="0" w:after="0" w:afterAutospacing="0"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一、工程质量保修范围 </w:t>
      </w:r>
    </w:p>
    <w:p w14:paraId="582FEC56">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质量保修范围为施工区域内所含全部施工项目。</w:t>
      </w:r>
    </w:p>
    <w:p w14:paraId="418A91F5">
      <w:pPr>
        <w:widowControl/>
        <w:wordWrap w:val="0"/>
        <w:spacing w:before="0" w:beforeAutospacing="0" w:after="0" w:afterAutospacing="0"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二、质量保修期 </w:t>
      </w:r>
    </w:p>
    <w:p w14:paraId="7C0E415C">
      <w:pPr>
        <w:widowControl/>
        <w:wordWrap w:val="0"/>
        <w:spacing w:before="0" w:beforeAutospacing="0" w:after="0" w:afterAutospacing="0" w:line="360" w:lineRule="auto"/>
        <w:ind w:firstLine="504" w:firstLineChars="200"/>
        <w:rPr>
          <w:rFonts w:hint="eastAsia" w:ascii="宋体" w:hAnsi="宋体" w:cs="宋体"/>
          <w:color w:val="auto"/>
          <w:spacing w:val="6"/>
          <w:kern w:val="0"/>
          <w:sz w:val="24"/>
          <w:highlight w:val="none"/>
        </w:rPr>
      </w:pPr>
      <w:r>
        <w:rPr>
          <w:rFonts w:hint="eastAsia" w:ascii="宋体" w:hAnsi="宋体" w:cs="宋体"/>
          <w:color w:val="auto"/>
          <w:spacing w:val="6"/>
          <w:kern w:val="0"/>
          <w:sz w:val="24"/>
          <w:highlight w:val="none"/>
        </w:rPr>
        <w:t>质量保修期自工程竣工验收合格之日起计算。分单项竣工验收的工程，按单项工程分别计算质量保修期。</w:t>
      </w:r>
    </w:p>
    <w:p w14:paraId="49EE7310">
      <w:pPr>
        <w:widowControl/>
        <w:wordWrap w:val="0"/>
        <w:spacing w:before="0" w:beforeAutospacing="0" w:after="0" w:afterAutospacing="0" w:line="360" w:lineRule="auto"/>
        <w:ind w:firstLine="504" w:firstLineChars="200"/>
        <w:rPr>
          <w:rFonts w:hint="eastAsia" w:ascii="宋体" w:hAnsi="宋体" w:cs="宋体"/>
          <w:color w:val="auto"/>
          <w:spacing w:val="6"/>
          <w:kern w:val="0"/>
          <w:sz w:val="24"/>
          <w:highlight w:val="none"/>
        </w:rPr>
      </w:pPr>
      <w:r>
        <w:rPr>
          <w:rFonts w:hint="eastAsia" w:ascii="宋体" w:hAnsi="宋体" w:cs="宋体"/>
          <w:color w:val="auto"/>
          <w:spacing w:val="6"/>
          <w:kern w:val="0"/>
          <w:sz w:val="24"/>
          <w:highlight w:val="none"/>
        </w:rPr>
        <w:t>双方根据《建设工程质量管理条例》、国家有关规定及招投标文件，约定乙方对工程质量承担保修责任，保修期自竣工验收合格之日算起，保修期限为</w:t>
      </w:r>
      <w:r>
        <w:rPr>
          <w:rFonts w:hint="eastAsia" w:ascii="宋体" w:hAnsi="宋体" w:cs="宋体"/>
          <w:color w:val="auto"/>
          <w:spacing w:val="6"/>
          <w:kern w:val="0"/>
          <w:sz w:val="24"/>
          <w:highlight w:val="none"/>
          <w:u w:val="single"/>
        </w:rPr>
        <w:t xml:space="preserve"> 贰 </w:t>
      </w:r>
      <w:r>
        <w:rPr>
          <w:rFonts w:hint="eastAsia" w:ascii="宋体" w:hAnsi="宋体" w:cs="宋体"/>
          <w:color w:val="auto"/>
          <w:spacing w:val="6"/>
          <w:kern w:val="0"/>
          <w:sz w:val="24"/>
          <w:highlight w:val="none"/>
        </w:rPr>
        <w:t>年。</w:t>
      </w:r>
    </w:p>
    <w:p w14:paraId="5BC10467">
      <w:pPr>
        <w:widowControl/>
        <w:wordWrap w:val="0"/>
        <w:spacing w:before="0" w:beforeAutospacing="0" w:after="0" w:afterAutospacing="0"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三、质量保修责任 </w:t>
      </w:r>
    </w:p>
    <w:p w14:paraId="16D2CA39">
      <w:pPr>
        <w:widowControl/>
        <w:wordWrap w:val="0"/>
        <w:spacing w:before="0" w:beforeAutospacing="0" w:after="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1.属于保修范围和内容的项目，乙方应在接到修理通知之日后1天内派人修理，否则甲方有权对乙方进行经济处罚，处罚的数额</w:t>
      </w:r>
      <w:r>
        <w:rPr>
          <w:rFonts w:hint="eastAsia" w:ascii="宋体" w:hAnsi="宋体" w:cs="宋体"/>
          <w:color w:val="auto"/>
          <w:kern w:val="0"/>
          <w:sz w:val="24"/>
          <w:highlight w:val="none"/>
          <w:u w:val="single"/>
        </w:rPr>
        <w:t xml:space="preserve"> 2000 </w:t>
      </w:r>
      <w:r>
        <w:rPr>
          <w:rFonts w:hint="eastAsia" w:ascii="宋体" w:hAnsi="宋体" w:cs="宋体"/>
          <w:color w:val="auto"/>
          <w:kern w:val="0"/>
          <w:sz w:val="24"/>
          <w:highlight w:val="none"/>
        </w:rPr>
        <w:t xml:space="preserve">元/次。 </w:t>
      </w:r>
    </w:p>
    <w:p w14:paraId="2FA4A847">
      <w:pPr>
        <w:widowControl/>
        <w:wordWrap w:val="0"/>
        <w:spacing w:before="0" w:beforeAutospacing="0" w:after="0" w:afterAutospacing="0" w:line="360" w:lineRule="auto"/>
        <w:ind w:firstLine="480" w:firstLineChars="200"/>
        <w:rPr>
          <w:rFonts w:hint="eastAsia" w:ascii="宋体" w:hAnsi="宋体"/>
          <w:color w:val="auto"/>
          <w:sz w:val="24"/>
          <w:highlight w:val="none"/>
          <w:lang w:eastAsia="ko-KR"/>
        </w:rPr>
        <w:sectPr>
          <w:pgSz w:w="11960" w:h="16880"/>
          <w:pgMar w:top="1440" w:right="1800" w:bottom="1440" w:left="1800" w:header="850" w:footer="992" w:gutter="0"/>
          <w:cols w:space="720" w:num="1"/>
        </w:sectPr>
      </w:pPr>
      <w:r>
        <w:rPr>
          <w:rFonts w:hint="eastAsia" w:ascii="宋体" w:hAnsi="宋体" w:cs="宋体"/>
          <w:color w:val="auto"/>
          <w:kern w:val="0"/>
          <w:sz w:val="24"/>
          <w:highlight w:val="none"/>
        </w:rPr>
        <w:t>2.属于保修范围和内容的项目，成交供应商应在接到维修通知后，1天内派人维修。发生紧急抢修事故，成交供应商应在接到事故通知后4小时内到达事故现场并于3小时内完成应急维修。非乙方施工质量引起的事故，抢修费用由甲方承担。</w:t>
      </w:r>
    </w:p>
    <w:p w14:paraId="5AD86EC7">
      <w:pPr>
        <w:widowControl/>
        <w:spacing w:before="0" w:beforeAutospacing="0" w:after="0" w:afterAutospacing="0" w:line="375" w:lineRule="auto"/>
        <w:rPr>
          <w:color w:val="auto"/>
          <w:highlight w:val="none"/>
        </w:rPr>
      </w:pPr>
      <w:r>
        <w:rPr>
          <w:rFonts w:hint="eastAsia" w:ascii="宋体" w:hAnsi="宋体" w:cs="宋体"/>
          <w:b/>
          <w:color w:val="auto"/>
          <w:sz w:val="24"/>
          <w:highlight w:val="none"/>
        </w:rPr>
        <w:t>附件2：工程量清单及报价/工程量总报价及分部分项工程量清单报价</w:t>
      </w:r>
    </w:p>
    <w:p w14:paraId="3C1EB0F8">
      <w:pPr>
        <w:widowControl/>
        <w:spacing w:before="0" w:beforeAutospacing="0" w:after="0" w:afterAutospacing="0" w:line="375" w:lineRule="auto"/>
        <w:rPr>
          <w:rFonts w:hint="eastAsia" w:ascii="宋体" w:hAnsi="宋体" w:cs="宋体"/>
          <w:b/>
          <w:color w:val="auto"/>
          <w:sz w:val="24"/>
          <w:highlight w:val="none"/>
        </w:rPr>
        <w:sectPr>
          <w:footerReference r:id="rId7" w:type="first"/>
          <w:footerReference r:id="rId6" w:type="default"/>
          <w:pgSz w:w="11906" w:h="16838"/>
          <w:pgMar w:top="1440" w:right="1800" w:bottom="1440" w:left="1800" w:header="851" w:footer="992" w:gutter="0"/>
          <w:cols w:space="720" w:num="1"/>
          <w:titlePg/>
          <w:docGrid w:type="lines" w:linePitch="312" w:charSpace="0"/>
        </w:sectPr>
      </w:pPr>
    </w:p>
    <w:p w14:paraId="0077EA6C">
      <w:pPr>
        <w:widowControl/>
        <w:spacing w:before="0" w:beforeAutospacing="0" w:after="0" w:afterAutospacing="0" w:line="480" w:lineRule="auto"/>
        <w:rPr>
          <w:rFonts w:hint="eastAsia" w:ascii="宋体" w:hAnsi="宋体" w:cs="宋体"/>
          <w:bCs/>
          <w:color w:val="auto"/>
          <w:kern w:val="0"/>
          <w:sz w:val="24"/>
          <w:highlight w:val="none"/>
        </w:rPr>
      </w:pPr>
      <w:r>
        <w:rPr>
          <w:rFonts w:hint="eastAsia" w:ascii="宋体" w:hAnsi="宋体" w:cs="宋体"/>
          <w:b/>
          <w:color w:val="auto"/>
          <w:sz w:val="24"/>
          <w:highlight w:val="none"/>
        </w:rPr>
        <w:t>附件3：主材清单</w:t>
      </w:r>
    </w:p>
    <w:tbl>
      <w:tblPr>
        <w:tblStyle w:val="5"/>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895"/>
        <w:gridCol w:w="1955"/>
        <w:gridCol w:w="1822"/>
        <w:gridCol w:w="799"/>
        <w:gridCol w:w="924"/>
      </w:tblGrid>
      <w:tr w14:paraId="24DE7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532" w:type="pct"/>
            <w:vAlign w:val="center"/>
          </w:tcPr>
          <w:p w14:paraId="1368D9EC">
            <w:pPr>
              <w:spacing w:before="0" w:beforeAutospacing="0" w:after="0" w:afterAutospacing="0" w:line="312"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1144" w:type="pct"/>
            <w:vAlign w:val="center"/>
          </w:tcPr>
          <w:p w14:paraId="387CFE6A">
            <w:pPr>
              <w:spacing w:before="0" w:beforeAutospacing="0" w:after="0" w:afterAutospacing="0" w:line="312"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主要材料名称</w:t>
            </w:r>
          </w:p>
        </w:tc>
        <w:tc>
          <w:tcPr>
            <w:tcW w:w="1180" w:type="pct"/>
            <w:vAlign w:val="center"/>
          </w:tcPr>
          <w:p w14:paraId="2E38F905">
            <w:pPr>
              <w:spacing w:before="0" w:beforeAutospacing="0" w:after="0" w:afterAutospacing="0" w:line="312"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规格型号</w:t>
            </w:r>
          </w:p>
        </w:tc>
        <w:tc>
          <w:tcPr>
            <w:tcW w:w="1100" w:type="pct"/>
            <w:vAlign w:val="center"/>
          </w:tcPr>
          <w:p w14:paraId="5AB60224">
            <w:pPr>
              <w:spacing w:before="0" w:beforeAutospacing="0" w:after="0" w:afterAutospacing="0" w:line="312"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品牌或制造商</w:t>
            </w:r>
          </w:p>
        </w:tc>
        <w:tc>
          <w:tcPr>
            <w:tcW w:w="483" w:type="pct"/>
            <w:vAlign w:val="center"/>
          </w:tcPr>
          <w:p w14:paraId="137D0A4E">
            <w:pPr>
              <w:spacing w:before="0" w:beforeAutospacing="0" w:after="0" w:afterAutospacing="0" w:line="312"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产地</w:t>
            </w:r>
          </w:p>
        </w:tc>
        <w:tc>
          <w:tcPr>
            <w:tcW w:w="558" w:type="pct"/>
            <w:vAlign w:val="center"/>
          </w:tcPr>
          <w:p w14:paraId="3F01030A">
            <w:pPr>
              <w:spacing w:before="0" w:beforeAutospacing="0" w:after="0" w:afterAutospacing="0" w:line="312"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备注</w:t>
            </w:r>
          </w:p>
        </w:tc>
      </w:tr>
      <w:tr w14:paraId="21125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82" w:type="dxa"/>
            <w:vAlign w:val="center"/>
          </w:tcPr>
          <w:p w14:paraId="04EF5F3C">
            <w:pPr>
              <w:wordWrap w:val="0"/>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w:t>
            </w:r>
          </w:p>
        </w:tc>
        <w:tc>
          <w:tcPr>
            <w:tcW w:w="1894" w:type="dxa"/>
            <w:vAlign w:val="center"/>
          </w:tcPr>
          <w:p w14:paraId="6E254128">
            <w:pPr>
              <w:spacing w:beforeAutospacing="0" w:afterAutospacing="0"/>
              <w:jc w:val="center"/>
              <w:rPr>
                <w:rFonts w:hint="eastAsia" w:ascii="宋体" w:hAnsi="宋体" w:cs="宋体"/>
                <w:color w:val="auto"/>
                <w:sz w:val="24"/>
                <w:szCs w:val="24"/>
                <w:highlight w:val="none"/>
              </w:rPr>
            </w:pPr>
          </w:p>
        </w:tc>
        <w:tc>
          <w:tcPr>
            <w:tcW w:w="1180" w:type="pct"/>
            <w:vAlign w:val="center"/>
          </w:tcPr>
          <w:p w14:paraId="26419CDC">
            <w:pPr>
              <w:spacing w:before="0" w:beforeAutospacing="0" w:after="0" w:afterAutospacing="0"/>
              <w:jc w:val="center"/>
              <w:rPr>
                <w:rFonts w:hint="eastAsia" w:ascii="宋体" w:hAnsi="宋体" w:cs="宋体"/>
                <w:color w:val="auto"/>
                <w:sz w:val="24"/>
                <w:szCs w:val="24"/>
                <w:highlight w:val="none"/>
              </w:rPr>
            </w:pPr>
          </w:p>
        </w:tc>
        <w:tc>
          <w:tcPr>
            <w:tcW w:w="1100" w:type="pct"/>
            <w:vAlign w:val="center"/>
          </w:tcPr>
          <w:p w14:paraId="3E2B6B2E">
            <w:pPr>
              <w:spacing w:before="0" w:beforeAutospacing="0" w:after="0" w:afterAutospacing="0"/>
              <w:jc w:val="center"/>
              <w:rPr>
                <w:rFonts w:hint="eastAsia" w:ascii="宋体" w:hAnsi="宋体" w:cs="宋体"/>
                <w:color w:val="auto"/>
                <w:sz w:val="24"/>
                <w:szCs w:val="24"/>
                <w:highlight w:val="none"/>
              </w:rPr>
            </w:pPr>
          </w:p>
        </w:tc>
        <w:tc>
          <w:tcPr>
            <w:tcW w:w="483" w:type="pct"/>
            <w:vAlign w:val="center"/>
          </w:tcPr>
          <w:p w14:paraId="22BB9396">
            <w:pPr>
              <w:spacing w:before="0" w:beforeAutospacing="0" w:after="0" w:afterAutospacing="0"/>
              <w:jc w:val="center"/>
              <w:rPr>
                <w:rFonts w:hint="eastAsia" w:ascii="宋体" w:hAnsi="宋体" w:cs="宋体"/>
                <w:color w:val="auto"/>
                <w:sz w:val="24"/>
                <w:szCs w:val="24"/>
                <w:highlight w:val="none"/>
              </w:rPr>
            </w:pPr>
          </w:p>
        </w:tc>
        <w:tc>
          <w:tcPr>
            <w:tcW w:w="558" w:type="pct"/>
            <w:vAlign w:val="center"/>
          </w:tcPr>
          <w:p w14:paraId="1119AD19">
            <w:pPr>
              <w:spacing w:before="0" w:beforeAutospacing="0" w:after="0" w:afterAutospacing="0"/>
              <w:jc w:val="center"/>
              <w:rPr>
                <w:rFonts w:hint="eastAsia" w:ascii="宋体" w:hAnsi="宋体" w:cs="宋体"/>
                <w:color w:val="auto"/>
                <w:sz w:val="24"/>
                <w:szCs w:val="24"/>
                <w:highlight w:val="none"/>
              </w:rPr>
            </w:pPr>
          </w:p>
        </w:tc>
      </w:tr>
      <w:tr w14:paraId="3BE3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82" w:type="dxa"/>
            <w:vAlign w:val="center"/>
          </w:tcPr>
          <w:p w14:paraId="577ECC63">
            <w:pPr>
              <w:wordWrap w:val="0"/>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w:t>
            </w:r>
          </w:p>
        </w:tc>
        <w:tc>
          <w:tcPr>
            <w:tcW w:w="1894" w:type="dxa"/>
            <w:vAlign w:val="center"/>
          </w:tcPr>
          <w:p w14:paraId="3673C5BC">
            <w:pPr>
              <w:spacing w:beforeAutospacing="0" w:afterAutospacing="0"/>
              <w:jc w:val="center"/>
              <w:rPr>
                <w:rFonts w:hint="eastAsia" w:ascii="宋体" w:hAnsi="宋体" w:cs="宋体"/>
                <w:color w:val="auto"/>
                <w:sz w:val="24"/>
                <w:szCs w:val="24"/>
                <w:highlight w:val="none"/>
              </w:rPr>
            </w:pPr>
          </w:p>
        </w:tc>
        <w:tc>
          <w:tcPr>
            <w:tcW w:w="1180" w:type="pct"/>
            <w:vAlign w:val="center"/>
          </w:tcPr>
          <w:p w14:paraId="127599FC">
            <w:pPr>
              <w:spacing w:before="0" w:beforeAutospacing="0" w:after="0" w:afterAutospacing="0"/>
              <w:jc w:val="center"/>
              <w:rPr>
                <w:rFonts w:hint="eastAsia" w:ascii="宋体" w:hAnsi="宋体" w:cs="宋体"/>
                <w:color w:val="auto"/>
                <w:sz w:val="24"/>
                <w:szCs w:val="24"/>
                <w:highlight w:val="none"/>
              </w:rPr>
            </w:pPr>
          </w:p>
        </w:tc>
        <w:tc>
          <w:tcPr>
            <w:tcW w:w="1100" w:type="pct"/>
            <w:vAlign w:val="center"/>
          </w:tcPr>
          <w:p w14:paraId="44A12679">
            <w:pPr>
              <w:spacing w:before="0" w:beforeAutospacing="0" w:after="0" w:afterAutospacing="0"/>
              <w:jc w:val="center"/>
              <w:rPr>
                <w:rFonts w:hint="eastAsia" w:ascii="宋体" w:hAnsi="宋体" w:cs="宋体"/>
                <w:color w:val="auto"/>
                <w:sz w:val="24"/>
                <w:szCs w:val="24"/>
                <w:highlight w:val="none"/>
              </w:rPr>
            </w:pPr>
          </w:p>
        </w:tc>
        <w:tc>
          <w:tcPr>
            <w:tcW w:w="483" w:type="pct"/>
            <w:vAlign w:val="center"/>
          </w:tcPr>
          <w:p w14:paraId="754DC632">
            <w:pPr>
              <w:spacing w:before="0" w:beforeAutospacing="0" w:after="0" w:afterAutospacing="0"/>
              <w:jc w:val="center"/>
              <w:rPr>
                <w:rFonts w:hint="eastAsia" w:ascii="宋体" w:hAnsi="宋体" w:cs="宋体"/>
                <w:color w:val="auto"/>
                <w:sz w:val="24"/>
                <w:szCs w:val="24"/>
                <w:highlight w:val="none"/>
              </w:rPr>
            </w:pPr>
          </w:p>
        </w:tc>
        <w:tc>
          <w:tcPr>
            <w:tcW w:w="558" w:type="pct"/>
            <w:vAlign w:val="center"/>
          </w:tcPr>
          <w:p w14:paraId="43B96EFD">
            <w:pPr>
              <w:spacing w:before="0" w:beforeAutospacing="0" w:after="0" w:afterAutospacing="0"/>
              <w:jc w:val="center"/>
              <w:rPr>
                <w:rFonts w:hint="eastAsia" w:ascii="宋体" w:hAnsi="宋体" w:cs="宋体"/>
                <w:color w:val="auto"/>
                <w:sz w:val="24"/>
                <w:szCs w:val="24"/>
                <w:highlight w:val="none"/>
              </w:rPr>
            </w:pPr>
          </w:p>
        </w:tc>
      </w:tr>
      <w:tr w14:paraId="60DE6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82" w:type="dxa"/>
            <w:vAlign w:val="center"/>
          </w:tcPr>
          <w:p w14:paraId="2B344298">
            <w:pPr>
              <w:wordWrap w:val="0"/>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w:t>
            </w:r>
          </w:p>
        </w:tc>
        <w:tc>
          <w:tcPr>
            <w:tcW w:w="1894" w:type="dxa"/>
            <w:vAlign w:val="center"/>
          </w:tcPr>
          <w:p w14:paraId="0EEB9451">
            <w:pPr>
              <w:spacing w:beforeAutospacing="0" w:afterAutospacing="0"/>
              <w:jc w:val="center"/>
              <w:rPr>
                <w:rFonts w:hint="eastAsia" w:ascii="宋体" w:hAnsi="宋体" w:cs="宋体"/>
                <w:color w:val="auto"/>
                <w:sz w:val="24"/>
                <w:szCs w:val="24"/>
                <w:highlight w:val="none"/>
              </w:rPr>
            </w:pPr>
          </w:p>
        </w:tc>
        <w:tc>
          <w:tcPr>
            <w:tcW w:w="1180" w:type="pct"/>
            <w:vAlign w:val="center"/>
          </w:tcPr>
          <w:p w14:paraId="7EA5ABC2">
            <w:pPr>
              <w:spacing w:before="0" w:beforeAutospacing="0" w:after="0" w:afterAutospacing="0"/>
              <w:jc w:val="center"/>
              <w:rPr>
                <w:rFonts w:hint="eastAsia" w:ascii="宋体" w:hAnsi="宋体" w:cs="宋体"/>
                <w:color w:val="auto"/>
                <w:sz w:val="24"/>
                <w:szCs w:val="24"/>
                <w:highlight w:val="none"/>
              </w:rPr>
            </w:pPr>
          </w:p>
        </w:tc>
        <w:tc>
          <w:tcPr>
            <w:tcW w:w="1100" w:type="pct"/>
            <w:vAlign w:val="center"/>
          </w:tcPr>
          <w:p w14:paraId="34BB247E">
            <w:pPr>
              <w:spacing w:before="0" w:beforeAutospacing="0" w:after="0" w:afterAutospacing="0"/>
              <w:jc w:val="center"/>
              <w:rPr>
                <w:rFonts w:hint="eastAsia" w:ascii="宋体" w:hAnsi="宋体" w:cs="宋体"/>
                <w:color w:val="auto"/>
                <w:sz w:val="24"/>
                <w:szCs w:val="24"/>
                <w:highlight w:val="none"/>
              </w:rPr>
            </w:pPr>
          </w:p>
        </w:tc>
        <w:tc>
          <w:tcPr>
            <w:tcW w:w="483" w:type="pct"/>
            <w:vAlign w:val="center"/>
          </w:tcPr>
          <w:p w14:paraId="0A73C8B9">
            <w:pPr>
              <w:spacing w:before="0" w:beforeAutospacing="0" w:after="0" w:afterAutospacing="0"/>
              <w:jc w:val="center"/>
              <w:rPr>
                <w:rFonts w:hint="eastAsia" w:ascii="宋体" w:hAnsi="宋体" w:cs="宋体"/>
                <w:color w:val="auto"/>
                <w:sz w:val="24"/>
                <w:szCs w:val="24"/>
                <w:highlight w:val="none"/>
              </w:rPr>
            </w:pPr>
          </w:p>
        </w:tc>
        <w:tc>
          <w:tcPr>
            <w:tcW w:w="558" w:type="pct"/>
            <w:vAlign w:val="center"/>
          </w:tcPr>
          <w:p w14:paraId="16E8179C">
            <w:pPr>
              <w:spacing w:before="0" w:beforeAutospacing="0" w:after="0" w:afterAutospacing="0"/>
              <w:jc w:val="center"/>
              <w:rPr>
                <w:rFonts w:hint="eastAsia" w:ascii="宋体" w:hAnsi="宋体" w:cs="宋体"/>
                <w:color w:val="auto"/>
                <w:sz w:val="24"/>
                <w:szCs w:val="24"/>
                <w:highlight w:val="none"/>
              </w:rPr>
            </w:pPr>
          </w:p>
        </w:tc>
      </w:tr>
      <w:tr w14:paraId="3F71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82" w:type="dxa"/>
            <w:vAlign w:val="center"/>
          </w:tcPr>
          <w:p w14:paraId="4F9D1F03">
            <w:pPr>
              <w:wordWrap w:val="0"/>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4</w:t>
            </w:r>
          </w:p>
        </w:tc>
        <w:tc>
          <w:tcPr>
            <w:tcW w:w="1894" w:type="dxa"/>
            <w:vAlign w:val="center"/>
          </w:tcPr>
          <w:p w14:paraId="59BB92ED">
            <w:pPr>
              <w:spacing w:beforeAutospacing="0" w:afterAutospacing="0"/>
              <w:jc w:val="center"/>
              <w:rPr>
                <w:rFonts w:hint="eastAsia" w:ascii="宋体" w:hAnsi="宋体" w:cs="宋体"/>
                <w:color w:val="auto"/>
                <w:sz w:val="24"/>
                <w:szCs w:val="24"/>
                <w:highlight w:val="none"/>
              </w:rPr>
            </w:pPr>
          </w:p>
        </w:tc>
        <w:tc>
          <w:tcPr>
            <w:tcW w:w="1180" w:type="pct"/>
            <w:vAlign w:val="center"/>
          </w:tcPr>
          <w:p w14:paraId="0C0069F7">
            <w:pPr>
              <w:spacing w:before="0" w:beforeAutospacing="0" w:after="0" w:afterAutospacing="0"/>
              <w:jc w:val="center"/>
              <w:rPr>
                <w:rFonts w:hint="eastAsia" w:ascii="宋体" w:hAnsi="宋体" w:cs="宋体"/>
                <w:color w:val="auto"/>
                <w:sz w:val="24"/>
                <w:szCs w:val="24"/>
                <w:highlight w:val="none"/>
              </w:rPr>
            </w:pPr>
          </w:p>
        </w:tc>
        <w:tc>
          <w:tcPr>
            <w:tcW w:w="1100" w:type="pct"/>
            <w:vAlign w:val="center"/>
          </w:tcPr>
          <w:p w14:paraId="06EDD05F">
            <w:pPr>
              <w:spacing w:before="0" w:beforeAutospacing="0" w:after="0" w:afterAutospacing="0"/>
              <w:jc w:val="center"/>
              <w:rPr>
                <w:rFonts w:hint="eastAsia" w:ascii="宋体" w:hAnsi="宋体" w:cs="宋体"/>
                <w:color w:val="auto"/>
                <w:sz w:val="24"/>
                <w:szCs w:val="24"/>
                <w:highlight w:val="none"/>
              </w:rPr>
            </w:pPr>
          </w:p>
        </w:tc>
        <w:tc>
          <w:tcPr>
            <w:tcW w:w="483" w:type="pct"/>
            <w:vAlign w:val="center"/>
          </w:tcPr>
          <w:p w14:paraId="6C5F835B">
            <w:pPr>
              <w:spacing w:before="0" w:beforeAutospacing="0" w:after="0" w:afterAutospacing="0"/>
              <w:jc w:val="center"/>
              <w:rPr>
                <w:rFonts w:hint="eastAsia" w:ascii="宋体" w:hAnsi="宋体" w:cs="宋体"/>
                <w:color w:val="auto"/>
                <w:sz w:val="24"/>
                <w:szCs w:val="24"/>
                <w:highlight w:val="none"/>
              </w:rPr>
            </w:pPr>
          </w:p>
        </w:tc>
        <w:tc>
          <w:tcPr>
            <w:tcW w:w="558" w:type="pct"/>
            <w:vAlign w:val="center"/>
          </w:tcPr>
          <w:p w14:paraId="273F38C4">
            <w:pPr>
              <w:spacing w:before="0" w:beforeAutospacing="0" w:after="0" w:afterAutospacing="0"/>
              <w:jc w:val="center"/>
              <w:rPr>
                <w:rFonts w:hint="eastAsia" w:ascii="宋体" w:hAnsi="宋体" w:cs="宋体"/>
                <w:color w:val="auto"/>
                <w:sz w:val="24"/>
                <w:szCs w:val="24"/>
                <w:highlight w:val="none"/>
              </w:rPr>
            </w:pPr>
          </w:p>
        </w:tc>
      </w:tr>
    </w:tbl>
    <w:p w14:paraId="7DFC5C89">
      <w:pPr>
        <w:adjustRightInd w:val="0"/>
        <w:snapToGrid w:val="0"/>
        <w:spacing w:beforeAutospacing="0" w:afterAutospacing="0" w:line="360" w:lineRule="auto"/>
        <w:rPr>
          <w:rFonts w:hint="eastAsia" w:ascii="黑体" w:hAnsi="黑体" w:eastAsia="黑体"/>
          <w:color w:val="auto"/>
          <w:sz w:val="28"/>
          <w:szCs w:val="28"/>
          <w:highlight w:val="none"/>
          <w:lang w:eastAsia="zh-Hans"/>
        </w:rPr>
      </w:pPr>
    </w:p>
    <w:p w14:paraId="75B2CACC">
      <w:bookmarkStart w:id="0" w:name="_GoBack"/>
      <w:bookmarkEnd w:id="0"/>
    </w:p>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BB1D5">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B52D8">
                          <w:pPr>
                            <w:pStyle w:val="3"/>
                          </w:pPr>
                          <w:r>
                            <w:t xml:space="preserve">第 </w:t>
                          </w:r>
                          <w:r>
                            <w:fldChar w:fldCharType="begin"/>
                          </w:r>
                          <w:r>
                            <w:instrText xml:space="preserve"> PAGE  \* MERGEFORMAT </w:instrText>
                          </w:r>
                          <w:r>
                            <w:fldChar w:fldCharType="separate"/>
                          </w:r>
                          <w:r>
                            <w:t>82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A8B52D8">
                    <w:pPr>
                      <w:pStyle w:val="3"/>
                    </w:pPr>
                    <w:r>
                      <w:t xml:space="preserve">第 </w:t>
                    </w:r>
                    <w:r>
                      <w:fldChar w:fldCharType="begin"/>
                    </w:r>
                    <w:r>
                      <w:instrText xml:space="preserve"> PAGE  \* MERGEFORMAT </w:instrText>
                    </w:r>
                    <w:r>
                      <w:fldChar w:fldCharType="separate"/>
                    </w:r>
                    <w:r>
                      <w:t>82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C8D35">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0FB6B90">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70FB6B90">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36203">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B5CEC17">
                          <w:pPr>
                            <w:pStyle w:val="3"/>
                          </w:pPr>
                          <w:r>
                            <w:t xml:space="preserve">第 </w:t>
                          </w:r>
                          <w:r>
                            <w:fldChar w:fldCharType="begin"/>
                          </w:r>
                          <w:r>
                            <w:instrText xml:space="preserve"> PAGE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14:paraId="0B5CEC17">
                    <w:pPr>
                      <w:pStyle w:val="3"/>
                    </w:pPr>
                    <w:r>
                      <w:t xml:space="preserve">第 </w:t>
                    </w:r>
                    <w:r>
                      <w:fldChar w:fldCharType="begin"/>
                    </w:r>
                    <w:r>
                      <w:instrText xml:space="preserve"> PAGE  \* MERGEFORMAT </w:instrText>
                    </w:r>
                    <w:r>
                      <w:fldChar w:fldCharType="separate"/>
                    </w:r>
                    <w:r>
                      <w:t>46</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4AE40">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CF238C">
                          <w:pPr>
                            <w:pStyle w:val="3"/>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0CF238C">
                    <w:pPr>
                      <w:pStyle w:val="3"/>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09D48">
    <w:pPr>
      <w:pStyle w:val="4"/>
      <w:pBdr>
        <w:bottom w:val="none" w:color="auto" w:sz="0" w:space="0"/>
      </w:pBdr>
      <w:jc w:val="righ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F0A22">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BA2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paragraph" w:customStyle="1" w:styleId="8">
    <w:name w:val="普通(网站)1"/>
    <w:basedOn w:val="1"/>
    <w:qFormat/>
    <w:uiPriority w:val="0"/>
    <w:pPr>
      <w:widowControl/>
      <w:spacing w:line="360" w:lineRule="auto"/>
      <w:ind w:firstLine="200" w:firstLineChars="200"/>
      <w:jc w:val="left"/>
    </w:pPr>
    <w:rPr>
      <w:rFonts w:asci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2026-06-29T09:43:05Z</dcterms:created>
  <dc:creator>Administrator</dc:creator>
  <cp:lastModifiedBy>开瑞</cp:lastModifiedBy>
  <dcterms:modified xsi:type="dcterms:W3CDTF">2026-06-29T09:43:23Z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A843338B10C041B0982488C892FFC065_12</vt:lpwstr>
  </property>
</Properties>
</file>