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0A0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rPr>
      </w:pPr>
      <w:r>
        <w:rPr>
          <w:rFonts w:hint="eastAsia" w:ascii="宋体" w:hAnsi="宋体" w:eastAsia="宋体" w:cs="宋体"/>
          <w:b/>
          <w:bCs/>
          <w:i w:val="0"/>
          <w:iCs w:val="0"/>
          <w:caps w:val="0"/>
          <w:color w:val="auto"/>
          <w:spacing w:val="0"/>
          <w:sz w:val="39"/>
          <w:szCs w:val="39"/>
          <w:highlight w:val="none"/>
          <w:shd w:val="clear" w:fill="FFFFFF"/>
        </w:rPr>
        <w:t>拟签订采购合同文本</w:t>
      </w:r>
    </w:p>
    <w:p w14:paraId="3998CB07">
      <w:pPr>
        <w:rPr>
          <w:rFonts w:hint="eastAsia" w:ascii="宋体" w:hAnsi="宋体" w:eastAsia="宋体" w:cs="宋体"/>
          <w:color w:val="auto"/>
          <w:sz w:val="21"/>
          <w:szCs w:val="21"/>
          <w:highlight w:val="none"/>
          <w:lang w:val="en-US" w:eastAsia="zh-CN"/>
        </w:rPr>
      </w:pPr>
    </w:p>
    <w:p w14:paraId="3EBBFD31">
      <w:pPr>
        <w:pStyle w:val="2"/>
        <w:spacing w:before="312" w:beforeLines="100" w:after="312" w:afterLines="100"/>
        <w:jc w:val="center"/>
        <w:rPr>
          <w:rFonts w:hint="eastAsia" w:ascii="宋体" w:hAnsi="宋体" w:eastAsia="宋体" w:cs="宋体"/>
          <w:color w:val="auto"/>
          <w:sz w:val="36"/>
          <w:szCs w:val="36"/>
          <w:highlight w:val="none"/>
          <w:lang w:val="en-US" w:eastAsia="zh-CN"/>
        </w:rPr>
      </w:pPr>
    </w:p>
    <w:p w14:paraId="781CF4DC">
      <w:pPr>
        <w:rPr>
          <w:rFonts w:hint="eastAsia" w:ascii="宋体" w:hAnsi="宋体" w:eastAsia="宋体" w:cs="宋体"/>
          <w:color w:val="auto"/>
          <w:highlight w:val="none"/>
          <w:lang w:val="en-US" w:eastAsia="zh-CN"/>
        </w:rPr>
      </w:pPr>
    </w:p>
    <w:p w14:paraId="6501B75E">
      <w:pPr>
        <w:pStyle w:val="2"/>
        <w:spacing w:before="312" w:beforeLines="100" w:after="312" w:afterLines="100"/>
        <w:jc w:val="center"/>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t>2026年⽼年⽂化图书和⾳像制品项⽬</w:t>
      </w:r>
    </w:p>
    <w:p w14:paraId="2F6A6C8E">
      <w:pPr>
        <w:pStyle w:val="2"/>
        <w:spacing w:before="312" w:beforeLines="100" w:after="312" w:afterLines="100"/>
        <w:jc w:val="center"/>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t>采购合同</w:t>
      </w:r>
    </w:p>
    <w:p w14:paraId="2D55BBA1">
      <w:pPr>
        <w:pStyle w:val="2"/>
        <w:spacing w:before="312" w:beforeLines="100" w:after="312" w:afterLines="100"/>
        <w:jc w:val="center"/>
        <w:rPr>
          <w:rFonts w:hint="eastAsia" w:ascii="宋体" w:hAnsi="宋体" w:eastAsia="宋体" w:cs="宋体"/>
          <w:color w:val="auto"/>
          <w:sz w:val="30"/>
          <w:szCs w:val="30"/>
          <w:highlight w:val="none"/>
          <w:u w:val="single"/>
          <w:lang w:val="en-US" w:eastAsia="zh-CN"/>
        </w:rPr>
      </w:pPr>
      <w:r>
        <w:rPr>
          <w:rFonts w:hint="eastAsia" w:ascii="宋体" w:hAnsi="宋体" w:eastAsia="宋体" w:cs="宋体"/>
          <w:color w:val="auto"/>
          <w:sz w:val="30"/>
          <w:szCs w:val="30"/>
          <w:highlight w:val="none"/>
          <w:u w:val="single"/>
          <w:lang w:val="en-US" w:eastAsia="zh-CN"/>
        </w:rPr>
        <w:t>（采购包号、采购包名称）</w:t>
      </w:r>
    </w:p>
    <w:p w14:paraId="5960706C">
      <w:pP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059A2633">
      <w:pPr>
        <w:rPr>
          <w:rFonts w:hint="eastAsia" w:ascii="宋体" w:hAnsi="宋体" w:eastAsia="宋体" w:cs="宋体"/>
          <w:bCs/>
          <w:color w:val="auto"/>
          <w:sz w:val="36"/>
          <w:szCs w:val="36"/>
          <w:highlight w:val="none"/>
        </w:rPr>
      </w:pPr>
    </w:p>
    <w:p w14:paraId="41C00CDD">
      <w:pPr>
        <w:rPr>
          <w:rFonts w:hint="eastAsia" w:ascii="宋体" w:hAnsi="宋体" w:eastAsia="宋体" w:cs="宋体"/>
          <w:bCs/>
          <w:color w:val="auto"/>
          <w:sz w:val="36"/>
          <w:szCs w:val="36"/>
          <w:highlight w:val="none"/>
        </w:rPr>
      </w:pPr>
    </w:p>
    <w:p w14:paraId="2607B17F">
      <w:pPr>
        <w:rPr>
          <w:rFonts w:hint="eastAsia" w:ascii="宋体" w:hAnsi="宋体" w:eastAsia="宋体" w:cs="宋体"/>
          <w:bCs/>
          <w:color w:val="auto"/>
          <w:sz w:val="36"/>
          <w:szCs w:val="36"/>
          <w:highlight w:val="none"/>
        </w:rPr>
      </w:pPr>
    </w:p>
    <w:p w14:paraId="11060529">
      <w:pPr>
        <w:rPr>
          <w:rFonts w:hint="eastAsia" w:ascii="宋体" w:hAnsi="宋体" w:eastAsia="宋体" w:cs="宋体"/>
          <w:bCs/>
          <w:color w:val="auto"/>
          <w:sz w:val="36"/>
          <w:szCs w:val="36"/>
          <w:highlight w:val="none"/>
        </w:rPr>
      </w:pPr>
    </w:p>
    <w:p w14:paraId="486355C2">
      <w:pPr>
        <w:pStyle w:val="4"/>
        <w:spacing w:line="600" w:lineRule="auto"/>
        <w:ind w:firstLine="1680" w:firstLineChars="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ab/>
      </w:r>
    </w:p>
    <w:p w14:paraId="22F3EB21">
      <w:pPr>
        <w:pStyle w:val="4"/>
        <w:spacing w:line="600" w:lineRule="auto"/>
        <w:ind w:firstLine="560" w:firstLineChars="200"/>
        <w:jc w:val="center"/>
        <w:rPr>
          <w:rFonts w:hint="eastAsia" w:ascii="宋体" w:hAnsi="宋体" w:eastAsia="宋体" w:cs="宋体"/>
          <w:color w:val="auto"/>
          <w:sz w:val="28"/>
          <w:szCs w:val="28"/>
          <w:highlight w:val="none"/>
        </w:rPr>
      </w:pPr>
    </w:p>
    <w:p w14:paraId="73C950C1">
      <w:pPr>
        <w:pStyle w:val="4"/>
        <w:spacing w:line="600" w:lineRule="auto"/>
        <w:ind w:firstLine="1680" w:firstLineChars="60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甲　　方：</w:t>
      </w:r>
      <w:r>
        <w:rPr>
          <w:rFonts w:hint="eastAsia" w:ascii="宋体" w:hAnsi="宋体" w:eastAsia="宋体" w:cs="宋体"/>
          <w:color w:val="auto"/>
          <w:sz w:val="28"/>
          <w:szCs w:val="28"/>
          <w:highlight w:val="none"/>
          <w:u w:val="single"/>
          <w:lang w:val="en-US" w:eastAsia="zh-CN"/>
        </w:rPr>
        <w:t xml:space="preserve">                      </w:t>
      </w:r>
    </w:p>
    <w:p w14:paraId="2D360734">
      <w:pPr>
        <w:pStyle w:val="4"/>
        <w:spacing w:line="600" w:lineRule="auto"/>
        <w:ind w:firstLine="560" w:firstLineChars="200"/>
        <w:jc w:val="center"/>
        <w:rPr>
          <w:rFonts w:hint="eastAsia" w:ascii="宋体" w:hAnsi="宋体" w:eastAsia="宋体" w:cs="宋体"/>
          <w:color w:val="auto"/>
          <w:sz w:val="28"/>
          <w:szCs w:val="28"/>
          <w:highlight w:val="none"/>
        </w:rPr>
      </w:pPr>
    </w:p>
    <w:p w14:paraId="13B4938F">
      <w:pPr>
        <w:pStyle w:val="4"/>
        <w:spacing w:line="600" w:lineRule="auto"/>
        <w:ind w:firstLine="1680" w:firstLineChars="60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乙　　方：</w:t>
      </w:r>
      <w:r>
        <w:rPr>
          <w:rFonts w:hint="eastAsia" w:ascii="宋体" w:hAnsi="宋体" w:eastAsia="宋体" w:cs="宋体"/>
          <w:color w:val="auto"/>
          <w:sz w:val="28"/>
          <w:szCs w:val="28"/>
          <w:highlight w:val="none"/>
          <w:u w:val="single"/>
          <w:lang w:val="en-US" w:eastAsia="zh-CN"/>
        </w:rPr>
        <w:t xml:space="preserve">                      </w:t>
      </w:r>
    </w:p>
    <w:p w14:paraId="7C106F13">
      <w:pPr>
        <w:rPr>
          <w:rFonts w:hint="eastAsia" w:ascii="宋体" w:hAnsi="宋体" w:eastAsia="宋体" w:cs="宋体"/>
          <w:color w:val="auto"/>
          <w:sz w:val="30"/>
          <w:szCs w:val="30"/>
          <w:highlight w:val="none"/>
        </w:rPr>
      </w:pPr>
      <w:r>
        <w:rPr>
          <w:rFonts w:hint="eastAsia" w:ascii="宋体" w:hAnsi="宋体" w:eastAsia="宋体" w:cs="宋体"/>
          <w:bCs/>
          <w:color w:val="auto"/>
          <w:sz w:val="36"/>
          <w:szCs w:val="36"/>
          <w:highlight w:val="none"/>
        </w:rPr>
        <w:br w:type="page"/>
      </w:r>
    </w:p>
    <w:p w14:paraId="5EDB8A22">
      <w:pPr>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一、合同格式</w:t>
      </w:r>
    </w:p>
    <w:p w14:paraId="682839BF">
      <w:pPr>
        <w:widowControl/>
        <w:spacing w:line="480" w:lineRule="exact"/>
        <w:ind w:right="-197" w:rightChars="-94"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2026年⽼年⽂化图书和⾳像制品项⽬</w:t>
      </w:r>
      <w:r>
        <w:rPr>
          <w:rFonts w:hint="eastAsia" w:ascii="宋体" w:hAnsi="宋体" w:eastAsia="宋体" w:cs="宋体"/>
          <w:color w:val="auto"/>
          <w:spacing w:val="0"/>
          <w:sz w:val="21"/>
          <w:szCs w:val="21"/>
          <w:highlight w:val="none"/>
        </w:rPr>
        <w:t>(项目编号：</w:t>
      </w:r>
      <w:r>
        <w:rPr>
          <w:rFonts w:hint="eastAsia" w:ascii="宋体" w:hAnsi="宋体" w:eastAsia="宋体" w:cs="宋体"/>
          <w:color w:val="auto"/>
          <w:spacing w:val="0"/>
          <w:sz w:val="21"/>
          <w:szCs w:val="21"/>
          <w:highlight w:val="none"/>
          <w:u w:val="single"/>
          <w:lang w:val="en-US" w:eastAsia="zh-CN"/>
        </w:rPr>
        <w:t>SDZC2026-082</w:t>
      </w:r>
      <w:r>
        <w:rPr>
          <w:rFonts w:hint="eastAsia" w:ascii="宋体" w:hAnsi="宋体" w:eastAsia="宋体" w:cs="宋体"/>
          <w:color w:val="auto"/>
          <w:spacing w:val="0"/>
          <w:sz w:val="21"/>
          <w:szCs w:val="21"/>
          <w:highlight w:val="none"/>
          <w:lang w:val="en-US" w:eastAsia="zh-CN"/>
        </w:rPr>
        <w:t>、采购包号：</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陕西省财政厅采购管理处</w:t>
      </w:r>
      <w:r>
        <w:rPr>
          <w:rFonts w:hint="eastAsia" w:ascii="宋体" w:hAnsi="宋体" w:eastAsia="宋体" w:cs="宋体"/>
          <w:color w:val="auto"/>
          <w:sz w:val="21"/>
          <w:szCs w:val="21"/>
          <w:highlight w:val="none"/>
        </w:rPr>
        <w:t>的监督管理</w:t>
      </w:r>
      <w:r>
        <w:rPr>
          <w:rFonts w:hint="eastAsia" w:ascii="宋体" w:hAnsi="宋体" w:eastAsia="宋体" w:cs="宋体"/>
          <w:color w:val="auto"/>
          <w:kern w:val="0"/>
          <w:sz w:val="21"/>
          <w:szCs w:val="21"/>
          <w:highlight w:val="none"/>
        </w:rPr>
        <w:t>下，由陕西上德招标有限公司组织公开招标。</w:t>
      </w:r>
      <w:r>
        <w:rPr>
          <w:rFonts w:hint="eastAsia" w:ascii="宋体" w:hAnsi="宋体" w:eastAsia="宋体" w:cs="宋体"/>
          <w:color w:val="auto"/>
          <w:sz w:val="21"/>
          <w:szCs w:val="21"/>
          <w:highlight w:val="none"/>
          <w:u w:val="single"/>
          <w:lang w:eastAsia="zh-CN"/>
        </w:rPr>
        <w:t>陕西省民政厅</w:t>
      </w:r>
      <w:r>
        <w:rPr>
          <w:rFonts w:hint="eastAsia" w:ascii="宋体" w:hAnsi="宋体" w:eastAsia="宋体" w:cs="宋体"/>
          <w:color w:val="auto"/>
          <w:kern w:val="0"/>
          <w:sz w:val="21"/>
          <w:szCs w:val="21"/>
          <w:highlight w:val="none"/>
          <w:u w:val="single"/>
        </w:rPr>
        <w:t>(以下简称“甲方”)</w:t>
      </w:r>
      <w:r>
        <w:rPr>
          <w:rFonts w:hint="eastAsia" w:ascii="宋体" w:hAnsi="宋体" w:eastAsia="宋体" w:cs="宋体"/>
          <w:color w:val="auto"/>
          <w:kern w:val="0"/>
          <w:sz w:val="21"/>
          <w:szCs w:val="21"/>
          <w:highlight w:val="none"/>
        </w:rPr>
        <w:t>确定</w:t>
      </w:r>
      <w:r>
        <w:rPr>
          <w:rFonts w:hint="eastAsia" w:ascii="宋体" w:hAnsi="宋体" w:eastAsia="宋体" w:cs="宋体"/>
          <w:color w:val="auto"/>
          <w:kern w:val="0"/>
          <w:sz w:val="21"/>
          <w:szCs w:val="21"/>
          <w:highlight w:val="none"/>
          <w:u w:val="single"/>
        </w:rPr>
        <w:t>(中标单位名称)（以下简称“乙方”）</w:t>
      </w:r>
      <w:r>
        <w:rPr>
          <w:rFonts w:hint="eastAsia" w:ascii="宋体" w:hAnsi="宋体" w:eastAsia="宋体" w:cs="宋体"/>
          <w:color w:val="auto"/>
          <w:kern w:val="0"/>
          <w:sz w:val="21"/>
          <w:szCs w:val="21"/>
          <w:highlight w:val="none"/>
        </w:rPr>
        <w:t>为中标单位。</w:t>
      </w:r>
    </w:p>
    <w:p w14:paraId="3FCA667A">
      <w:pPr>
        <w:spacing w:line="460" w:lineRule="exact"/>
        <w:ind w:right="210" w:rightChars="1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依据《</w:t>
      </w:r>
      <w:r>
        <w:rPr>
          <w:rFonts w:hint="eastAsia" w:ascii="宋体" w:hAnsi="宋体" w:eastAsia="宋体" w:cs="宋体"/>
          <w:color w:val="auto"/>
          <w:kern w:val="0"/>
          <w:sz w:val="21"/>
          <w:szCs w:val="21"/>
          <w:highlight w:val="none"/>
          <w:lang w:eastAsia="zh-CN"/>
        </w:rPr>
        <w:t>中华人民共和国民法典</w:t>
      </w:r>
      <w:r>
        <w:rPr>
          <w:rFonts w:hint="eastAsia" w:ascii="宋体" w:hAnsi="宋体" w:eastAsia="宋体" w:cs="宋体"/>
          <w:color w:val="auto"/>
          <w:kern w:val="0"/>
          <w:sz w:val="21"/>
          <w:szCs w:val="21"/>
          <w:highlight w:val="none"/>
        </w:rPr>
        <w:t>》和《中华人民共和国政府采购法》《中华人民共和国政府采购法实施条例》，甲方通过公开招标采购</w:t>
      </w:r>
      <w:r>
        <w:rPr>
          <w:rFonts w:hint="eastAsia" w:ascii="宋体" w:hAnsi="宋体" w:eastAsia="宋体" w:cs="宋体"/>
          <w:color w:val="auto"/>
          <w:kern w:val="0"/>
          <w:sz w:val="21"/>
          <w:szCs w:val="21"/>
          <w:highlight w:val="none"/>
          <w:u w:val="single"/>
        </w:rPr>
        <w:t>（服务名称）</w:t>
      </w:r>
      <w:r>
        <w:rPr>
          <w:rFonts w:hint="eastAsia" w:ascii="宋体" w:hAnsi="宋体" w:eastAsia="宋体" w:cs="宋体"/>
          <w:color w:val="auto"/>
          <w:kern w:val="0"/>
          <w:sz w:val="21"/>
          <w:szCs w:val="21"/>
          <w:highlight w:val="none"/>
        </w:rPr>
        <w:t>，并接受了乙方以价格</w:t>
      </w:r>
      <w:r>
        <w:rPr>
          <w:rFonts w:hint="eastAsia" w:ascii="宋体" w:hAnsi="宋体" w:eastAsia="宋体" w:cs="宋体"/>
          <w:color w:val="auto"/>
          <w:kern w:val="0"/>
          <w:sz w:val="21"/>
          <w:szCs w:val="21"/>
          <w:highlight w:val="none"/>
          <w:u w:val="single"/>
        </w:rPr>
        <w:t>(中标金额大写)</w:t>
      </w:r>
      <w:r>
        <w:rPr>
          <w:rFonts w:hint="eastAsia" w:ascii="宋体" w:hAnsi="宋体" w:eastAsia="宋体" w:cs="宋体"/>
          <w:color w:val="auto"/>
          <w:kern w:val="0"/>
          <w:sz w:val="21"/>
          <w:szCs w:val="21"/>
          <w:highlight w:val="none"/>
        </w:rPr>
        <w:t>(以下简称“合同价”)提供的产品及服务。</w:t>
      </w:r>
      <w:bookmarkStart w:id="4" w:name="_GoBack"/>
      <w:bookmarkEnd w:id="4"/>
    </w:p>
    <w:p w14:paraId="43DCD382">
      <w:pPr>
        <w:spacing w:line="460" w:lineRule="exact"/>
        <w:ind w:firstLine="420" w:firstLineChars="200"/>
        <w:rPr>
          <w:rFonts w:hint="eastAsia" w:ascii="宋体" w:hAnsi="宋体" w:eastAsia="宋体" w:cs="宋体"/>
          <w:color w:val="auto"/>
          <w:sz w:val="21"/>
          <w:szCs w:val="21"/>
          <w:highlight w:val="none"/>
        </w:rPr>
      </w:pPr>
      <w:bookmarkStart w:id="0" w:name="_Toc193187095"/>
      <w:bookmarkStart w:id="1" w:name="_Toc188808831"/>
      <w:bookmarkStart w:id="2" w:name="_Toc193126879"/>
      <w:bookmarkStart w:id="3" w:name="_Toc194663916"/>
      <w:r>
        <w:rPr>
          <w:rFonts w:hint="eastAsia" w:ascii="宋体" w:hAnsi="宋体" w:eastAsia="宋体" w:cs="宋体"/>
          <w:color w:val="auto"/>
          <w:sz w:val="21"/>
          <w:szCs w:val="21"/>
          <w:highlight w:val="none"/>
        </w:rPr>
        <w:t>本合同在此声明如下：</w:t>
      </w:r>
    </w:p>
    <w:p w14:paraId="435C98DC">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本合同中的词语和术语的含义与合同条款中定义的相同。</w:t>
      </w:r>
    </w:p>
    <w:p w14:paraId="68652BA4">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下述文件是本合同的一部分，并与本合同一起阅读和解释：</w:t>
      </w:r>
    </w:p>
    <w:p w14:paraId="7CD75858">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合同条款</w:t>
      </w:r>
    </w:p>
    <w:p w14:paraId="30C5749F">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中标通知书</w:t>
      </w:r>
    </w:p>
    <w:p w14:paraId="38FC6C96">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招标文件</w:t>
      </w:r>
    </w:p>
    <w:p w14:paraId="388173BC">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投标文件</w:t>
      </w:r>
    </w:p>
    <w:p w14:paraId="18B6959C">
      <w:pPr>
        <w:pStyle w:val="4"/>
        <w:spacing w:line="336"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kern w:val="2"/>
          <w:sz w:val="21"/>
          <w:szCs w:val="21"/>
          <w:highlight w:val="none"/>
          <w:lang w:val="en-US" w:eastAsia="zh-CN" w:bidi="ar-SA"/>
        </w:rPr>
        <w:t>合同标的(根据实际情况填写)</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2A6C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AB526F3">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服务名称</w:t>
            </w:r>
          </w:p>
        </w:tc>
        <w:tc>
          <w:tcPr>
            <w:tcW w:w="816" w:type="dxa"/>
            <w:noWrap w:val="0"/>
            <w:vAlign w:val="center"/>
          </w:tcPr>
          <w:p w14:paraId="6A65755A">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816" w:type="dxa"/>
            <w:noWrap w:val="0"/>
            <w:vAlign w:val="center"/>
          </w:tcPr>
          <w:p w14:paraId="3510EE6B">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5164" w:type="dxa"/>
            <w:noWrap w:val="0"/>
            <w:vAlign w:val="center"/>
          </w:tcPr>
          <w:p w14:paraId="364C236E">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具体服务承诺(包含但不限于服务内容、范围和基本要求)</w:t>
            </w:r>
          </w:p>
        </w:tc>
      </w:tr>
      <w:tr w14:paraId="01F3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EDC1165">
            <w:pPr>
              <w:pStyle w:val="4"/>
              <w:jc w:val="center"/>
              <w:rPr>
                <w:rFonts w:hint="eastAsia" w:ascii="宋体" w:hAnsi="宋体" w:eastAsia="宋体" w:cs="宋体"/>
                <w:color w:val="auto"/>
                <w:sz w:val="24"/>
                <w:szCs w:val="24"/>
                <w:highlight w:val="none"/>
              </w:rPr>
            </w:pPr>
          </w:p>
        </w:tc>
        <w:tc>
          <w:tcPr>
            <w:tcW w:w="816" w:type="dxa"/>
            <w:noWrap w:val="0"/>
            <w:vAlign w:val="center"/>
          </w:tcPr>
          <w:p w14:paraId="5A259E39">
            <w:pPr>
              <w:pStyle w:val="4"/>
              <w:jc w:val="center"/>
              <w:rPr>
                <w:rFonts w:hint="eastAsia" w:ascii="宋体" w:hAnsi="宋体" w:eastAsia="宋体" w:cs="宋体"/>
                <w:color w:val="auto"/>
                <w:sz w:val="24"/>
                <w:szCs w:val="24"/>
                <w:highlight w:val="none"/>
                <w:lang w:val="en-US" w:eastAsia="zh-CN"/>
              </w:rPr>
            </w:pPr>
          </w:p>
        </w:tc>
        <w:tc>
          <w:tcPr>
            <w:tcW w:w="816" w:type="dxa"/>
            <w:noWrap w:val="0"/>
            <w:vAlign w:val="center"/>
          </w:tcPr>
          <w:p w14:paraId="2E3250C8">
            <w:pPr>
              <w:pStyle w:val="4"/>
              <w:jc w:val="center"/>
              <w:rPr>
                <w:rFonts w:hint="eastAsia" w:ascii="宋体" w:hAnsi="宋体" w:eastAsia="宋体" w:cs="宋体"/>
                <w:color w:val="auto"/>
                <w:sz w:val="24"/>
                <w:szCs w:val="24"/>
                <w:highlight w:val="none"/>
              </w:rPr>
            </w:pPr>
          </w:p>
        </w:tc>
        <w:tc>
          <w:tcPr>
            <w:tcW w:w="5164" w:type="dxa"/>
            <w:noWrap w:val="0"/>
            <w:vAlign w:val="center"/>
          </w:tcPr>
          <w:p w14:paraId="76C95368">
            <w:pPr>
              <w:pStyle w:val="4"/>
              <w:numPr>
                <w:ilvl w:val="0"/>
                <w:numId w:val="0"/>
              </w:numPr>
              <w:ind w:left="120" w:leftChars="0"/>
              <w:jc w:val="left"/>
              <w:rPr>
                <w:rFonts w:hint="eastAsia" w:ascii="宋体" w:hAnsi="宋体" w:eastAsia="宋体" w:cs="宋体"/>
                <w:color w:val="auto"/>
                <w:sz w:val="24"/>
                <w:szCs w:val="24"/>
                <w:highlight w:val="none"/>
                <w:lang w:val="en-US" w:eastAsia="zh-CN"/>
              </w:rPr>
            </w:pPr>
          </w:p>
        </w:tc>
      </w:tr>
      <w:tr w14:paraId="1BBC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3BE0757">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816" w:type="dxa"/>
            <w:noWrap w:val="0"/>
            <w:vAlign w:val="center"/>
          </w:tcPr>
          <w:p w14:paraId="27263C64">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816" w:type="dxa"/>
            <w:noWrap w:val="0"/>
            <w:vAlign w:val="center"/>
          </w:tcPr>
          <w:p w14:paraId="7CA30223">
            <w:pPr>
              <w:pStyle w:val="4"/>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c>
          <w:tcPr>
            <w:tcW w:w="5164" w:type="dxa"/>
            <w:noWrap w:val="0"/>
            <w:vAlign w:val="center"/>
          </w:tcPr>
          <w:p w14:paraId="1A1B3C19">
            <w:pPr>
              <w:pStyle w:val="4"/>
              <w:numPr>
                <w:ilvl w:val="0"/>
                <w:numId w:val="0"/>
              </w:numPr>
              <w:ind w:left="12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r>
    </w:tbl>
    <w:p w14:paraId="5099ADEA">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考虑到甲方将按照本合同向乙方支付</w:t>
      </w:r>
      <w:r>
        <w:rPr>
          <w:rFonts w:hint="eastAsia" w:ascii="宋体" w:hAnsi="宋体" w:eastAsia="宋体" w:cs="宋体"/>
          <w:color w:val="auto"/>
          <w:sz w:val="21"/>
          <w:szCs w:val="21"/>
          <w:highlight w:val="none"/>
          <w:lang w:eastAsia="zh-CN"/>
        </w:rPr>
        <w:t>合同款</w:t>
      </w:r>
      <w:r>
        <w:rPr>
          <w:rFonts w:hint="eastAsia" w:ascii="宋体" w:hAnsi="宋体" w:eastAsia="宋体" w:cs="宋体"/>
          <w:color w:val="auto"/>
          <w:sz w:val="21"/>
          <w:szCs w:val="21"/>
          <w:highlight w:val="none"/>
        </w:rPr>
        <w:t>，乙方在此保证全部按照合同的规定向甲方提供服务，并修补缺陷。</w:t>
      </w:r>
    </w:p>
    <w:p w14:paraId="118AE9A4">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考虑到乙方提供的服务并修补缺陷，甲方在此保证按照合同规定的时间和方式向乙方支付合同价或其他按合同规定应支付的金额。</w:t>
      </w:r>
    </w:p>
    <w:p w14:paraId="20244E03">
      <w:pPr>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付款方式：</w:t>
      </w:r>
    </w:p>
    <w:p w14:paraId="68CE2EE9">
      <w:pPr>
        <w:adjustRightInd w:val="0"/>
        <w:spacing w:line="4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份，甲方执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份、乙方执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份、采购代理机构（见证方）执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份。在甲、乙及见证方法定代表人或被授权代表人签字（或盖章）并加盖单位公章（或合同专用章）。见证方只见证合同金额。</w:t>
      </w:r>
    </w:p>
    <w:p w14:paraId="787852AA">
      <w:pPr>
        <w:adjustRightInd w:val="0"/>
        <w:snapToGrid w:val="0"/>
        <w:spacing w:line="46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本合同由甲乙双方共同签字盖章之日起生效。</w:t>
      </w:r>
    </w:p>
    <w:p w14:paraId="194A7098">
      <w:pPr>
        <w:adjustRightInd w:val="0"/>
        <w:spacing w:line="520" w:lineRule="exact"/>
        <w:ind w:firstLine="420" w:firstLineChars="200"/>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9.政府采购信用担保及信用融资政策</w:t>
      </w:r>
    </w:p>
    <w:p w14:paraId="2A350FE4">
      <w:pPr>
        <w:adjustRightInd w:val="0"/>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341AEFD">
      <w:pPr>
        <w:adjustRightInd w:val="0"/>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如果需要融资贷款服务</w:t>
      </w:r>
      <w:r>
        <w:rPr>
          <w:rFonts w:hint="eastAsia" w:ascii="宋体" w:hAnsi="宋体" w:eastAsia="宋体" w:cs="宋体"/>
          <w:color w:val="auto"/>
          <w:sz w:val="21"/>
          <w:szCs w:val="21"/>
          <w:highlight w:val="none"/>
          <w:lang w:eastAsia="zh-CN"/>
        </w:rPr>
        <w:t>需求</w:t>
      </w:r>
      <w:r>
        <w:rPr>
          <w:rFonts w:hint="eastAsia" w:ascii="宋体" w:hAnsi="宋体" w:eastAsia="宋体" w:cs="宋体"/>
          <w:color w:val="auto"/>
          <w:sz w:val="21"/>
          <w:szCs w:val="21"/>
          <w:highlight w:val="none"/>
        </w:rPr>
        <w:t>的，可凭</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通知书、政府采购合同等相关资料，按照文件规定的相关政策、业务流程申请办理，具体规定可</w:t>
      </w:r>
      <w:r>
        <w:rPr>
          <w:rFonts w:hint="eastAsia" w:ascii="宋体" w:hAnsi="宋体" w:eastAsia="宋体" w:cs="宋体"/>
          <w:color w:val="auto"/>
          <w:sz w:val="21"/>
          <w:szCs w:val="21"/>
          <w:highlight w:val="none"/>
          <w:lang w:eastAsia="zh-CN"/>
        </w:rPr>
        <w:t>登录</w:t>
      </w:r>
      <w:r>
        <w:rPr>
          <w:rFonts w:hint="eastAsia" w:ascii="宋体" w:hAnsi="宋体" w:eastAsia="宋体" w:cs="宋体"/>
          <w:color w:val="auto"/>
          <w:sz w:val="21"/>
          <w:szCs w:val="21"/>
          <w:highlight w:val="none"/>
        </w:rPr>
        <w:t>陕西省政府采购信用融资平台（http://www.ccgp-shaanxi.gov.cn/zcdservice/zcd/shanxi/）查询了解。</w:t>
      </w:r>
    </w:p>
    <w:p w14:paraId="1C0EFEC9">
      <w:pPr>
        <w:pStyle w:val="5"/>
        <w:rPr>
          <w:rFonts w:hint="eastAsia" w:ascii="宋体" w:hAnsi="宋体" w:eastAsia="宋体" w:cs="宋体"/>
          <w:color w:val="auto"/>
          <w:sz w:val="21"/>
          <w:szCs w:val="21"/>
          <w:highlight w:val="none"/>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180"/>
        <w:gridCol w:w="4181"/>
      </w:tblGrid>
      <w:tr w14:paraId="7BE58BBA">
        <w:tblPrEx>
          <w:tblCellMar>
            <w:top w:w="0" w:type="dxa"/>
            <w:left w:w="108" w:type="dxa"/>
            <w:bottom w:w="0" w:type="dxa"/>
            <w:right w:w="108" w:type="dxa"/>
          </w:tblCellMar>
        </w:tblPrEx>
        <w:trPr>
          <w:trHeight w:val="4391" w:hRule="atLeast"/>
        </w:trPr>
        <w:tc>
          <w:tcPr>
            <w:tcW w:w="4180" w:type="dxa"/>
            <w:noWrap w:val="0"/>
            <w:tcMar>
              <w:top w:w="113" w:type="dxa"/>
              <w:left w:w="113" w:type="dxa"/>
              <w:bottom w:w="113" w:type="dxa"/>
              <w:right w:w="113" w:type="dxa"/>
            </w:tcMar>
            <w:vAlign w:val="top"/>
          </w:tcPr>
          <w:p w14:paraId="48E66575">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甲方名称：</w:t>
            </w:r>
            <w:r>
              <w:rPr>
                <w:rFonts w:hint="eastAsia" w:ascii="宋体" w:hAnsi="宋体" w:eastAsia="宋体" w:cs="宋体"/>
                <w:color w:val="auto"/>
                <w:sz w:val="21"/>
                <w:szCs w:val="21"/>
                <w:highlight w:val="none"/>
                <w:lang w:eastAsia="zh-CN"/>
              </w:rPr>
              <w:t>（盖章）</w:t>
            </w:r>
          </w:p>
          <w:p w14:paraId="40A582A9">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    址： </w:t>
            </w:r>
          </w:p>
          <w:p w14:paraId="6F03E78E">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p>
          <w:p w14:paraId="047BA317">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p w14:paraId="005107E8">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p>
          <w:p w14:paraId="5B9BCB05">
            <w:pPr>
              <w:autoSpaceDE w:val="0"/>
              <w:autoSpaceDN w:val="0"/>
              <w:spacing w:line="460" w:lineRule="exact"/>
              <w:ind w:left="210" w:leftChars="100"/>
              <w:rPr>
                <w:rFonts w:hint="eastAsia" w:ascii="宋体" w:hAnsi="宋体" w:eastAsia="宋体" w:cs="宋体"/>
                <w:color w:val="auto"/>
                <w:sz w:val="21"/>
                <w:szCs w:val="21"/>
                <w:highlight w:val="none"/>
              </w:rPr>
            </w:pPr>
          </w:p>
          <w:p w14:paraId="4BA34E45">
            <w:pPr>
              <w:autoSpaceDE w:val="0"/>
              <w:autoSpaceDN w:val="0"/>
              <w:spacing w:line="460" w:lineRule="exact"/>
              <w:ind w:left="210" w:leftChars="100"/>
              <w:rPr>
                <w:rFonts w:hint="eastAsia" w:ascii="宋体" w:hAnsi="宋体" w:eastAsia="宋体" w:cs="宋体"/>
                <w:color w:val="auto"/>
                <w:sz w:val="21"/>
                <w:szCs w:val="21"/>
                <w:highlight w:val="none"/>
              </w:rPr>
            </w:pPr>
          </w:p>
          <w:p w14:paraId="6DAA8CDE">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p w14:paraId="4740F621">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    </w:t>
            </w:r>
          </w:p>
        </w:tc>
        <w:tc>
          <w:tcPr>
            <w:tcW w:w="4181" w:type="dxa"/>
            <w:noWrap w:val="0"/>
            <w:tcMar>
              <w:top w:w="113" w:type="dxa"/>
              <w:left w:w="113" w:type="dxa"/>
              <w:bottom w:w="113" w:type="dxa"/>
              <w:right w:w="113" w:type="dxa"/>
            </w:tcMar>
            <w:vAlign w:val="top"/>
          </w:tcPr>
          <w:p w14:paraId="5B5D6A6E">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乙方名称：</w:t>
            </w:r>
            <w:r>
              <w:rPr>
                <w:rFonts w:hint="eastAsia" w:ascii="宋体" w:hAnsi="宋体" w:eastAsia="宋体" w:cs="宋体"/>
                <w:color w:val="auto"/>
                <w:sz w:val="21"/>
                <w:szCs w:val="21"/>
                <w:highlight w:val="none"/>
                <w:lang w:eastAsia="zh-CN"/>
              </w:rPr>
              <w:t>（盖章）</w:t>
            </w:r>
          </w:p>
          <w:p w14:paraId="5CC166BD">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    址： </w:t>
            </w:r>
          </w:p>
          <w:p w14:paraId="4DE2FCCD">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邮    编： </w:t>
            </w:r>
          </w:p>
          <w:p w14:paraId="761CF018">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7D478E3A">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传    真：  </w:t>
            </w:r>
          </w:p>
          <w:p w14:paraId="68775851">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B1B36D5">
            <w:pPr>
              <w:autoSpaceDE w:val="0"/>
              <w:autoSpaceDN w:val="0"/>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账</w:t>
            </w:r>
            <w:r>
              <w:rPr>
                <w:rFonts w:hint="eastAsia" w:ascii="宋体" w:hAnsi="宋体" w:eastAsia="宋体" w:cs="宋体"/>
                <w:color w:val="auto"/>
                <w:sz w:val="21"/>
                <w:szCs w:val="21"/>
                <w:highlight w:val="none"/>
              </w:rPr>
              <w:t xml:space="preserve">    号：</w:t>
            </w:r>
          </w:p>
          <w:p w14:paraId="79108F8C">
            <w:pPr>
              <w:autoSpaceDE w:val="0"/>
              <w:autoSpaceDN w:val="0"/>
              <w:spacing w:line="460" w:lineRule="exact"/>
              <w:ind w:left="210" w:left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p>
          <w:p w14:paraId="24C23A2F">
            <w:pPr>
              <w:spacing w:line="460" w:lineRule="exact"/>
              <w:ind w:left="210" w:left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tc>
      </w:tr>
      <w:tr w14:paraId="4323EE72">
        <w:tblPrEx>
          <w:tblCellMar>
            <w:top w:w="0" w:type="dxa"/>
            <w:left w:w="108" w:type="dxa"/>
            <w:bottom w:w="0" w:type="dxa"/>
            <w:right w:w="108" w:type="dxa"/>
          </w:tblCellMar>
        </w:tblPrEx>
        <w:trPr>
          <w:trHeight w:val="2387" w:hRule="atLeast"/>
        </w:trPr>
        <w:tc>
          <w:tcPr>
            <w:tcW w:w="8361" w:type="dxa"/>
            <w:gridSpan w:val="2"/>
            <w:noWrap w:val="0"/>
            <w:tcMar>
              <w:top w:w="113" w:type="dxa"/>
              <w:left w:w="113" w:type="dxa"/>
              <w:bottom w:w="113" w:type="dxa"/>
              <w:right w:w="113" w:type="dxa"/>
            </w:tcMar>
            <w:vAlign w:val="top"/>
          </w:tcPr>
          <w:p w14:paraId="25489C80">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采购代理机构（见证方）：陕西上德招标有限公司</w:t>
            </w:r>
          </w:p>
          <w:p w14:paraId="1D12A018">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址：西安市经开区凤城八路正尚国际金融广场A座7层703</w:t>
            </w:r>
          </w:p>
          <w:p w14:paraId="53C2B81E">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话：029-86673953/86518381/89299829/89293231</w:t>
            </w:r>
          </w:p>
          <w:p w14:paraId="44E2625F">
            <w:pPr>
              <w:autoSpaceDE w:val="0"/>
              <w:autoSpaceDN w:val="0"/>
              <w:spacing w:line="46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lang w:eastAsia="zh-CN"/>
              </w:rPr>
              <w:t>或盖章：</w:t>
            </w:r>
          </w:p>
          <w:p w14:paraId="78F08BD1">
            <w:pPr>
              <w:autoSpaceDE w:val="0"/>
              <w:autoSpaceDN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  月  日</w:t>
            </w:r>
          </w:p>
        </w:tc>
      </w:tr>
      <w:bookmarkEnd w:id="0"/>
      <w:bookmarkEnd w:id="1"/>
      <w:bookmarkEnd w:id="2"/>
      <w:bookmarkEnd w:id="3"/>
    </w:tbl>
    <w:p w14:paraId="74AA6341">
      <w:pPr>
        <w:rPr>
          <w:rFonts w:hint="eastAsia" w:ascii="宋体" w:hAnsi="宋体" w:eastAsia="宋体" w:cs="宋体"/>
          <w:color w:val="auto"/>
          <w:sz w:val="21"/>
          <w:szCs w:val="21"/>
          <w:highlight w:val="none"/>
        </w:rPr>
      </w:pPr>
    </w:p>
    <w:p w14:paraId="378EC2C5">
      <w:pPr>
        <w:spacing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二、合同条款</w:t>
      </w:r>
    </w:p>
    <w:p w14:paraId="56C297B9">
      <w:pPr>
        <w:pStyle w:val="4"/>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5F9F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5CAF66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608" w:type="pct"/>
            <w:noWrap w:val="0"/>
            <w:vAlign w:val="center"/>
          </w:tcPr>
          <w:p w14:paraId="722F9931">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55ED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44727B79">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608" w:type="pct"/>
            <w:noWrap w:val="0"/>
            <w:vAlign w:val="center"/>
          </w:tcPr>
          <w:p w14:paraId="4D4A8CD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3D1E75D2">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76EE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CFFFB1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608" w:type="pct"/>
            <w:noWrap w:val="0"/>
            <w:vAlign w:val="center"/>
          </w:tcPr>
          <w:p w14:paraId="10F8C55B">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0FAE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CF26F97">
            <w:pPr>
              <w:pStyle w:val="4"/>
              <w:jc w:val="center"/>
              <w:rPr>
                <w:rFonts w:hint="eastAsia" w:ascii="宋体" w:hAnsi="宋体" w:eastAsia="宋体" w:cs="宋体"/>
                <w:color w:val="auto"/>
                <w:sz w:val="21"/>
                <w:szCs w:val="21"/>
                <w:highlight w:val="none"/>
              </w:rPr>
            </w:pPr>
          </w:p>
        </w:tc>
        <w:tc>
          <w:tcPr>
            <w:tcW w:w="4608" w:type="pct"/>
            <w:noWrap w:val="0"/>
            <w:vAlign w:val="center"/>
          </w:tcPr>
          <w:p w14:paraId="53022C6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3789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7AAE5D1">
            <w:pPr>
              <w:pStyle w:val="4"/>
              <w:jc w:val="center"/>
              <w:rPr>
                <w:rFonts w:hint="eastAsia" w:ascii="宋体" w:hAnsi="宋体" w:eastAsia="宋体" w:cs="宋体"/>
                <w:color w:val="auto"/>
                <w:sz w:val="21"/>
                <w:szCs w:val="21"/>
                <w:highlight w:val="none"/>
              </w:rPr>
            </w:pPr>
          </w:p>
        </w:tc>
        <w:tc>
          <w:tcPr>
            <w:tcW w:w="4608" w:type="pct"/>
            <w:noWrap w:val="0"/>
            <w:vAlign w:val="center"/>
          </w:tcPr>
          <w:p w14:paraId="4BDF4F7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5BD4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214C9925">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608" w:type="pct"/>
            <w:noWrap w:val="0"/>
            <w:vAlign w:val="center"/>
          </w:tcPr>
          <w:p w14:paraId="6357DA1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48ED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5C97EC4">
            <w:pPr>
              <w:pStyle w:val="4"/>
              <w:jc w:val="center"/>
              <w:rPr>
                <w:rFonts w:hint="eastAsia" w:ascii="宋体" w:hAnsi="宋体" w:eastAsia="宋体" w:cs="宋体"/>
                <w:color w:val="auto"/>
                <w:sz w:val="21"/>
                <w:szCs w:val="21"/>
                <w:highlight w:val="none"/>
              </w:rPr>
            </w:pPr>
          </w:p>
        </w:tc>
        <w:tc>
          <w:tcPr>
            <w:tcW w:w="4608" w:type="pct"/>
            <w:noWrap w:val="0"/>
            <w:vAlign w:val="center"/>
          </w:tcPr>
          <w:p w14:paraId="1AE2796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08FC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BEEC144">
            <w:pPr>
              <w:pStyle w:val="4"/>
              <w:jc w:val="center"/>
              <w:rPr>
                <w:rFonts w:hint="eastAsia" w:ascii="宋体" w:hAnsi="宋体" w:eastAsia="宋体" w:cs="宋体"/>
                <w:color w:val="auto"/>
                <w:sz w:val="21"/>
                <w:szCs w:val="21"/>
                <w:highlight w:val="none"/>
              </w:rPr>
            </w:pPr>
          </w:p>
        </w:tc>
        <w:tc>
          <w:tcPr>
            <w:tcW w:w="4608" w:type="pct"/>
            <w:noWrap w:val="0"/>
            <w:vAlign w:val="center"/>
          </w:tcPr>
          <w:p w14:paraId="659E35D8">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723B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BDCEA12">
            <w:pPr>
              <w:pStyle w:val="4"/>
              <w:jc w:val="center"/>
              <w:rPr>
                <w:rFonts w:hint="eastAsia" w:ascii="宋体" w:hAnsi="宋体" w:eastAsia="宋体" w:cs="宋体"/>
                <w:color w:val="auto"/>
                <w:sz w:val="21"/>
                <w:szCs w:val="21"/>
                <w:highlight w:val="none"/>
              </w:rPr>
            </w:pPr>
          </w:p>
        </w:tc>
        <w:tc>
          <w:tcPr>
            <w:tcW w:w="4608" w:type="pct"/>
            <w:noWrap w:val="0"/>
            <w:vAlign w:val="center"/>
          </w:tcPr>
          <w:p w14:paraId="4015918D">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3EB6A04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52DE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051645C4">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608" w:type="pct"/>
            <w:noWrap w:val="0"/>
            <w:vAlign w:val="center"/>
          </w:tcPr>
          <w:p w14:paraId="1498643F">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见证方名称：</w:t>
            </w:r>
            <w:r>
              <w:rPr>
                <w:rFonts w:hint="eastAsia" w:ascii="宋体" w:hAnsi="宋体" w:eastAsia="宋体" w:cs="宋体"/>
                <w:color w:val="auto"/>
                <w:sz w:val="21"/>
                <w:szCs w:val="21"/>
                <w:highlight w:val="none"/>
                <w:lang w:eastAsia="zh-CN"/>
              </w:rPr>
              <w:t>陕西上德招标有限公司</w:t>
            </w:r>
          </w:p>
        </w:tc>
      </w:tr>
      <w:tr w14:paraId="24CB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4AA49D96">
            <w:pPr>
              <w:pStyle w:val="4"/>
              <w:jc w:val="center"/>
              <w:rPr>
                <w:rFonts w:hint="eastAsia" w:ascii="宋体" w:hAnsi="宋体" w:eastAsia="宋体" w:cs="宋体"/>
                <w:color w:val="auto"/>
                <w:sz w:val="21"/>
                <w:szCs w:val="21"/>
                <w:highlight w:val="none"/>
              </w:rPr>
            </w:pPr>
          </w:p>
        </w:tc>
        <w:tc>
          <w:tcPr>
            <w:tcW w:w="4608" w:type="pct"/>
            <w:noWrap w:val="0"/>
            <w:vAlign w:val="center"/>
          </w:tcPr>
          <w:p w14:paraId="7169D4A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r>
              <w:rPr>
                <w:rFonts w:hint="eastAsia" w:ascii="宋体" w:hAnsi="宋体" w:eastAsia="宋体" w:cs="宋体"/>
                <w:color w:val="auto"/>
                <w:sz w:val="21"/>
                <w:szCs w:val="21"/>
                <w:highlight w:val="none"/>
                <w:lang w:eastAsia="zh-CN"/>
              </w:rPr>
              <w:t>西安市经开区凤城八路正尚国际金融广场A座7层703</w:t>
            </w:r>
          </w:p>
        </w:tc>
      </w:tr>
      <w:tr w14:paraId="3773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573C340">
            <w:pPr>
              <w:pStyle w:val="4"/>
              <w:jc w:val="center"/>
              <w:rPr>
                <w:rFonts w:hint="eastAsia" w:ascii="宋体" w:hAnsi="宋体" w:eastAsia="宋体" w:cs="宋体"/>
                <w:color w:val="auto"/>
                <w:sz w:val="21"/>
                <w:szCs w:val="21"/>
                <w:highlight w:val="none"/>
              </w:rPr>
            </w:pPr>
          </w:p>
        </w:tc>
        <w:tc>
          <w:tcPr>
            <w:tcW w:w="4608" w:type="pct"/>
            <w:noWrap w:val="0"/>
            <w:vAlign w:val="center"/>
          </w:tcPr>
          <w:p w14:paraId="67F2CB79">
            <w:pPr>
              <w:pStyle w:val="4"/>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eastAsia="zh-CN"/>
              </w:rPr>
              <w:t>招标部宋薇</w:t>
            </w:r>
            <w:r>
              <w:rPr>
                <w:rFonts w:hint="eastAsia" w:ascii="宋体" w:hAnsi="宋体" w:eastAsia="宋体" w:cs="宋体"/>
                <w:color w:val="auto"/>
                <w:sz w:val="21"/>
                <w:szCs w:val="21"/>
                <w:highlight w:val="none"/>
              </w:rPr>
              <w:t xml:space="preserve">   电话：029-86673953/86518381/89299829/89293231</w:t>
            </w:r>
            <w:r>
              <w:rPr>
                <w:rFonts w:hint="eastAsia" w:hAnsi="宋体" w:eastAsia="宋体" w:cs="宋体"/>
                <w:color w:val="auto"/>
                <w:sz w:val="21"/>
                <w:szCs w:val="21"/>
                <w:highlight w:val="none"/>
                <w:lang w:eastAsia="zh-CN"/>
              </w:rPr>
              <w:t>转</w:t>
            </w:r>
            <w:r>
              <w:rPr>
                <w:rFonts w:hint="eastAsia" w:hAnsi="宋体" w:eastAsia="宋体" w:cs="宋体"/>
                <w:color w:val="auto"/>
                <w:sz w:val="21"/>
                <w:szCs w:val="21"/>
                <w:highlight w:val="none"/>
                <w:lang w:val="en-US" w:eastAsia="zh-CN"/>
              </w:rPr>
              <w:t>802</w:t>
            </w:r>
          </w:p>
        </w:tc>
      </w:tr>
      <w:tr w14:paraId="764F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9E8DF31">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608" w:type="pct"/>
            <w:noWrap w:val="0"/>
            <w:vAlign w:val="center"/>
          </w:tcPr>
          <w:p w14:paraId="466F041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2270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1C498A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608" w:type="pct"/>
            <w:noWrap w:val="0"/>
            <w:vAlign w:val="center"/>
          </w:tcPr>
          <w:p w14:paraId="072764E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期限</w:t>
            </w:r>
            <w:r>
              <w:rPr>
                <w:rFonts w:hint="eastAsia" w:ascii="宋体" w:hAnsi="宋体" w:eastAsia="宋体" w:cs="宋体"/>
                <w:color w:val="auto"/>
                <w:sz w:val="21"/>
                <w:szCs w:val="21"/>
                <w:highlight w:val="none"/>
              </w:rPr>
              <w:t>、地点：</w:t>
            </w:r>
          </w:p>
        </w:tc>
      </w:tr>
      <w:tr w14:paraId="240D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3F9BD3DA">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4608" w:type="pct"/>
            <w:noWrap w:val="0"/>
            <w:vAlign w:val="center"/>
          </w:tcPr>
          <w:p w14:paraId="75C50D6F">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3EA7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0214AB6">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4608" w:type="pct"/>
            <w:noWrap w:val="0"/>
            <w:vAlign w:val="center"/>
          </w:tcPr>
          <w:p w14:paraId="2CCA835C">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73C5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227216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4608" w:type="pct"/>
            <w:noWrap w:val="0"/>
            <w:vAlign w:val="center"/>
          </w:tcPr>
          <w:p w14:paraId="39A73D53">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5E46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FDC3A43">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4608" w:type="pct"/>
            <w:noWrap w:val="0"/>
            <w:vAlign w:val="center"/>
          </w:tcPr>
          <w:p w14:paraId="4E57E809">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履约保证金及其返还：</w:t>
            </w:r>
          </w:p>
        </w:tc>
      </w:tr>
      <w:tr w14:paraId="6AA4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FCC629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4608" w:type="pct"/>
            <w:noWrap w:val="0"/>
            <w:vAlign w:val="center"/>
          </w:tcPr>
          <w:p w14:paraId="7F778B3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4DAE48FA">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278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D3CCB5D">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4608" w:type="pct"/>
            <w:noWrap w:val="0"/>
            <w:vAlign w:val="center"/>
          </w:tcPr>
          <w:p w14:paraId="3865CF80">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20D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667A4C3">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4608" w:type="pct"/>
            <w:noWrap w:val="0"/>
            <w:vAlign w:val="center"/>
          </w:tcPr>
          <w:p w14:paraId="284DDCE6">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2F18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65B6527F">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4608" w:type="pct"/>
            <w:noWrap w:val="0"/>
            <w:vAlign w:val="center"/>
          </w:tcPr>
          <w:p w14:paraId="21221E47">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1805FAB9">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487D5C1">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提请______仲裁委员会按照仲裁程序在______(仲裁地)仲裁</w:t>
            </w:r>
          </w:p>
          <w:p w14:paraId="1BA7A3D5">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向甲方住所地人民法院提起诉讼</w:t>
            </w:r>
          </w:p>
        </w:tc>
      </w:tr>
    </w:tbl>
    <w:p w14:paraId="0459794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F4BC59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702721F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3ECA10C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012282A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“乙方”是指成交供应商。</w:t>
      </w:r>
    </w:p>
    <w:p w14:paraId="73BE756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“见证方”是指采购代理机构。</w:t>
      </w:r>
    </w:p>
    <w:p w14:paraId="2FF3E43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“合同”系指甲乙双方签署的、合同中载明的甲乙双方所达成的协议，包括所有的附件、附录和上述文件所提到的构成合同的所有文件。</w:t>
      </w:r>
    </w:p>
    <w:p w14:paraId="13B58EE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“服务”是指乙方按照招标(采购)、投标(响应)文件要求，向采购人提供的技术支持服务。</w:t>
      </w:r>
    </w:p>
    <w:p w14:paraId="31F8706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“项目现场”是指甲方指定的最终服务地点。</w:t>
      </w:r>
    </w:p>
    <w:p w14:paraId="1EA198D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“天”除非特别指出，“天”均为自然天。</w:t>
      </w:r>
    </w:p>
    <w:p w14:paraId="3681811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06C3D51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乙方为甲方交付的服务应符合招标(采购)文件所述的内容，如果没有提及适用标准，则应符合相应的国家标准。这些标准必须是有关机构发布的最新版本的标准。</w:t>
      </w:r>
    </w:p>
    <w:p w14:paraId="5DB6EB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07D3C45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2EF668B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6A8157E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58B3310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w:t>
      </w:r>
      <w:r>
        <w:rPr>
          <w:rFonts w:hint="eastAsia" w:hAnsi="宋体" w:eastAsia="宋体" w:cs="宋体"/>
          <w:color w:val="auto"/>
          <w:sz w:val="21"/>
          <w:szCs w:val="21"/>
          <w:highlight w:val="none"/>
          <w:lang w:eastAsia="zh-CN"/>
        </w:rPr>
        <w:t>著作权、</w:t>
      </w:r>
      <w:r>
        <w:rPr>
          <w:rFonts w:hint="eastAsia" w:ascii="宋体" w:hAnsi="宋体" w:eastAsia="宋体" w:cs="宋体"/>
          <w:color w:val="auto"/>
          <w:sz w:val="21"/>
          <w:szCs w:val="21"/>
          <w:highlight w:val="none"/>
        </w:rPr>
        <w:t>专利权、商标权、版权等)的起诉。因侵害他人知识产权而产生的法律责任，全部由供应商承担。</w:t>
      </w:r>
    </w:p>
    <w:p w14:paraId="230BA3B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享有本项目实施过程中产生的知识成果及知识产权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未经甲方许可不得转让任何</w:t>
      </w: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rPr>
        <w:t>。</w:t>
      </w:r>
    </w:p>
    <w:p w14:paraId="6493F4F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4.3甲方拥有图书的再版权（包括复制权、发行权等），即甲方有权在不另行通知编者及乙方的情况下，将图书的再版权授予第三方。</w:t>
      </w:r>
    </w:p>
    <w:p w14:paraId="77F982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52ECB3B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6D7A9BE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EF43B6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3670796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5D09271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7D06A32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7CC82D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A6DF10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7B6C85D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51F2FC5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9E687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7018B2C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903FDA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3257DE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.服务时间、地点与验收</w:t>
      </w:r>
    </w:p>
    <w:p w14:paraId="069E668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服务地点：合同条款前附表指定地点。</w:t>
      </w:r>
    </w:p>
    <w:p w14:paraId="2DE43DA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服务时间：合同条款前附表指定时间。</w:t>
      </w:r>
    </w:p>
    <w:p w14:paraId="1106536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　甲方应在乙方完成相关服务工作后及时对服务质量、技术指标、服务成果进行验收。</w:t>
      </w:r>
    </w:p>
    <w:p w14:paraId="6E610C5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.违约责任</w:t>
      </w:r>
    </w:p>
    <w:p w14:paraId="70D59BD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服务缺陷的补救措施和索赔</w:t>
      </w:r>
    </w:p>
    <w:p w14:paraId="743C927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w:t>
      </w:r>
      <w:r>
        <w:rPr>
          <w:rFonts w:hint="eastAsia" w:ascii="宋体" w:hAnsi="宋体" w:eastAsia="宋体" w:cs="宋体"/>
          <w:color w:val="auto"/>
          <w:sz w:val="21"/>
          <w:szCs w:val="21"/>
          <w:highlight w:val="none"/>
          <w:lang w:eastAsia="zh-CN"/>
        </w:rPr>
        <w:t>招标</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文件关于服务的要求和承诺，乙方应按照甲方同意的下列一种或几种方式结合起来解决索赔事宜：</w:t>
      </w:r>
    </w:p>
    <w:p w14:paraId="190426D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3A2CCED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47C5A0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556C69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迟延履约的违约责任</w:t>
      </w:r>
    </w:p>
    <w:p w14:paraId="3C6CA79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2C13791">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68FA34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04BA746">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42501C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未履行合同义务的违约责任</w:t>
      </w:r>
    </w:p>
    <w:p w14:paraId="32871F2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4BA3BD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0974056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01AEB0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.不可抗力</w:t>
      </w:r>
    </w:p>
    <w:p w14:paraId="7865D39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.1　如果合同双方因不可抗力而导致合同实施延误或合同无法实施，不应该承担误期赔偿或不能履行合同义务的责任。</w:t>
      </w:r>
    </w:p>
    <w:p w14:paraId="7004CA78">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.2　本条所述的“不可抗力”系指那些双方不可预见、不可避免、不可克服的客观情况，但不包括双方的违约或疏忽。这些事件包括但不限于：战争、严重火灾、洪水、台风、地震等。</w:t>
      </w:r>
    </w:p>
    <w:p w14:paraId="3F34787E">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1D9919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.合同纠纷的解决方式</w:t>
      </w:r>
    </w:p>
    <w:p w14:paraId="7A9CAD9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.1　合同各方应通过友好协商，解决在执行合同过程中所发生的或与合同有关的一切争端。如协商30日内(根据实际情况设定)不能解决，可以按合同规定的方式提起仲裁或诉讼。</w:t>
      </w:r>
    </w:p>
    <w:p w14:paraId="78FBE48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.2　仲裁裁决应为最终裁决，对双方均具有约束力。</w:t>
      </w:r>
    </w:p>
    <w:p w14:paraId="16EE36E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.3　仲裁费除仲裁机关另有裁决外应由败诉方负担。</w:t>
      </w:r>
    </w:p>
    <w:p w14:paraId="137AA11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.4　诉讼应由甲方住所地人民法院管辖。财产保全担保保险费、财产保全申请费、律师代理费、差旅费、评估费、鉴定费诉讼费等与仲裁或诉讼活动相关费用应由败诉方负担。</w:t>
      </w:r>
    </w:p>
    <w:p w14:paraId="11B11C5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.5　如仲裁或诉讼事项不影响合同其他部分的履行，则在仲裁或诉讼期间，除正在进行仲裁或诉讼的部分外，合同的其他部分应继续执行。</w:t>
      </w:r>
    </w:p>
    <w:p w14:paraId="45ADEBD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.合同修改或变更</w:t>
      </w:r>
    </w:p>
    <w:p w14:paraId="7F60474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如无重大变故，甲方双方不得擅自变更合同。</w:t>
      </w:r>
    </w:p>
    <w:p w14:paraId="0A0910F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.2　如确需变更合同，甲乙双方应签署书面变更协议。变更协议为本合同不可分割的一部分。</w:t>
      </w:r>
    </w:p>
    <w:p w14:paraId="136FDC1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.3　在不改变合同其他条款的前提下，甲方有权在合同价款10%的范围内追加与合同标的相同的货物或服务，并就此与乙方签订补充合同，乙方不得拒绝。</w:t>
      </w:r>
    </w:p>
    <w:p w14:paraId="4917AAA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.合同中止</w:t>
      </w:r>
    </w:p>
    <w:p w14:paraId="6352A09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.1合同在履行过程中，因采购计划调整，甲方可以要求中止履行，待计划确定后继续履行；合同履行过程中因供应商就采购过程或结果提起投诉的，甲方认为有必要或财政部责令中止的，应当中止合同的履行。</w:t>
      </w:r>
    </w:p>
    <w:p w14:paraId="79111B6F">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.违约终止合同</w:t>
      </w:r>
    </w:p>
    <w:p w14:paraId="1465DB2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　若出现如下情况，在甲方对乙方违约行为而采取的任何补救措施不受影响的情况下，甲方可向乙方发出书面通知书，提出终止部分或全部合同。</w:t>
      </w:r>
    </w:p>
    <w:p w14:paraId="786467F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.1.1　如果乙方未能在合同规定的期限或甲方同意延长的期限内提供服务；</w:t>
      </w:r>
    </w:p>
    <w:p w14:paraId="6AF4363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.1.2　因乙方技术人员自身技术能力、经验不足等原因造成甲方硬件设备、应用系统发生重大紧急故障或应用系统数据丢失，带来重大影响和损失的；</w:t>
      </w:r>
    </w:p>
    <w:p w14:paraId="51FF1C3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.1.3　乙方对甲方硬件设备、应用系统重大紧急故障没有及时响应，或不能在规定时间内解决处理故障，恢复系统正常运行的；</w:t>
      </w:r>
    </w:p>
    <w:p w14:paraId="5153F4F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.1.4　不能满足本项目技术需求的管理要求和规范，且经多次整改无明显改进的；</w:t>
      </w:r>
    </w:p>
    <w:p w14:paraId="330650C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.1.5　在合同规定的每个服务年度(12个自然月)内，在运行维护支持服务过程中，出现2次经甲乙双方确认的违规操作的。</w:t>
      </w:r>
    </w:p>
    <w:p w14:paraId="63176E39">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.2　如果甲方根据上述第14.1条的规定，终止了全部或部分合同，甲方可以适当的条件和方法购买乙方未能提供的服务，乙方应对甲方购买类似服务所超出的费用负责。同时，乙方应继续执行合同中未终止的部分。</w:t>
      </w:r>
    </w:p>
    <w:p w14:paraId="3A87C71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.破产终止合同</w:t>
      </w:r>
    </w:p>
    <w:p w14:paraId="05E5CB02">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　如果乙方破产或无清偿能力，甲方可在任何时候以书面形式通知乙方终止合同而不给乙方补偿。</w:t>
      </w:r>
    </w:p>
    <w:p w14:paraId="66277715">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该终止行为将不损害或影响甲方已经采取或将要采取的任何行动或补救措施的权利。</w:t>
      </w:r>
    </w:p>
    <w:p w14:paraId="7EEF377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.其他情况的终止合同</w:t>
      </w:r>
    </w:p>
    <w:p w14:paraId="0BDAD43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　若合同继续履行将给甲方造成重大损失的，甲方可以终止合同而不给予乙方任何补偿。</w:t>
      </w:r>
    </w:p>
    <w:p w14:paraId="54F7B4E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.2　乙方在执行合同的过程中发生重大事故，对履行合同有直接影响的，甲方可以终止合同而不给予乙方任何补偿。</w:t>
      </w:r>
    </w:p>
    <w:p w14:paraId="412348A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.3　甲方因重大变故取消或部分取消原来的采购任务，导致合同全部或部分内容无须继续履行的，可以终止合同而不给予乙方任何补偿。</w:t>
      </w:r>
    </w:p>
    <w:p w14:paraId="3E9C154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.合同转让和分包</w:t>
      </w:r>
    </w:p>
    <w:p w14:paraId="56BC93B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　乙方不得以任何形式将合同转包，或部分或全部转让其应履行的合同义务。</w:t>
      </w:r>
    </w:p>
    <w:p w14:paraId="0A173F1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.2　除经甲方事先书面同意外，乙方不得以任何形式将合同分包。</w:t>
      </w:r>
    </w:p>
    <w:p w14:paraId="29AE0FB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.适用法律</w:t>
      </w:r>
    </w:p>
    <w:p w14:paraId="5CD76A3B">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本合同适用中华人民共和国现行法律、行政法规和规章，如合同条款与法律、行政法规和规章不一致的，按照法律、行政法规和规章修改本合同。</w:t>
      </w:r>
    </w:p>
    <w:p w14:paraId="32AE4D54">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.合同语言</w:t>
      </w:r>
    </w:p>
    <w:p w14:paraId="7209FE2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本合同语言为中文。</w:t>
      </w:r>
    </w:p>
    <w:p w14:paraId="2D290E7C">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双方交换的与合同有关的信件和其他文件应用合同语言书写。</w:t>
      </w:r>
    </w:p>
    <w:p w14:paraId="6D329D10">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.合同生效</w:t>
      </w:r>
    </w:p>
    <w:p w14:paraId="0C42D81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.1　本合同应在双方签字盖章后生效。</w:t>
      </w:r>
    </w:p>
    <w:p w14:paraId="03E2AA37">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.合同效力</w:t>
      </w:r>
    </w:p>
    <w:p w14:paraId="7F15C8EA">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.1　除本合同和甲乙双方书面签署的补充协议外，其他任何形式的双方约定和往来函件均不具有法律效力，对本项目无约束力。</w:t>
      </w:r>
    </w:p>
    <w:p w14:paraId="290893CD">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.检查和审计</w:t>
      </w:r>
    </w:p>
    <w:p w14:paraId="3609B683">
      <w:pPr>
        <w:pStyle w:val="4"/>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.1在本合同的履行过程中，甲方有权对乙方的合同履约情况进行阶段性检查，并对乙方</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时提供的相关资料进行复核。</w:t>
      </w:r>
    </w:p>
    <w:p w14:paraId="4E3A12EC">
      <w:pPr>
        <w:keepNext w:val="0"/>
        <w:keepLines w:val="0"/>
        <w:pageBreakBefore w:val="0"/>
        <w:widowControl w:val="0"/>
        <w:kinsoku/>
        <w:wordWrap/>
        <w:overflowPunct/>
        <w:topLinePunct w:val="0"/>
        <w:autoSpaceDE/>
        <w:autoSpaceDN/>
        <w:bidi w:val="0"/>
        <w:adjustRightInd/>
        <w:snapToGrid/>
        <w:spacing w:line="540" w:lineRule="exact"/>
        <w:ind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0BEC2387">
      <w:pPr>
        <w:spacing w:line="440" w:lineRule="exact"/>
        <w:ind w:firstLine="539" w:firstLineChars="257"/>
        <w:rPr>
          <w:rFonts w:hint="eastAsia" w:ascii="宋体" w:hAnsi="宋体" w:eastAsia="宋体" w:cs="宋体"/>
          <w:color w:val="auto"/>
          <w:kern w:val="0"/>
          <w:sz w:val="21"/>
          <w:szCs w:val="21"/>
          <w:highlight w:val="none"/>
        </w:rPr>
      </w:pPr>
    </w:p>
    <w:p w14:paraId="63BC8A17">
      <w:pPr>
        <w:rPr>
          <w:rFonts w:hint="eastAsia" w:ascii="宋体" w:hAnsi="宋体" w:eastAsia="宋体" w:cs="宋体"/>
          <w:color w:val="auto"/>
          <w:sz w:val="21"/>
          <w:szCs w:val="21"/>
          <w:highlight w:val="none"/>
        </w:rPr>
      </w:pPr>
    </w:p>
    <w:p w14:paraId="6A25FC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8B0962"/>
    <w:rsid w:val="68A10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5455</Words>
  <Characters>5907</Characters>
  <Lines>0</Lines>
  <Paragraphs>0</Paragraphs>
  <TotalTime>1</TotalTime>
  <ScaleCrop>false</ScaleCrop>
  <LinksUpToDate>false</LinksUpToDate>
  <CharactersWithSpaces>6195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2025-08-11T02:55:00Z</dcterms:created>
  <dc:creator>Administrator</dc:creator>
  <cp:lastModifiedBy>爱悦儿</cp:lastModifiedBy>
  <dcterms:modified xsi:type="dcterms:W3CDTF">2026-07-06T09:06:20Z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eyJoZGlkIjoiNjJjMjE4MGY0MjEyNTNmNTEyMDhlMTk3ZWY5NmY2OTciLCJ1c2VySWQiOiI3MDgzMzI2ODgifQ==</vt:lpwstr>
  </property>
  <property fmtid="{D5CDD505-2E9C-101B-9397-08002B2CF9AE}" pid="4" name="ICV">
    <vt:lpwstr>CD02EB970EB741F0BE403AD4A88B2302_12</vt:lpwstr>
  </property>
</Properties>
</file>