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ink/ink1.xml" ContentType="application/inkml+xml"/>
  <Override PartName="/word/ink/ink10.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hint="eastAsia" w:eastAsia="宋体" w:cs="Tahoma"/>
          <w:sz w:val="44"/>
          <w:szCs w:val="44"/>
        </w:rPr>
      </w:pPr>
      <w:bookmarkStart w:id="14" w:name="_GoBack"/>
      <w:bookmarkEnd w:id="14"/>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西安铁路职业技术学院物业保洁服务项目</w:t>
      </w:r>
    </w:p>
    <w:p>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hint="eastAsia" w:cs="Tahoma" w:asciiTheme="minorHAnsi" w:hAnsiTheme="minorHAnsi"/>
          <w:color w:val="C00000"/>
        </w:rPr>
        <w:t>XCZX2026-0054</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2026年7月</w:t>
      </w:r>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"_Toc233120439" </w:instrText>
      </w:r>
      <w:r>
        <w:fldChar w:fldCharType="separate"/>
      </w:r>
      <w:r>
        <w:rPr>
          <w:rStyle w:val="31"/>
          <w:rFonts w:hint="eastAsia"/>
        </w:rPr>
        <w:t>第一章　投标邀请函</w:t>
      </w:r>
      <w:r>
        <w:tab/>
      </w:r>
      <w:r>
        <w:fldChar w:fldCharType="begin"/>
      </w:r>
      <w:r>
        <w:instrText xml:space="preserve"> PAGEREF _Toc233120439 \h </w:instrText>
      </w:r>
      <w:r>
        <w:fldChar w:fldCharType="separate"/>
      </w:r>
      <w:r>
        <w:t>1</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"_Toc233120440" </w:instrText>
      </w:r>
      <w:r>
        <w:fldChar w:fldCharType="separate"/>
      </w:r>
      <w:r>
        <w:rPr>
          <w:rStyle w:val="31"/>
          <w:rFonts w:hint="eastAsia"/>
        </w:rPr>
        <w:t>第二章　供应商须知</w:t>
      </w:r>
      <w:r>
        <w:tab/>
      </w:r>
      <w:r>
        <w:fldChar w:fldCharType="begin"/>
      </w:r>
      <w:r>
        <w:instrText xml:space="preserve"> PAGEREF _Toc233120440 \h </w:instrText>
      </w:r>
      <w:r>
        <w:fldChar w:fldCharType="separate"/>
      </w:r>
      <w:r>
        <w:t>4</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"_Toc233120441" </w:instrText>
      </w:r>
      <w:r>
        <w:fldChar w:fldCharType="separate"/>
      </w:r>
      <w:r>
        <w:rPr>
          <w:rStyle w:val="31"/>
          <w:rFonts w:hint="eastAsia"/>
        </w:rPr>
        <w:t>第三章　招标内容及要求</w:t>
      </w:r>
      <w:r>
        <w:tab/>
      </w:r>
      <w:r>
        <w:fldChar w:fldCharType="begin"/>
      </w:r>
      <w:r>
        <w:instrText xml:space="preserve"> PAGEREF _Toc233120441 \h </w:instrText>
      </w:r>
      <w:r>
        <w:fldChar w:fldCharType="separate"/>
      </w:r>
      <w:r>
        <w:t>36</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"_Toc233120442" </w:instrText>
      </w:r>
      <w:r>
        <w:fldChar w:fldCharType="separate"/>
      </w:r>
      <w:r>
        <w:rPr>
          <w:rStyle w:val="31"/>
          <w:rFonts w:hint="eastAsia"/>
        </w:rPr>
        <w:t>第四章　合同文本</w:t>
      </w:r>
      <w:r>
        <w:tab/>
      </w:r>
      <w:r>
        <w:fldChar w:fldCharType="begin"/>
      </w:r>
      <w:r>
        <w:instrText xml:space="preserve"> PAGEREF _Toc233120442 \h </w:instrText>
      </w:r>
      <w:r>
        <w:fldChar w:fldCharType="separate"/>
      </w:r>
      <w:r>
        <w:t>45</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"_Toc233120443" </w:instrText>
      </w:r>
      <w:r>
        <w:fldChar w:fldCharType="separate"/>
      </w:r>
      <w:r>
        <w:rPr>
          <w:rStyle w:val="31"/>
          <w:rFonts w:hint="eastAsia"/>
        </w:rPr>
        <w:t>第五章　投标文件构成及格式</w:t>
      </w:r>
      <w:r>
        <w:tab/>
      </w:r>
      <w:r>
        <w:fldChar w:fldCharType="begin"/>
      </w:r>
      <w:r>
        <w:instrText xml:space="preserve"> PAGEREF _Toc233120443 \h </w:instrText>
      </w:r>
      <w:r>
        <w:fldChar w:fldCharType="separate"/>
      </w:r>
      <w:r>
        <w:t>50</w:t>
      </w:r>
      <w:r>
        <w:fldChar w:fldCharType="end"/>
      </w:r>
      <w:r>
        <w:fldChar w:fldCharType="end"/>
      </w:r>
    </w:p>
    <w:p>
      <w:pPr>
        <w:pStyle w:val="19"/>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33120439"/>
      <w:r>
        <w:rPr>
          <w:rFonts w:hint="eastAsia"/>
        </w:rPr>
        <w:t>第一章　投标邀请函</w:t>
      </w:r>
      <w:bookmarkEnd w:id="0"/>
    </w:p>
    <w:p>
      <w:pPr>
        <w:widowControl w:val="0"/>
        <w:topLinePunct/>
        <w:ind w:firstLine="480" w:firstLineChars="200"/>
        <w:jc w:val="both"/>
      </w:pPr>
      <w:r>
        <w:rPr>
          <w:rFonts w:hint="eastAsia"/>
        </w:rPr>
        <w:t>西安市市级单位政府采购中心受</w:t>
      </w:r>
      <w:r>
        <w:rPr>
          <w:rFonts w:hint="eastAsia" w:cs="Tahoma"/>
          <w:color w:val="C00000"/>
        </w:rPr>
        <w:t>西安铁路职业技术学院</w:t>
      </w:r>
      <w:r>
        <w:rPr>
          <w:rFonts w:hint="eastAsia"/>
        </w:rPr>
        <w:t>的委托，经政府采购监管部门批准，按照政府采购程序，对</w:t>
      </w:r>
      <w:r>
        <w:rPr>
          <w:rFonts w:hint="eastAsia" w:cs="Tahoma"/>
          <w:color w:val="C00000"/>
        </w:rPr>
        <w:t>西安铁路职业技术学院物业保洁服务项目</w:t>
      </w:r>
      <w:r>
        <w:rPr>
          <w:rFonts w:hint="eastAsia"/>
        </w:rPr>
        <w:t>进行公开招标，欢迎符合资格条件的、有能力提供本项目所需货物或服务的供应商参加投标。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s="Tahoma"/>
          <w:color w:val="C00000"/>
        </w:rPr>
        <w:t>西安铁路职业技术学院物业保洁服务项目</w:t>
      </w:r>
    </w:p>
    <w:p>
      <w:pPr>
        <w:widowControl w:val="0"/>
        <w:topLinePunct/>
        <w:ind w:firstLine="480" w:firstLineChars="200"/>
        <w:jc w:val="both"/>
      </w:pPr>
      <w:r>
        <w:rPr>
          <w:rFonts w:hint="eastAsia"/>
        </w:rPr>
        <w:t>项目编号：</w:t>
      </w:r>
      <w:r>
        <w:rPr>
          <w:rFonts w:hint="eastAsia"/>
          <w:color w:val="C00000"/>
        </w:rPr>
        <w:t>XCZX2026-</w:t>
      </w:r>
      <w:r>
        <w:rPr>
          <w:color w:val="C00000"/>
        </w:rPr>
        <w:t>0054</w:t>
      </w:r>
    </w:p>
    <w:p>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2092</w:t>
      </w:r>
    </w:p>
    <w:p>
      <w:pPr>
        <w:widowControl w:val="0"/>
        <w:topLinePunct/>
        <w:ind w:firstLine="480" w:firstLineChars="200"/>
        <w:jc w:val="both"/>
      </w:pPr>
      <w:r>
        <w:rPr>
          <w:rFonts w:hint="eastAsia"/>
          <w:b/>
        </w:rPr>
        <w:t>二、项目性质：</w:t>
      </w:r>
      <w:r>
        <w:rPr>
          <w:rFonts w:hint="eastAsia"/>
          <w:color w:val="C00000"/>
        </w:rPr>
        <w:t>专门面向中小企业的采购项目</w:t>
      </w:r>
    </w:p>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4200000.00</w:t>
      </w:r>
      <w:r>
        <w:rPr>
          <w:rFonts w:hint="eastAsia"/>
          <w:color w:val="C00000"/>
        </w:rPr>
        <w:t>元〉（最高限价〈4</w:t>
      </w:r>
      <w:r>
        <w:rPr>
          <w:color w:val="C00000"/>
        </w:rPr>
        <w:t>200000.00</w:t>
      </w:r>
      <w:r>
        <w:rPr>
          <w:rFonts w:hint="eastAsia"/>
          <w:color w:val="C00000"/>
        </w:rPr>
        <w:t>元〉）</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〉企业端〗登录后，首先在〖招标公告/出让公告〗模块中预览全部可供参与的项目，然后选择有意向的项目点击〖我要投标〗，成功后切换到〖我的项目〗模块，依次点选〖项目流程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1．提交投标文件截止时间：2026年7月22日10:30，逾期提交的，系统将拒绝接收。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．开标时间：2026年7月22日10:30</w:t>
      </w:r>
    </w:p>
    <w:p>
      <w:pPr>
        <w:widowControl w:val="0"/>
        <w:topLinePunct/>
        <w:ind w:firstLine="480" w:firstLineChars="200"/>
        <w:jc w:val="both"/>
      </w:pPr>
      <w:r>
        <w:rPr>
          <w:rFonts w:hint="eastAsia"/>
        </w:rPr>
        <w:t>2．</w:t>
      </w:r>
      <w:r>
        <w:t>开标</w:t>
      </w:r>
      <w:r>
        <w:rPr>
          <w:rFonts w:hint="eastAsia"/>
        </w:rPr>
        <w:t>地点：本集采机构虚拟开标室4。</w:t>
      </w:r>
    </w:p>
    <w:p>
      <w:pPr>
        <w:widowControl w:val="0"/>
        <w:topLinePunct/>
        <w:ind w:firstLine="480" w:firstLineChars="200"/>
        <w:jc w:val="both"/>
      </w:pPr>
      <w:r>
        <w:t>3</w:t>
      </w:r>
      <w:r>
        <w:rPr>
          <w:rFonts w:hint="eastAsia"/>
        </w:rPr>
        <w:t>．开标形式：本项目将采用“不见面开标”形式。操作说明详见平台〖首页</w:t>
      </w:r>
      <w:r>
        <w:t>·</w:t>
      </w:r>
      <w:r>
        <w:rPr>
          <w:rFonts w:hint="eastAsia"/>
        </w:rPr>
        <w:t>〉服务指南</w:t>
      </w:r>
      <w:r>
        <w:t>·</w:t>
      </w:r>
      <w:r>
        <w:rPr>
          <w:rFonts w:hint="eastAsia"/>
        </w:rPr>
        <w:t>〉下载专区〗中的《西安公共资源交易不见面开标大厅供应商操作手册》。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1．采购人：西安铁路职业技术学院</w:t>
      </w:r>
    </w:p>
    <w:p>
      <w:pPr>
        <w:widowControl w:val="0"/>
        <w:topLinePunct/>
        <w:ind w:firstLine="480" w:firstLineChars="200"/>
        <w:jc w:val="both"/>
      </w:pPr>
      <w:r>
        <w:rPr>
          <w:rFonts w:hint="eastAsia"/>
        </w:rPr>
        <w:t>地址：西安市灞桥区港务大道396号</w:t>
      </w:r>
    </w:p>
    <w:p>
      <w:pPr>
        <w:widowControl w:val="0"/>
        <w:topLinePunct/>
        <w:ind w:firstLine="480" w:firstLineChars="200"/>
        <w:jc w:val="both"/>
      </w:pPr>
      <w:r>
        <w:rPr>
          <w:rFonts w:hint="eastAsia"/>
        </w:rPr>
        <w:t>联系人：李老师</w:t>
      </w:r>
    </w:p>
    <w:p>
      <w:pPr>
        <w:widowControl w:val="0"/>
        <w:topLinePunct/>
        <w:ind w:firstLine="480" w:firstLineChars="200"/>
        <w:jc w:val="both"/>
      </w:pPr>
      <w:r>
        <w:rPr>
          <w:rFonts w:hint="eastAsia"/>
        </w:rPr>
        <w:t>联系电话：1</w:t>
      </w:r>
      <w:r>
        <w:t>8092237582</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标书联系人及分机号：韩老师（</w:t>
      </w:r>
      <w:r>
        <w:t>80851</w:t>
      </w:r>
      <w:r>
        <w:rPr>
          <w:rFonts w:hint="eastAsia"/>
        </w:rPr>
        <w:t>）</w:t>
      </w:r>
    </w:p>
    <w:p>
      <w:pPr>
        <w:widowControl w:val="0"/>
        <w:topLinePunct/>
        <w:ind w:firstLine="480" w:firstLineChars="200"/>
        <w:jc w:val="both"/>
      </w:pPr>
      <w:r>
        <w:rPr>
          <w:rFonts w:hint="eastAsia"/>
        </w:rPr>
        <w:t>开标联系人及分机号：李老师（80806）</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1" w:name="_Toc445407251"/>
      <w:bookmarkStart w:id="2" w:name="_Toc533363262"/>
      <w:bookmarkStart w:id="3" w:name="_Toc534656409"/>
      <w:bookmarkStart w:id="4" w:name="_Toc233120440"/>
      <w:bookmarkStart w:id="5" w:name="_Toc533363235"/>
      <w:bookmarkStart w:id="6" w:name="_Toc97563329"/>
      <w:bookmarkStart w:id="7" w:name="_Toc534656414"/>
      <w:bookmarkStart w:id="8" w:name="_Toc498349068"/>
      <w:r>
        <w:t>第二章</w:t>
      </w:r>
      <w:r>
        <w:rPr>
          <w:rFonts w:hint="eastAsia"/>
        </w:rPr>
        <w:t>　</w:t>
      </w:r>
      <w:r>
        <w:t>供应商须知</w:t>
      </w:r>
      <w:bookmarkEnd w:id="1"/>
      <w:bookmarkEnd w:id="2"/>
      <w:bookmarkEnd w:id="3"/>
      <w:bookmarkEnd w:id="4"/>
      <w:bookmarkEnd w:id="5"/>
      <w:bookmarkEnd w:id="6"/>
      <w:bookmarkEnd w:id="7"/>
      <w:bookmarkEnd w:id="8"/>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2" w:space="0"/>
            </w:tcBorders>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西安铁路职业技术学院物业保洁服务项目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XCZX2026-0054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sdtPr>
              <w:sdtEndPr>
                <w:rPr>
                  <w:rFonts w:hint="eastAsia" w:ascii="Calibri" w:hAnsi="宋体" w:eastAsia="宋体" w:cstheme="minorHAnsi"/>
                  <w:sz w:val="21"/>
                </w:rPr>
              </w:sdtEndPr>
              <w:sdtContent>
                <w:sdt>
                  <w:sdtPr>
                    <w:rPr>
                      <w:rFonts w:hint="eastAsia" w:ascii="Calibri" w:hAnsi="宋体" w:eastAsia="宋体" w:cstheme="minorHAnsi"/>
                      <w:sz w:val="21"/>
                    </w:rPr>
                    <w:id w:val="36470531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4200000.00</w:t>
            </w:r>
            <w:r>
              <w:rPr>
                <w:rFonts w:hint="eastAsia" w:ascii="Calibri" w:hAnsi="宋体" w:eastAsia="宋体" w:cstheme="minorHAnsi"/>
                <w:sz w:val="21"/>
              </w:rPr>
              <w:t>元〉（最高限价</w:t>
            </w:r>
            <w:r>
              <w:rPr>
                <w:rFonts w:ascii="Calibri" w:hAnsi="宋体" w:eastAsia="宋体" w:cstheme="minorHAnsi"/>
                <w:sz w:val="21"/>
              </w:rPr>
              <w:t>4200000.00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接受</w:t>
            </w:r>
            <w:sdt>
              <w:sdtPr>
                <w:rPr>
                  <w:rFonts w:hint="eastAsia" w:ascii="Calibri" w:hAnsi="宋体" w:eastAsia="宋体" w:cstheme="minorHAnsi"/>
                  <w:sz w:val="21"/>
                </w:rPr>
                <w:id w:val="131792933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允许</w:t>
            </w:r>
            <w:sdt>
              <w:sdtPr>
                <w:rPr>
                  <w:rFonts w:hint="eastAsia" w:ascii="Calibri" w:hAnsi="宋体" w:eastAsia="宋体" w:cstheme="minorHAnsi"/>
                  <w:sz w:val="21"/>
                </w:rPr>
                <w:id w:val="-72875843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允许</w:t>
            </w:r>
            <w:sdt>
              <w:sdtPr>
                <w:rPr>
                  <w:rFonts w:hint="eastAsia" w:ascii="Calibri" w:hAnsi="宋体" w:eastAsia="宋体" w:cstheme="minorHAnsi"/>
                  <w:sz w:val="21"/>
                </w:rPr>
                <w:id w:val="-168959484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适用</w:t>
            </w:r>
            <w:sdt>
              <w:sdtPr>
                <w:rPr>
                  <w:rFonts w:hint="eastAsia" w:ascii="Calibri" w:hAnsi="宋体" w:eastAsia="宋体" w:cstheme="minorHAnsi"/>
                  <w:sz w:val="21"/>
                </w:rPr>
                <w:id w:val="129594555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sdtPr>
              <w:sdtEndPr>
                <w:rPr>
                  <w:rFonts w:hint="eastAsia" w:ascii="Calibri" w:hAnsi="宋体" w:eastAsia="宋体" w:cstheme="minorHAnsi"/>
                  <w:sz w:val="21"/>
                </w:rPr>
              </w:sdtEndPr>
              <w:sdtContent>
                <w:sdt>
                  <w:sdtPr>
                    <w:rPr>
                      <w:rFonts w:hint="eastAsia" w:ascii="Calibri" w:hAnsi="宋体" w:eastAsia="宋体" w:cstheme="minorHAnsi"/>
                      <w:sz w:val="21"/>
                    </w:rPr>
                    <w:id w:val="-2011444501"/>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sdtPr>
              <w:sdtEndPr>
                <w:rPr>
                  <w:rFonts w:hint="eastAsia" w:ascii="Calibri" w:hAnsi="宋体" w:eastAsia="宋体" w:cstheme="minorHAnsi"/>
                  <w:sz w:val="21"/>
                </w:rPr>
              </w:sdtEndPr>
              <w:sdtContent>
                <w:sdt>
                  <w:sdtPr>
                    <w:rPr>
                      <w:rFonts w:hint="eastAsia" w:ascii="Calibri" w:hAnsi="宋体" w:eastAsia="宋体" w:cstheme="minorHAnsi"/>
                      <w:sz w:val="21"/>
                    </w:rPr>
                    <w:id w:val="-792436376"/>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sdtContent>
            </w:sdt>
            <w:r>
              <w:rPr>
                <w:rFonts w:hint="eastAsia" w:ascii="Calibri" w:hAnsi="宋体" w:eastAsia="宋体" w:cstheme="minorHAnsi"/>
                <w:sz w:val="21"/>
              </w:rPr>
              <w:t>占合同总价的</w:t>
            </w:r>
            <w:r>
              <w:rPr>
                <w:rFonts w:hint="eastAsia" w:ascii="Calibri" w:hAnsi="宋体" w:eastAsia="宋体" w:cstheme="minorHAnsi"/>
                <w:sz w:val="21"/>
                <w:u w:val="single"/>
              </w:rPr>
              <w:t xml:space="preserve"> </w:t>
            </w:r>
            <w:r>
              <w:rPr>
                <w:rFonts w:ascii="Calibri" w:hAnsi="宋体" w:eastAsia="宋体" w:cstheme="minorHAnsi"/>
                <w:sz w:val="21"/>
                <w:u w:val="single"/>
              </w:rPr>
              <w:t xml:space="preserve">5 </w:t>
            </w:r>
            <w:r>
              <w:rPr>
                <w:rFonts w:hint="eastAsia" w:ascii="Calibri" w:hAnsi="宋体" w:eastAsia="宋体" w:cstheme="minorHAnsi"/>
                <w:sz w:val="21"/>
              </w:rPr>
              <w:t>%</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85858" w:themeColor="text1" w:themeTint="A6"/>
                <w:sz w:val="21"/>
              </w:rPr>
            </w:pPr>
            <w:r>
              <w:rPr>
                <w:rFonts w:hint="eastAsia" w:ascii="Calibri" w:hAnsi="宋体" w:eastAsia="宋体" w:cstheme="minorHAnsi"/>
                <w:color w:val="585858" w:themeColor="text1" w:themeTint="A6"/>
                <w:sz w:val="21"/>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pPr>
              <w:spacing w:line="320" w:lineRule="exact"/>
              <w:jc w:val="both"/>
              <w:rPr>
                <w:rFonts w:ascii="Calibri" w:hAnsi="宋体" w:eastAsia="宋体" w:cstheme="minorHAnsi"/>
                <w:color w:val="585858" w:themeColor="text1" w:themeTint="A6"/>
                <w:sz w:val="21"/>
              </w:rPr>
            </w:pPr>
            <w:r>
              <w:rPr>
                <w:rFonts w:hint="eastAsia" w:ascii="Calibri" w:hAnsi="宋体" w:eastAsia="宋体" w:cstheme="minorHAnsi"/>
                <w:color w:val="585858" w:themeColor="text1" w:themeTint="A6"/>
                <w:sz w:val="21"/>
              </w:rPr>
              <w:t>　受理部门：采购</w:t>
            </w:r>
            <w:r>
              <w:rPr>
                <w:rFonts w:ascii="Calibri" w:hAnsi="宋体" w:eastAsia="宋体" w:cstheme="minorHAnsi"/>
                <w:color w:val="585858" w:themeColor="text1" w:themeTint="A6"/>
                <w:sz w:val="21"/>
              </w:rPr>
              <w:t>代理机构</w:t>
            </w:r>
            <w:r>
              <w:rPr>
                <w:rFonts w:hint="eastAsia" w:ascii="Calibri" w:hAnsi="宋体" w:eastAsia="宋体" w:cstheme="minorHAnsi"/>
                <w:color w:val="585858" w:themeColor="text1" w:themeTint="A6"/>
                <w:sz w:val="21"/>
              </w:rPr>
              <w:t>综合业务组</w:t>
            </w:r>
          </w:p>
          <w:p>
            <w:pPr>
              <w:spacing w:line="320" w:lineRule="exact"/>
              <w:jc w:val="both"/>
              <w:rPr>
                <w:rFonts w:ascii="Calibri" w:hAnsi="宋体" w:eastAsia="宋体" w:cstheme="minorHAnsi"/>
                <w:sz w:val="21"/>
              </w:rPr>
            </w:pPr>
            <w:r>
              <w:rPr>
                <w:rFonts w:hint="eastAsia" w:ascii="Calibri" w:hAnsi="宋体" w:eastAsia="宋体" w:cstheme="minorHAnsi"/>
                <w:color w:val="585858" w:themeColor="text1" w:themeTint="A6"/>
                <w:sz w:val="21"/>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85858" w:themeColor="text1" w:themeTint="A6"/>
                <w:sz w:val="21"/>
                <w:szCs w:val="21"/>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85858" w:themeColor="text1" w:themeTint="A6"/>
                <w:sz w:val="21"/>
                <w:szCs w:val="21"/>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暗标盲评</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物业管理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sdt>
              <w:sdtPr>
                <w:rPr>
                  <w:rFonts w:hint="eastAsia" w:ascii="Calibri" w:hAnsi="宋体" w:eastAsia="宋体" w:cstheme="minorHAnsi"/>
                  <w:color w:val="C00000"/>
                  <w:sz w:val="21"/>
                </w:rPr>
                <w:id w:val="1092206112"/>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color w:val="C00000"/>
                <w:sz w:val="21"/>
              </w:rPr>
              <w:t>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现场演示</w:t>
            </w:r>
            <w:sdt>
              <w:sdtPr>
                <w:rPr>
                  <w:rFonts w:hint="eastAsia" w:ascii="Calibri" w:hAnsi="宋体" w:eastAsia="宋体" w:cstheme="minorHAnsi"/>
                  <w:color w:val="C00000"/>
                  <w:sz w:val="21"/>
                </w:rPr>
                <w:id w:val="1588886210"/>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②书面质疑：</w:t>
      </w:r>
    </w:p>
    <w:p>
      <w:pPr>
        <w:ind w:firstLine="480" w:firstLineChars="200"/>
        <w:jc w:val="both"/>
      </w:pPr>
      <w:r>
        <w:t>书面质疑函应</w:t>
      </w:r>
      <w:r>
        <w:rPr>
          <w:rFonts w:hint="eastAsia"/>
        </w:rPr>
        <w:t>按照财政部国库司制定的《政府采购供应商质疑函范本》进行填写，签字、盖章后提交至采购人、采购代理机构。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①</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②</w:t>
      </w:r>
      <w:r>
        <w:rPr>
          <w:rFonts w:cstheme="minorHAnsi"/>
        </w:rPr>
        <w:t>超过法定期限或未以书面形式提出的；</w:t>
      </w:r>
    </w:p>
    <w:p>
      <w:pPr>
        <w:ind w:firstLine="480" w:firstLineChars="200"/>
        <w:jc w:val="both"/>
        <w:rPr>
          <w:rFonts w:cstheme="minorHAnsi"/>
        </w:rPr>
      </w:pPr>
      <w:r>
        <w:rPr>
          <w:rFonts w:hint="eastAsia" w:cstheme="minorHAnsi"/>
        </w:rPr>
        <w:t>③</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④</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⑤</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⑥</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投标保证金</w:t>
      </w:r>
    </w:p>
    <w:p>
      <w:pPr>
        <w:ind w:firstLine="480" w:firstLineChars="200"/>
        <w:jc w:val="both"/>
      </w:pPr>
      <w:r>
        <w:rPr>
          <w:rFonts w:hint="eastAsia"/>
        </w:rPr>
        <w:t>按照西安市财政局《关于促进政府采购公平竞争优化营商环境的通知》第三条规定，供应商参与西安市政府采购活动时，免交投标保证金。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①</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①履约保函的受益人为采购人，供应商未能按合同规定履行其义务时，采购人有权从履约保证金中取得补偿。</w:t>
      </w:r>
    </w:p>
    <w:p>
      <w:pPr>
        <w:wordWrap w:val="0"/>
        <w:ind w:firstLine="480" w:firstLineChars="200"/>
        <w:jc w:val="both"/>
      </w:pPr>
      <w:r>
        <w:rPr>
          <w:rFonts w:hint="eastAsia"/>
        </w:rPr>
        <w:t>②履约保函的内容包括但不限于保函申请人、项目名称（如分采购包，还应写明所投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③担保金额不少于</w:t>
      </w:r>
      <w:r>
        <w:t>本章「前附表」</w:t>
      </w:r>
      <w:r>
        <w:rPr>
          <w:rFonts w:hint="eastAsia"/>
        </w:rPr>
        <w:t>中规定的履约保证金金额；</w:t>
      </w:r>
    </w:p>
    <w:p>
      <w:pPr>
        <w:wordWrap w:val="0"/>
        <w:ind w:firstLine="480" w:firstLineChars="200"/>
        <w:jc w:val="both"/>
      </w:pPr>
      <w:r>
        <w:rPr>
          <w:rFonts w:hint="eastAsia"/>
        </w:rPr>
        <w:t>④保函申请人须与供应商名称一致。若供应商为联合体形式，原则上可由联合体任意一方或多方作为保函申请人，然而对于电子保函，目前只能由下载电子招标文件的一方作为保函申请人。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四、投标文件</w:t>
      </w:r>
    </w:p>
    <w:p>
      <w:pPr>
        <w:pStyle w:val="4"/>
        <w:ind w:firstLine="482"/>
      </w:pPr>
      <w:r>
        <w:rPr>
          <w:rFonts w:hint="eastAsia"/>
        </w:rPr>
        <w:t>（一）投标文件</w:t>
      </w:r>
      <w:r>
        <w:t>的式样</w:t>
      </w:r>
    </w:p>
    <w:p>
      <w:pPr>
        <w:pStyle w:val="81"/>
        <w:ind w:firstLine="480"/>
      </w:pPr>
      <w:r>
        <w:t>1</w:t>
      </w:r>
      <w:r>
        <w:rPr>
          <w:rFonts w:hint="eastAsia"/>
          <w:color w:val="auto"/>
        </w:rPr>
        <w:t>．</w:t>
      </w:r>
      <w:r>
        <w:rPr>
          <w:rFonts w:hint="eastAsia"/>
        </w:rPr>
        <w:t>组成</w:t>
      </w:r>
      <w:r>
        <w:t>及格式</w:t>
      </w:r>
    </w:p>
    <w:p>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rPr>
        <w:t>采购包</w:t>
      </w:r>
      <w:r>
        <w:t>分别准备投标文件。</w:t>
      </w:r>
    </w:p>
    <w:p>
      <w:pPr>
        <w:pStyle w:val="81"/>
        <w:ind w:firstLine="480"/>
      </w:pPr>
      <w:r>
        <w:rPr>
          <w:rFonts w:hint="eastAsia"/>
        </w:rPr>
        <w:t>2</w:t>
      </w:r>
      <w:r>
        <w:rPr>
          <w:rFonts w:hint="eastAsia"/>
          <w:color w:val="auto"/>
        </w:rPr>
        <w:t>．</w:t>
      </w:r>
      <w:r>
        <w:rPr>
          <w:rFonts w:hint="eastAsia"/>
        </w:rPr>
        <w:t>语言</w:t>
      </w:r>
    </w:p>
    <w:p>
      <w:pPr>
        <w:pStyle w:val="81"/>
        <w:ind w:firstLine="480"/>
      </w:pPr>
      <w:r>
        <w:rPr>
          <w:rFonts w:hint="eastAsia"/>
        </w:rPr>
        <w:t>招标活动的所有文件、资料、函电文字均使用简体中文，确需提交用其他语言形成的资料，必须翻译成简体中文，如有差异，以简体中文为准。</w:t>
      </w:r>
    </w:p>
    <w:p>
      <w:pPr>
        <w:pStyle w:val="81"/>
        <w:ind w:firstLine="480"/>
      </w:pPr>
      <w:r>
        <w:rPr>
          <w:rFonts w:hint="eastAsia"/>
        </w:rPr>
        <w:t>3</w:t>
      </w:r>
      <w:r>
        <w:rPr>
          <w:rFonts w:hint="eastAsia"/>
          <w:color w:val="auto"/>
        </w:rPr>
        <w:t>．</w:t>
      </w:r>
      <w:r>
        <w:t>计量单位</w:t>
      </w:r>
    </w:p>
    <w:p>
      <w:pPr>
        <w:pStyle w:val="81"/>
        <w:ind w:firstLine="480"/>
      </w:pPr>
      <w:r>
        <w:rPr>
          <w:rFonts w:hint="eastAsia"/>
        </w:rPr>
        <w:t>投标文件的计量单位应使用中华人民共和国法定计量单位，但招标文件另有规定的除外。</w:t>
      </w:r>
    </w:p>
    <w:p>
      <w:pPr>
        <w:pStyle w:val="4"/>
        <w:ind w:firstLine="482"/>
      </w:pPr>
      <w:r>
        <w:rPr>
          <w:rFonts w:hint="eastAsia"/>
        </w:rPr>
        <w:t>（二）投标文件</w:t>
      </w:r>
      <w:r>
        <w:t>的有效期</w:t>
      </w:r>
    </w:p>
    <w:p>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pPr>
      <w:r>
        <w:rPr>
          <w:rFonts w:hint="eastAsia"/>
        </w:rPr>
        <w:t>（三）投标</w:t>
      </w:r>
      <w:r>
        <w:t>报价</w:t>
      </w:r>
    </w:p>
    <w:p>
      <w:pPr>
        <w:pStyle w:val="81"/>
        <w:ind w:firstLine="480"/>
      </w:pPr>
      <w:r>
        <w:rPr>
          <w:rFonts w:hint="eastAsia"/>
        </w:rPr>
        <w:t>投标报价是供应商响应采购项目要求的全部工作内容的价格体现，包括完成采购内容所需的直接费、间接费、利润、税金及其它相关的一切费用。</w:t>
      </w:r>
    </w:p>
    <w:p>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供应商应严格按照《投标文件构成及格式》第二部分《开标一览表》中的相关要求填写分类报价及其他需要响应的内容。投标报价只能提交唯一报价，任何有选择的报价将不予接受，按无效投标处理。</w:t>
      </w:r>
    </w:p>
    <w:p>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pPr>
      <w:r>
        <w:rPr>
          <w:rFonts w:hint="eastAsia"/>
        </w:rPr>
        <w:t>（四）电子投标文件</w:t>
      </w:r>
      <w:r>
        <w:t>的</w:t>
      </w:r>
      <w:r>
        <w:rPr>
          <w:rFonts w:hint="eastAsia"/>
        </w:rPr>
        <w:t>制作、</w:t>
      </w:r>
      <w:r>
        <w:t>签章及加密</w:t>
      </w:r>
    </w:p>
    <w:p>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pPr>
      <w:r>
        <w:rPr>
          <w:rFonts w:hint="eastAsia"/>
        </w:rPr>
        <w:t>（五）电子投标文件</w:t>
      </w:r>
      <w:r>
        <w:t>的提交</w:t>
      </w:r>
    </w:p>
    <w:p>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的电子投标文件（*.SXSTF）。上传成功后，西安市公共资源交易平台政府采购系统将予以记录。</w:t>
      </w:r>
    </w:p>
    <w:p>
      <w:pPr>
        <w:pStyle w:val="81"/>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81"/>
        <w:ind w:firstLine="480"/>
      </w:pPr>
      <w:r>
        <w:t>3</w:t>
      </w:r>
      <w:r>
        <w:rPr>
          <w:rFonts w:hint="eastAsia"/>
        </w:rPr>
        <w:t>．使用旧版电子招标文件制作电子投标文件的。</w:t>
      </w:r>
    </w:p>
    <w:p>
      <w:pPr>
        <w:pStyle w:val="4"/>
        <w:ind w:firstLine="482"/>
      </w:pPr>
      <w:r>
        <w:t>（</w:t>
      </w:r>
      <w:r>
        <w:rPr>
          <w:rFonts w:hint="eastAsia"/>
        </w:rPr>
        <w:t>六</w:t>
      </w:r>
      <w:r>
        <w:t>）电子</w:t>
      </w:r>
      <w:r>
        <w:rPr>
          <w:rFonts w:hint="eastAsia"/>
        </w:rPr>
        <w:t>投标</w:t>
      </w:r>
      <w:r>
        <w:t>文件的撤回、补充及修改</w:t>
      </w:r>
    </w:p>
    <w:p>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pPr>
      <w:r>
        <w:rPr>
          <w:rFonts w:hint="eastAsia"/>
        </w:rPr>
        <w:t>（七）关于电子投标文件的雷同性分析</w:t>
      </w:r>
    </w:p>
    <w:p>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pPr>
      <w:r>
        <w:rPr>
          <w:rFonts w:hint="eastAsia"/>
        </w:rPr>
        <w:t>（八）投标文件出现下列情形时，视同供应商串通投标，其投标无效：</w:t>
      </w:r>
    </w:p>
    <w:p>
      <w:pPr>
        <w:pStyle w:val="81"/>
        <w:ind w:firstLine="480"/>
      </w:pPr>
      <w:r>
        <w:rPr>
          <w:rFonts w:hint="eastAsia"/>
        </w:rPr>
        <w:t>1．不同供应商的投标文件由同一单位或者个人编制的；</w:t>
      </w:r>
    </w:p>
    <w:p>
      <w:pPr>
        <w:pStyle w:val="81"/>
        <w:ind w:firstLine="480"/>
      </w:pPr>
      <w:r>
        <w:rPr>
          <w:rFonts w:hint="eastAsia"/>
        </w:rPr>
        <w:t>2．不同供应商委托同一单位或者个人办理投标事宜的；</w:t>
      </w:r>
    </w:p>
    <w:p>
      <w:pPr>
        <w:pStyle w:val="81"/>
        <w:ind w:firstLine="480"/>
      </w:pPr>
      <w:r>
        <w:rPr>
          <w:rFonts w:hint="eastAsia"/>
        </w:rPr>
        <w:t>3．不同供应商的投标文件载明的项目管理成员或者联系人员为同一人的；</w:t>
      </w:r>
    </w:p>
    <w:p>
      <w:pPr>
        <w:pStyle w:val="81"/>
        <w:ind w:firstLine="480"/>
      </w:pPr>
      <w:r>
        <w:rPr>
          <w:rFonts w:hint="eastAsia"/>
        </w:rPr>
        <w:t>4．不同供应商的投标文件异常一致或者投标报价呈规律性差异的。</w:t>
      </w:r>
    </w:p>
    <w:p>
      <w:pPr>
        <w:pStyle w:val="81"/>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81"/>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4"/>
        <w:ind w:firstLine="482"/>
      </w:pPr>
      <w:r>
        <w:rPr>
          <w:rFonts w:hint="eastAsia"/>
        </w:rPr>
        <w:t>（一）基本流程</w:t>
      </w:r>
    </w:p>
    <w:p>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0" w:firstLineChars="200"/>
      </w:pPr>
      <w:r>
        <w:rPr>
          <w:rFonts w:hint="eastAsia"/>
        </w:rPr>
        <w:t>（二）开标环节出现以下情形之一的，投标文件将被视为无效：</w:t>
      </w:r>
    </w:p>
    <w:p>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81"/>
        <w:ind w:firstLine="480"/>
        <w:rPr>
          <w:color w:val="auto"/>
        </w:rPr>
      </w:pPr>
      <w:r>
        <w:rPr>
          <w:rFonts w:hint="eastAsia"/>
          <w:color w:val="auto"/>
        </w:rPr>
        <w:t>3．上传</w:t>
      </w:r>
      <w:r>
        <w:rPr>
          <w:color w:val="auto"/>
        </w:rPr>
        <w:t>的电子投标文件无法正常打开的；</w:t>
      </w:r>
    </w:p>
    <w:p>
      <w:pPr>
        <w:pStyle w:val="81"/>
        <w:ind w:firstLine="480"/>
        <w:rPr>
          <w:color w:val="auto"/>
        </w:rPr>
      </w:pPr>
      <w:r>
        <w:rPr>
          <w:rFonts w:hint="eastAsia"/>
          <w:color w:val="auto"/>
        </w:rPr>
        <w:t>4．</w:t>
      </w:r>
      <w:r>
        <w:rPr>
          <w:color w:val="auto"/>
        </w:rPr>
        <w:t>政府采购法律法规规定的其他无效情形。</w:t>
      </w:r>
    </w:p>
    <w:p>
      <w:pPr>
        <w:pStyle w:val="4"/>
        <w:ind w:firstLine="482"/>
      </w:pPr>
      <w:r>
        <w:rPr>
          <w:rFonts w:hint="eastAsia"/>
        </w:rPr>
        <w:t>（</w:t>
      </w:r>
      <w:r>
        <w:t>三</w:t>
      </w:r>
      <w:r>
        <w:rPr>
          <w:rFonts w:hint="eastAsia"/>
        </w:rPr>
        <w:t>）突发状况的应急处置</w:t>
      </w:r>
    </w:p>
    <w:p>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81"/>
        <w:ind w:firstLine="480"/>
      </w:pPr>
      <w:r>
        <w:t>开标结束后，由采购人委派的</w:t>
      </w:r>
      <w:r>
        <w:rPr>
          <w:color w:val="C00000"/>
        </w:rPr>
        <w:t>资格审查小组</w:t>
      </w:r>
      <w:r>
        <w:t>按照《政府采购货物和服务招标投标管理办法》（财政部第87号令）有关规定，对投标文件中的供应商资格证明文件进行审查，并对供应商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81"/>
        <w:ind w:firstLine="480"/>
      </w:pPr>
      <w:r>
        <w:rPr>
          <w:rFonts w:hint="eastAsia"/>
        </w:rPr>
        <w:t>（1）不具备招标文件中规定的资格要求的；</w:t>
      </w:r>
    </w:p>
    <w:p>
      <w:pPr>
        <w:pStyle w:val="81"/>
        <w:ind w:firstLine="480"/>
      </w:pPr>
      <w:r>
        <w:rPr>
          <w:rFonts w:hint="eastAsia"/>
        </w:rPr>
        <w:t>（2）未按招标文件要求提供资格证明文件，或资格证明文件未按招标文件要求签字、盖章的；</w:t>
      </w:r>
    </w:p>
    <w:p>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81"/>
        <w:ind w:firstLine="480"/>
      </w:pPr>
      <w:r>
        <w:rPr>
          <w:rFonts w:hint="eastAsia"/>
        </w:rPr>
        <w:t>（4）法律法规规定的其他无效情形。</w:t>
      </w:r>
    </w:p>
    <w:p>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81"/>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C0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3"/>
      </w:pPr>
      <w:r>
        <w:t>七、评审方法和程序</w:t>
      </w:r>
    </w:p>
    <w:p>
      <w:pPr>
        <w:pStyle w:val="4"/>
        <w:ind w:firstLine="482"/>
      </w:pPr>
      <w:r>
        <w:t>（一）评标方法</w:t>
      </w:r>
    </w:p>
    <w:p>
      <w:pPr>
        <w:pStyle w:val="81"/>
        <w:ind w:firstLine="480"/>
      </w:pPr>
      <w:r>
        <w:t>本项目采用</w:t>
      </w:r>
      <w:r>
        <w:rPr>
          <w:color w:val="C00000"/>
        </w:rPr>
        <w:t>综合评分法</w:t>
      </w:r>
      <w:r>
        <w:rPr>
          <w:rFonts w:hint="eastAsia"/>
          <w:color w:val="C00000"/>
        </w:rPr>
        <w:t>。</w:t>
      </w:r>
    </w:p>
    <w:p>
      <w:pPr>
        <w:pStyle w:val="81"/>
        <w:ind w:firstLine="480"/>
      </w:pPr>
      <w:r>
        <w:rPr>
          <w:rFonts w:hint="eastAsia"/>
        </w:rPr>
        <w:t>评标方法分为最低评标价法和综合评分法。</w:t>
      </w:r>
    </w:p>
    <w:p>
      <w:pPr>
        <w:pStyle w:val="81"/>
        <w:ind w:firstLine="480"/>
      </w:pPr>
      <w:r>
        <w:rPr>
          <w:rFonts w:hint="eastAsia"/>
        </w:rPr>
        <w:t>1、最低评标价法，是指投标文件满足招标文件全部实质性要求，且投标报价最低的供应商为中标候选人的评标方法。</w:t>
      </w:r>
    </w:p>
    <w:p>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pPr>
      <w:r>
        <w:t>（二）评标形式</w:t>
      </w:r>
    </w:p>
    <w:p>
      <w:pPr>
        <w:pStyle w:val="81"/>
        <w:ind w:firstLine="480"/>
      </w:pPr>
      <w:r>
        <w:rPr>
          <w:rFonts w:hint="eastAsia"/>
        </w:rPr>
        <w:t>1．关于技术标“暗标盲评”</w:t>
      </w:r>
    </w:p>
    <w:p>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81"/>
        <w:ind w:firstLine="480"/>
      </w:pPr>
      <w:r>
        <w:rPr>
          <w:rFonts w:hint="eastAsia"/>
        </w:rPr>
        <w:t>2．“暗标盲评部分”编制要求</w:t>
      </w:r>
    </w:p>
    <w:p>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81"/>
        <w:ind w:firstLine="480"/>
        <w:rPr>
          <w:color w:val="C00000"/>
        </w:rPr>
      </w:pPr>
      <w:r>
        <w:rPr>
          <w:rFonts w:hint="eastAsia"/>
          <w:color w:val="C00000"/>
        </w:rPr>
        <w:t>（2）签章要求：暗标部分不得进行签章。</w:t>
      </w:r>
    </w:p>
    <w:p>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pPr>
      <w:r>
        <w:t>（三）评标程序</w:t>
      </w:r>
    </w:p>
    <w:p>
      <w:pPr>
        <w:pStyle w:val="81"/>
        <w:ind w:firstLine="482"/>
        <w:rPr>
          <w:b/>
        </w:rPr>
      </w:pPr>
      <w:r>
        <w:rPr>
          <w:rFonts w:hint="eastAsia"/>
          <w:b/>
        </w:rPr>
        <w:t>1</w:t>
      </w:r>
      <w:r>
        <w:rPr>
          <w:rFonts w:hint="eastAsia"/>
          <w:b/>
          <w:color w:val="auto"/>
        </w:rPr>
        <w:t>．</w:t>
      </w:r>
      <w:r>
        <w:rPr>
          <w:rFonts w:hint="eastAsia"/>
          <w:b/>
        </w:rPr>
        <w:t>组建评标委员会</w:t>
      </w:r>
    </w:p>
    <w:p>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81"/>
        <w:ind w:firstLine="480"/>
      </w:pPr>
      <w:r>
        <w:rPr>
          <w:rFonts w:hint="eastAsia"/>
        </w:rPr>
        <w:t>由采购代理机构组织评标委员会推选评标组长，采购人代表不得担任组长。</w:t>
      </w:r>
    </w:p>
    <w:p>
      <w:pPr>
        <w:pStyle w:val="81"/>
        <w:ind w:firstLine="482"/>
        <w:rPr>
          <w:b/>
        </w:rPr>
      </w:pPr>
      <w:r>
        <w:rPr>
          <w:rFonts w:hint="eastAsia"/>
          <w:b/>
        </w:rPr>
        <w:t>2</w:t>
      </w:r>
      <w:r>
        <w:rPr>
          <w:rFonts w:hint="eastAsia"/>
          <w:b/>
          <w:color w:val="auto"/>
        </w:rPr>
        <w:t>．</w:t>
      </w:r>
      <w:r>
        <w:rPr>
          <w:b/>
        </w:rPr>
        <w:t>投标文件的符合性审查</w:t>
      </w:r>
    </w:p>
    <w:p>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81"/>
        <w:ind w:firstLine="482"/>
        <w:rPr>
          <w:b/>
        </w:rPr>
      </w:pPr>
      <w:r>
        <w:rPr>
          <w:b/>
        </w:rPr>
        <w:t>3</w:t>
      </w:r>
      <w:r>
        <w:rPr>
          <w:rFonts w:hint="eastAsia"/>
          <w:b/>
          <w:color w:val="auto"/>
        </w:rPr>
        <w:t>．投标</w:t>
      </w:r>
      <w:r>
        <w:rPr>
          <w:rFonts w:hint="eastAsia"/>
          <w:b/>
        </w:rPr>
        <w:t>文件的澄清</w:t>
      </w:r>
    </w:p>
    <w:p>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81"/>
        <w:ind w:firstLine="482"/>
        <w:rPr>
          <w:b/>
        </w:rPr>
      </w:pPr>
      <w:r>
        <w:rPr>
          <w:rFonts w:hint="eastAsia"/>
          <w:b/>
        </w:rPr>
        <w:t>4．异常低价的审查</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50</w:t>
      </w:r>
      <w:r>
        <w:rPr>
          <w:color w:val="FF0000"/>
          <w:sz w:val="24"/>
          <w:szCs w:val="24"/>
        </w:rPr>
        <w:t>%；</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50</w:t>
      </w:r>
      <w:r>
        <w:rPr>
          <w:color w:val="FF0000"/>
          <w:sz w:val="24"/>
          <w:szCs w:val="24"/>
        </w:rPr>
        <w:t>%；</w:t>
      </w:r>
    </w:p>
    <w:p>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81"/>
        <w:ind w:firstLine="482"/>
        <w:rPr>
          <w:b/>
        </w:rPr>
      </w:pPr>
      <w:r>
        <w:rPr>
          <w:b/>
        </w:rPr>
        <w:t>5</w:t>
      </w:r>
      <w:r>
        <w:rPr>
          <w:rFonts w:hint="eastAsia"/>
          <w:b/>
        </w:rPr>
        <w:t>．</w:t>
      </w:r>
      <w:r>
        <w:rPr>
          <w:b/>
        </w:rPr>
        <w:t>综合比较与评价</w:t>
      </w:r>
    </w:p>
    <w:p>
      <w:pPr>
        <w:pStyle w:val="81"/>
        <w:ind w:firstLine="480"/>
      </w:pPr>
      <w:r>
        <w:rPr>
          <w:rFonts w:hint="eastAsia"/>
        </w:rPr>
        <w:t>采用最低评标价法的，评标委员会对通过符合性审查的投标文件的投标报价由低到高顺序排列。</w:t>
      </w:r>
    </w:p>
    <w:p>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pPr w:leftFromText="180" w:rightFromText="180" w:vertAnchor="text" w:horzAnchor="page" w:tblpX="1195" w:tblpY="657"/>
        <w:tblOverlap w:val="never"/>
        <w:tblW w:w="962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518"/>
        <w:gridCol w:w="85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restart"/>
            <w:tcBorders>
              <w:top w:val="single" w:color="auto" w:sz="12" w:space="0"/>
              <w:bottom w:val="single" w:color="auto" w:sz="2" w:space="0"/>
            </w:tcBorders>
            <w:shd w:val="clear" w:color="auto" w:fill="F2F2F2"/>
            <w:vAlign w:val="center"/>
          </w:tcPr>
          <w:p>
            <w:pPr>
              <w:widowControl w:val="0"/>
              <w:spacing w:line="400" w:lineRule="exact"/>
              <w:jc w:val="center"/>
              <w:rPr>
                <w:rFonts w:ascii="Calibri" w:hAnsi="宋体" w:eastAsia="宋体" w:cs="Calibri"/>
                <w:b/>
                <w:bCs/>
                <w:kern w:val="2"/>
                <w:sz w:val="21"/>
                <w:szCs w:val="21"/>
              </w:rPr>
            </w:pPr>
            <w:r>
              <w:rPr>
                <w:rFonts w:ascii="Calibri" w:hAnsi="宋体" w:eastAsia="宋体" w:cs="Calibri"/>
                <w:b/>
                <w:bCs/>
                <w:kern w:val="2"/>
                <w:sz w:val="21"/>
                <w:szCs w:val="21"/>
              </w:rPr>
              <w:t>项别</w:t>
            </w:r>
          </w:p>
        </w:tc>
        <w:tc>
          <w:tcPr>
            <w:tcW w:w="1500" w:type="dxa"/>
            <w:gridSpan w:val="2"/>
            <w:tcBorders>
              <w:top w:val="single" w:color="auto" w:sz="12" w:space="0"/>
              <w:bottom w:val="single" w:color="auto" w:sz="2" w:space="0"/>
            </w:tcBorders>
            <w:shd w:val="clear" w:color="auto" w:fill="F2F2F2"/>
            <w:vAlign w:val="center"/>
          </w:tcPr>
          <w:p>
            <w:pPr>
              <w:widowControl w:val="0"/>
              <w:spacing w:line="400" w:lineRule="exact"/>
              <w:jc w:val="center"/>
              <w:rPr>
                <w:rFonts w:ascii="Calibri" w:hAnsi="宋体" w:eastAsia="宋体" w:cs="Calibri"/>
                <w:b/>
                <w:bCs/>
                <w:kern w:val="2"/>
                <w:sz w:val="21"/>
                <w:szCs w:val="21"/>
              </w:rPr>
            </w:pPr>
            <w:r>
              <w:rPr>
                <w:rFonts w:ascii="Calibri" w:hAnsi="宋体" w:eastAsia="宋体" w:cs="Calibri"/>
                <w:b/>
                <w:bCs/>
                <w:kern w:val="2"/>
                <w:sz w:val="21"/>
                <w:szCs w:val="21"/>
              </w:rPr>
              <w:t>总分值</w:t>
            </w:r>
          </w:p>
        </w:tc>
        <w:tc>
          <w:tcPr>
            <w:tcW w:w="6518" w:type="dxa"/>
            <w:vMerge w:val="restart"/>
            <w:tcBorders>
              <w:top w:val="single" w:color="auto" w:sz="12" w:space="0"/>
              <w:bottom w:val="single" w:color="auto" w:sz="2" w:space="0"/>
            </w:tcBorders>
            <w:shd w:val="clear" w:color="auto" w:fill="F2F2F2"/>
            <w:vAlign w:val="center"/>
          </w:tcPr>
          <w:p>
            <w:pPr>
              <w:widowControl w:val="0"/>
              <w:spacing w:line="400" w:lineRule="exact"/>
              <w:ind w:firstLine="422"/>
              <w:jc w:val="center"/>
              <w:rPr>
                <w:rFonts w:ascii="Calibri" w:hAnsi="宋体" w:eastAsia="宋体" w:cs="Calibri"/>
                <w:b/>
                <w:bCs/>
                <w:kern w:val="2"/>
                <w:sz w:val="21"/>
                <w:szCs w:val="21"/>
              </w:rPr>
            </w:pPr>
            <w:r>
              <w:rPr>
                <w:rFonts w:hint="eastAsia" w:ascii="Calibri" w:hAnsi="宋体" w:eastAsia="宋体" w:cs="Calibri"/>
                <w:b/>
                <w:bCs/>
                <w:kern w:val="2"/>
                <w:sz w:val="21"/>
                <w:szCs w:val="21"/>
              </w:rPr>
              <w:t>评审要素</w:t>
            </w:r>
          </w:p>
        </w:tc>
        <w:tc>
          <w:tcPr>
            <w:tcW w:w="851" w:type="dxa"/>
            <w:vMerge w:val="restart"/>
            <w:tcBorders>
              <w:top w:val="single" w:color="auto" w:sz="12" w:space="0"/>
              <w:bottom w:val="single" w:color="auto" w:sz="2" w:space="0"/>
            </w:tcBorders>
            <w:shd w:val="clear" w:color="auto" w:fill="F2F2F2"/>
            <w:vAlign w:val="center"/>
          </w:tcPr>
          <w:p>
            <w:pPr>
              <w:widowControl w:val="0"/>
              <w:spacing w:line="400" w:lineRule="exact"/>
              <w:jc w:val="center"/>
              <w:rPr>
                <w:rFonts w:ascii="Calibri" w:hAnsi="宋体" w:eastAsia="宋体" w:cs="Calibri"/>
                <w:b/>
                <w:bCs/>
                <w:kern w:val="2"/>
                <w:sz w:val="21"/>
                <w:szCs w:val="21"/>
              </w:rPr>
            </w:pPr>
            <w:r>
              <w:rPr>
                <w:rFonts w:ascii="Calibri" w:hAnsi="宋体" w:eastAsia="宋体" w:cs="Calibri"/>
                <w:b/>
                <w:bCs/>
                <w:kern w:val="2"/>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continue"/>
            <w:tcBorders>
              <w:top w:val="single" w:color="auto" w:sz="2" w:space="0"/>
              <w:bottom w:val="single" w:color="auto" w:sz="2" w:space="0"/>
            </w:tcBorders>
            <w:shd w:val="clear" w:color="auto" w:fill="F2F2F2"/>
            <w:vAlign w:val="center"/>
          </w:tcPr>
          <w:p>
            <w:pPr>
              <w:widowControl w:val="0"/>
              <w:spacing w:line="400" w:lineRule="exact"/>
              <w:jc w:val="center"/>
              <w:rPr>
                <w:rFonts w:ascii="Calibri" w:hAnsi="宋体" w:eastAsia="宋体" w:cs="Calibri"/>
                <w:bCs/>
                <w:kern w:val="2"/>
                <w:sz w:val="21"/>
                <w:szCs w:val="21"/>
              </w:rPr>
            </w:pPr>
          </w:p>
        </w:tc>
        <w:tc>
          <w:tcPr>
            <w:tcW w:w="640" w:type="dxa"/>
            <w:tcBorders>
              <w:top w:val="single" w:color="auto" w:sz="2" w:space="0"/>
              <w:bottom w:val="single" w:color="auto" w:sz="2" w:space="0"/>
            </w:tcBorders>
            <w:shd w:val="clear" w:color="auto" w:fill="F2F2F2"/>
            <w:vAlign w:val="center"/>
          </w:tcPr>
          <w:p>
            <w:pPr>
              <w:widowControl w:val="0"/>
              <w:spacing w:line="400" w:lineRule="exact"/>
              <w:jc w:val="center"/>
              <w:rPr>
                <w:rFonts w:ascii="Calibri" w:hAnsi="宋体" w:eastAsia="宋体" w:cs="Calibri"/>
                <w:b/>
                <w:bCs/>
                <w:kern w:val="2"/>
                <w:sz w:val="21"/>
                <w:szCs w:val="21"/>
              </w:rPr>
            </w:pPr>
            <w:r>
              <w:rPr>
                <w:rFonts w:ascii="Calibri" w:hAnsi="宋体" w:eastAsia="宋体" w:cs="Calibri"/>
                <w:b/>
                <w:bCs/>
                <w:kern w:val="2"/>
                <w:sz w:val="21"/>
                <w:szCs w:val="21"/>
              </w:rPr>
              <w:t>100</w:t>
            </w:r>
          </w:p>
        </w:tc>
        <w:tc>
          <w:tcPr>
            <w:tcW w:w="860" w:type="dxa"/>
            <w:tcBorders>
              <w:top w:val="single" w:color="auto" w:sz="2" w:space="0"/>
              <w:bottom w:val="single" w:color="auto" w:sz="2" w:space="0"/>
            </w:tcBorders>
            <w:shd w:val="clear" w:color="auto" w:fill="F2F2F2"/>
            <w:vAlign w:val="center"/>
          </w:tcPr>
          <w:p>
            <w:pPr>
              <w:widowControl w:val="0"/>
              <w:spacing w:line="400" w:lineRule="exact"/>
              <w:jc w:val="center"/>
              <w:rPr>
                <w:rFonts w:ascii="Calibri" w:hAnsi="宋体" w:eastAsia="宋体" w:cs="Calibri"/>
                <w:b/>
                <w:bCs/>
                <w:kern w:val="2"/>
                <w:sz w:val="21"/>
                <w:szCs w:val="21"/>
              </w:rPr>
            </w:pPr>
            <w:r>
              <w:rPr>
                <w:rFonts w:ascii="Calibri" w:hAnsi="宋体" w:eastAsia="宋体" w:cs="Calibri"/>
                <w:b/>
                <w:bCs/>
                <w:kern w:val="2"/>
                <w:sz w:val="21"/>
                <w:szCs w:val="21"/>
              </w:rPr>
              <w:t>分项最高分值</w:t>
            </w:r>
          </w:p>
        </w:tc>
        <w:tc>
          <w:tcPr>
            <w:tcW w:w="6518" w:type="dxa"/>
            <w:vMerge w:val="continue"/>
            <w:tcBorders>
              <w:top w:val="single" w:color="auto" w:sz="2" w:space="0"/>
              <w:bottom w:val="single" w:color="auto" w:sz="2" w:space="0"/>
            </w:tcBorders>
            <w:shd w:val="clear" w:color="auto" w:fill="F2F2F2"/>
            <w:vAlign w:val="center"/>
          </w:tcPr>
          <w:p>
            <w:pPr>
              <w:widowControl w:val="0"/>
              <w:spacing w:line="400" w:lineRule="exact"/>
              <w:ind w:firstLine="420"/>
              <w:jc w:val="center"/>
              <w:rPr>
                <w:rFonts w:ascii="Calibri" w:hAnsi="宋体" w:eastAsia="宋体" w:cs="Calibri"/>
                <w:bCs/>
                <w:kern w:val="2"/>
                <w:sz w:val="21"/>
                <w:szCs w:val="21"/>
              </w:rPr>
            </w:pPr>
          </w:p>
        </w:tc>
        <w:tc>
          <w:tcPr>
            <w:tcW w:w="851" w:type="dxa"/>
            <w:vMerge w:val="continue"/>
            <w:tcBorders>
              <w:top w:val="single" w:color="auto" w:sz="2" w:space="0"/>
              <w:bottom w:val="single" w:color="auto" w:sz="2" w:space="0"/>
            </w:tcBorders>
            <w:shd w:val="clear" w:color="auto" w:fill="F2F2F2"/>
            <w:vAlign w:val="center"/>
          </w:tcPr>
          <w:p>
            <w:pPr>
              <w:widowControl w:val="0"/>
              <w:spacing w:line="400" w:lineRule="exact"/>
              <w:jc w:val="center"/>
              <w:rPr>
                <w:rFonts w:ascii="Calibri" w:hAnsi="宋体" w:eastAsia="宋体" w:cs="Calibr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tcBorders>
              <w:top w:val="single" w:color="auto" w:sz="2" w:space="0"/>
            </w:tcBorders>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
                <w:kern w:val="2"/>
                <w:sz w:val="21"/>
                <w:szCs w:val="21"/>
              </w:rPr>
              <w:t>价格</w:t>
            </w:r>
          </w:p>
        </w:tc>
        <w:tc>
          <w:tcPr>
            <w:tcW w:w="640" w:type="dxa"/>
            <w:tcBorders>
              <w:top w:val="single" w:color="auto" w:sz="2" w:space="0"/>
            </w:tcBorders>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30</w:t>
            </w: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30</w:t>
            </w:r>
          </w:p>
        </w:tc>
        <w:tc>
          <w:tcPr>
            <w:tcW w:w="6518" w:type="dxa"/>
            <w:tcBorders>
              <w:top w:val="single" w:color="auto" w:sz="2" w:space="0"/>
            </w:tcBorders>
            <w:shd w:val="clear" w:color="auto" w:fill="auto"/>
            <w:vAlign w:val="center"/>
          </w:tcPr>
          <w:p>
            <w:pPr>
              <w:widowControl w:val="0"/>
              <w:tabs>
                <w:tab w:val="left" w:pos="547"/>
              </w:tabs>
              <w:spacing w:line="400" w:lineRule="exact"/>
              <w:ind w:firstLine="420"/>
              <w:jc w:val="both"/>
              <w:rPr>
                <w:rFonts w:ascii="宋体" w:hAnsi="宋体" w:eastAsia="宋体" w:cs="宋体"/>
                <w:kern w:val="2"/>
                <w:sz w:val="21"/>
                <w:szCs w:val="21"/>
              </w:rPr>
            </w:pPr>
            <w:r>
              <w:rPr>
                <w:rFonts w:hint="eastAsia" w:ascii="宋体" w:hAnsi="宋体" w:eastAsia="宋体" w:cs="宋体"/>
                <w:kern w:val="2"/>
                <w:sz w:val="21"/>
                <w:szCs w:val="21"/>
              </w:rPr>
              <w:t>有效供应商最低报价为基准价，各供应商的报价得分按下列公式计算：（基准价/投标报价）×30%×100分</w:t>
            </w:r>
          </w:p>
        </w:tc>
        <w:tc>
          <w:tcPr>
            <w:tcW w:w="851" w:type="dxa"/>
            <w:tcBorders>
              <w:top w:val="single" w:color="auto" w:sz="2" w:space="0"/>
            </w:tcBorders>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restart"/>
            <w:tcBorders>
              <w:top w:val="single" w:color="auto" w:sz="2" w:space="0"/>
            </w:tcBorders>
            <w:shd w:val="clear" w:color="auto" w:fill="auto"/>
            <w:vAlign w:val="center"/>
          </w:tcPr>
          <w:p>
            <w:pPr>
              <w:widowControl w:val="0"/>
              <w:spacing w:line="400" w:lineRule="exact"/>
              <w:jc w:val="center"/>
              <w:rPr>
                <w:rFonts w:ascii="Calibri" w:hAnsi="宋体" w:eastAsia="宋体" w:cs="宋体"/>
                <w:b/>
                <w:kern w:val="2"/>
                <w:sz w:val="21"/>
                <w:szCs w:val="21"/>
              </w:rPr>
            </w:pPr>
            <w:r>
              <w:rPr>
                <w:rFonts w:hint="eastAsia" w:ascii="Calibri" w:hAnsi="宋体" w:eastAsia="宋体" w:cs="宋体"/>
                <w:b/>
                <w:kern w:val="2"/>
                <w:sz w:val="21"/>
                <w:szCs w:val="21"/>
              </w:rPr>
              <w:t>技术（服务</w:t>
            </w:r>
            <w:r>
              <w:rPr>
                <w:rFonts w:ascii="Calibri" w:hAnsi="宋体" w:eastAsia="宋体" w:cs="宋体"/>
                <w:b/>
                <w:kern w:val="2"/>
                <w:sz w:val="21"/>
                <w:szCs w:val="21"/>
              </w:rPr>
              <w:t>）暗标盲评</w:t>
            </w:r>
            <w:r>
              <w:rPr>
                <w:rFonts w:hint="eastAsia" w:ascii="Calibri" w:hAnsi="宋体" w:eastAsia="宋体" w:cs="宋体"/>
                <w:b/>
                <w:kern w:val="2"/>
                <w:sz w:val="21"/>
                <w:szCs w:val="21"/>
              </w:rPr>
              <w:t>部分</w:t>
            </w:r>
          </w:p>
        </w:tc>
        <w:tc>
          <w:tcPr>
            <w:tcW w:w="640" w:type="dxa"/>
            <w:vMerge w:val="restart"/>
            <w:tcBorders>
              <w:top w:val="single" w:color="auto" w:sz="2" w:space="0"/>
            </w:tcBorders>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24</w:t>
            </w: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ascii="Calibri" w:hAnsi="宋体" w:eastAsia="宋体" w:cs="宋体"/>
                <w:bCs/>
                <w:kern w:val="2"/>
                <w:sz w:val="21"/>
                <w:szCs w:val="21"/>
              </w:rPr>
              <w:t>9</w:t>
            </w:r>
          </w:p>
        </w:tc>
        <w:tc>
          <w:tcPr>
            <w:tcW w:w="6518" w:type="dxa"/>
            <w:tcBorders>
              <w:top w:val="single" w:color="auto" w:sz="2" w:space="0"/>
            </w:tcBorders>
            <w:shd w:val="clear" w:color="auto" w:fill="auto"/>
            <w:vAlign w:val="center"/>
          </w:tcPr>
          <w:p>
            <w:pPr>
              <w:spacing w:line="400" w:lineRule="exact"/>
              <w:ind w:firstLine="420" w:firstLineChars="200"/>
              <w:rPr>
                <w:rFonts w:ascii="宋体" w:hAnsi="宋体" w:eastAsia="宋体" w:cs="宋体"/>
                <w:b/>
                <w:bCs/>
                <w:kern w:val="2"/>
                <w:sz w:val="21"/>
                <w:szCs w:val="21"/>
              </w:rPr>
            </w:pPr>
            <w:r>
              <w:rPr>
                <w:rFonts w:hint="eastAsia" w:ascii="宋体" w:hAnsi="宋体" w:eastAsia="宋体" w:cs="宋体"/>
                <w:b/>
                <w:bCs/>
                <w:kern w:val="2"/>
                <w:sz w:val="21"/>
                <w:szCs w:val="21"/>
              </w:rPr>
              <w:t>总体服务方案：</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一、评审内容</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提出针对本项目的总体服务方案，内容包括：①服务理念及标准②服务重难点问题及解决措施。</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二、评审标准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1、完整性：方案须全面，对评审内容中的各项要求有详细描述；</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2、可实施性：切合本项目实际情况，实施步骤清晰、合理；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3、针对性：方案能够紧扣项目实际情况，内容科学合理。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三、赋分标准（满分9分）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①服务理念及标准：每完全满足一项评审标准得1.5分，满分4.5分；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②服务重难点问题及解决措施：每完全满足一项评审标准得1.5分，满分4.5分。</w:t>
            </w:r>
          </w:p>
        </w:tc>
        <w:tc>
          <w:tcPr>
            <w:tcW w:w="851" w:type="dxa"/>
            <w:vMerge w:val="restart"/>
            <w:tcBorders>
              <w:top w:val="single" w:color="auto" w:sz="2" w:space="0"/>
            </w:tcBorders>
            <w:shd w:val="clear" w:color="auto" w:fill="auto"/>
            <w:vAlign w:val="center"/>
          </w:tcPr>
          <w:p>
            <w:pPr>
              <w:widowControl w:val="0"/>
              <w:spacing w:line="400" w:lineRule="exact"/>
              <w:jc w:val="center"/>
              <w:rPr>
                <w:rFonts w:ascii="Calibri" w:hAnsi="宋体" w:eastAsia="宋体" w:cs="宋体"/>
                <w:bCs/>
                <w:color w:val="FF0000"/>
                <w:kern w:val="2"/>
                <w:sz w:val="21"/>
                <w:szCs w:val="21"/>
              </w:rPr>
            </w:pPr>
            <w:r>
              <w:rPr>
                <w:rFonts w:hint="eastAsia" w:ascii="Calibri" w:hAnsi="宋体" w:eastAsia="宋体" w:cs="宋体"/>
                <w:bCs/>
                <w:color w:val="FF0000"/>
                <w:kern w:val="2"/>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continue"/>
            <w:shd w:val="clear" w:color="auto" w:fill="auto"/>
            <w:vAlign w:val="center"/>
          </w:tcPr>
          <w:p>
            <w:pPr>
              <w:widowControl w:val="0"/>
              <w:spacing w:line="400" w:lineRule="exact"/>
              <w:jc w:val="center"/>
              <w:rPr>
                <w:rFonts w:ascii="Calibri" w:hAnsi="宋体" w:eastAsia="宋体" w:cs="宋体"/>
                <w:b/>
                <w:kern w:val="2"/>
                <w:sz w:val="21"/>
                <w:szCs w:val="21"/>
              </w:rPr>
            </w:pPr>
          </w:p>
        </w:tc>
        <w:tc>
          <w:tcPr>
            <w:tcW w:w="640"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9</w:t>
            </w:r>
          </w:p>
        </w:tc>
        <w:tc>
          <w:tcPr>
            <w:tcW w:w="6518" w:type="dxa"/>
            <w:tcBorders>
              <w:top w:val="single" w:color="auto" w:sz="2" w:space="0"/>
            </w:tcBorders>
            <w:shd w:val="clear" w:color="auto" w:fill="auto"/>
            <w:vAlign w:val="center"/>
          </w:tcPr>
          <w:p>
            <w:pPr>
              <w:spacing w:line="400" w:lineRule="exact"/>
              <w:ind w:firstLine="420" w:firstLineChars="200"/>
              <w:rPr>
                <w:rFonts w:ascii="宋体" w:hAnsi="宋体" w:eastAsia="宋体" w:cs="宋体"/>
                <w:b/>
                <w:bCs/>
                <w:kern w:val="2"/>
                <w:sz w:val="21"/>
                <w:szCs w:val="21"/>
              </w:rPr>
            </w:pPr>
            <w:r>
              <w:rPr>
                <w:rFonts w:hint="eastAsia" w:ascii="宋体" w:hAnsi="宋体" w:eastAsia="宋体" w:cs="宋体"/>
                <w:b/>
                <w:bCs/>
                <w:kern w:val="2"/>
                <w:sz w:val="21"/>
                <w:szCs w:val="21"/>
              </w:rPr>
              <w:t>管理制度：</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一、评审内容</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针对本项目具有良好的管理制度，内容包含①岗位职责（具有岗位工作标准、服务质量标准、作业流程及作业记录）②内控制度（具有廉洁敬业制度、监督机制、自查制度、物资管理制度）③人员管理制度（具有员工日常管理办法、请销假制度、奖惩措施、激励机制、仪容仪表制度）。</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二、评审标准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1、完整性：方案须全面，对评审内容中的各项要求有详细描述；</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2、可实施性：切合本项目实际情况，实施步骤清晰、合理；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3、针对性：方案能够紧扣项目实际情况，内容科学合理。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三、赋分标准（满分9分）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①岗位职责：每完全满足一项评审标准得1分，满分3分；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②内控制度:每完全满足一项评审标准得1分，满分3分；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③人员管理制度：每完全满足一项评审标准得1分，满分3分。</w:t>
            </w:r>
          </w:p>
        </w:tc>
        <w:tc>
          <w:tcPr>
            <w:tcW w:w="851" w:type="dxa"/>
            <w:vMerge w:val="continue"/>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continue"/>
            <w:shd w:val="clear" w:color="auto" w:fill="auto"/>
            <w:vAlign w:val="center"/>
          </w:tcPr>
          <w:p>
            <w:pPr>
              <w:widowControl w:val="0"/>
              <w:spacing w:line="400" w:lineRule="exact"/>
              <w:jc w:val="center"/>
              <w:rPr>
                <w:rFonts w:ascii="Calibri" w:hAnsi="宋体" w:eastAsia="宋体" w:cs="宋体"/>
                <w:b/>
                <w:kern w:val="2"/>
                <w:sz w:val="21"/>
                <w:szCs w:val="21"/>
              </w:rPr>
            </w:pPr>
          </w:p>
        </w:tc>
        <w:tc>
          <w:tcPr>
            <w:tcW w:w="640"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6</w:t>
            </w:r>
          </w:p>
        </w:tc>
        <w:tc>
          <w:tcPr>
            <w:tcW w:w="6518" w:type="dxa"/>
            <w:tcBorders>
              <w:top w:val="single" w:color="auto" w:sz="2" w:space="0"/>
            </w:tcBorders>
            <w:shd w:val="clear" w:color="auto" w:fill="auto"/>
            <w:vAlign w:val="center"/>
          </w:tcPr>
          <w:p>
            <w:pPr>
              <w:spacing w:line="400" w:lineRule="exact"/>
              <w:ind w:firstLine="420" w:firstLineChars="200"/>
              <w:rPr>
                <w:rFonts w:ascii="宋体" w:hAnsi="宋体" w:eastAsia="宋体" w:cs="宋体"/>
                <w:b/>
                <w:kern w:val="2"/>
                <w:sz w:val="21"/>
                <w:szCs w:val="21"/>
              </w:rPr>
            </w:pPr>
            <w:r>
              <w:rPr>
                <w:rFonts w:hint="eastAsia" w:ascii="宋体" w:hAnsi="宋体" w:eastAsia="宋体" w:cs="宋体"/>
                <w:b/>
                <w:kern w:val="2"/>
                <w:sz w:val="21"/>
                <w:szCs w:val="21"/>
              </w:rPr>
              <w:t>培训考核方案：</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一、评审内容</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制定培训考核方案，方案内容包含①培训（岗前培训、定期常态化培训、应急知识培训及培训后的成果验收）②考核（针对不同的岗位、制度及工作程序制定考核方案）。</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二、评审标准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1、完整性：方案须全面，对评审内容中的各项要求有详细描述；</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2、可实施性：切合本项目实际情况，实施步骤清晰、合理；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3、针对性：方案能够紧扣项目实际情况，内容科学合理。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三、赋分标准（满分6分）</w:t>
            </w:r>
          </w:p>
          <w:p>
            <w:pPr>
              <w:spacing w:line="400" w:lineRule="exact"/>
              <w:ind w:left="480" w:leftChars="200"/>
              <w:rPr>
                <w:rFonts w:ascii="宋体" w:hAnsi="宋体" w:eastAsia="宋体" w:cs="宋体"/>
                <w:kern w:val="2"/>
                <w:sz w:val="21"/>
                <w:szCs w:val="21"/>
              </w:rPr>
            </w:pPr>
            <w:r>
              <w:rPr>
                <w:rFonts w:hint="eastAsia" w:ascii="宋体" w:hAnsi="宋体" w:eastAsia="宋体" w:cs="宋体"/>
                <w:kern w:val="2"/>
                <w:sz w:val="21"/>
                <w:szCs w:val="21"/>
              </w:rPr>
              <w:t>①培训：每完全满足一项评审标准得1分，满分3分；</w:t>
            </w:r>
          </w:p>
          <w:p>
            <w:pPr>
              <w:spacing w:line="400" w:lineRule="exact"/>
              <w:ind w:left="480" w:leftChars="200"/>
              <w:rPr>
                <w:rFonts w:ascii="宋体" w:hAnsi="宋体" w:eastAsia="宋体" w:cs="宋体"/>
                <w:kern w:val="2"/>
                <w:sz w:val="21"/>
                <w:szCs w:val="21"/>
              </w:rPr>
            </w:pPr>
            <w:r>
              <w:rPr>
                <w:rFonts w:hint="eastAsia" w:ascii="宋体" w:hAnsi="宋体" w:eastAsia="宋体" w:cs="宋体"/>
                <w:kern w:val="2"/>
                <w:sz w:val="21"/>
                <w:szCs w:val="21"/>
              </w:rPr>
              <w:t>②考核：每完全满足一项评审标准得1分，满分3分。</w:t>
            </w:r>
          </w:p>
        </w:tc>
        <w:tc>
          <w:tcPr>
            <w:tcW w:w="851" w:type="dxa"/>
            <w:vMerge w:val="continue"/>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restart"/>
            <w:shd w:val="clear" w:color="auto" w:fill="auto"/>
            <w:vAlign w:val="center"/>
          </w:tcPr>
          <w:p>
            <w:pPr>
              <w:widowControl w:val="0"/>
              <w:spacing w:line="400" w:lineRule="exact"/>
              <w:jc w:val="center"/>
              <w:rPr>
                <w:rFonts w:ascii="Calibri" w:hAnsi="宋体" w:eastAsia="宋体" w:cs="宋体"/>
                <w:b/>
                <w:kern w:val="2"/>
                <w:sz w:val="21"/>
                <w:szCs w:val="21"/>
              </w:rPr>
            </w:pPr>
            <w:r>
              <w:rPr>
                <w:rFonts w:hint="eastAsia" w:ascii="Calibri" w:hAnsi="宋体" w:eastAsia="宋体" w:cs="宋体"/>
                <w:b/>
                <w:bCs/>
                <w:kern w:val="2"/>
                <w:sz w:val="21"/>
                <w:szCs w:val="21"/>
              </w:rPr>
              <w:t>商务部分</w:t>
            </w:r>
          </w:p>
        </w:tc>
        <w:tc>
          <w:tcPr>
            <w:tcW w:w="640" w:type="dxa"/>
            <w:vMerge w:val="restart"/>
            <w:tcBorders>
              <w:top w:val="nil"/>
            </w:tcBorders>
            <w:shd w:val="clear" w:color="auto" w:fill="auto"/>
            <w:vAlign w:val="center"/>
          </w:tcPr>
          <w:p>
            <w:pPr>
              <w:widowControl w:val="0"/>
              <w:spacing w:line="400" w:lineRule="exact"/>
              <w:jc w:val="center"/>
              <w:rPr>
                <w:rFonts w:ascii="Calibri" w:hAnsi="宋体" w:eastAsia="宋体" w:cs="宋体"/>
                <w:bCs/>
                <w:kern w:val="2"/>
                <w:sz w:val="21"/>
                <w:szCs w:val="21"/>
              </w:rPr>
            </w:pPr>
            <w:r>
              <w:rPr>
                <w:rFonts w:ascii="Calibri" w:hAnsi="宋体" w:eastAsia="宋体" w:cs="宋体"/>
                <w:bCs/>
                <w:kern w:val="2"/>
                <w:sz w:val="21"/>
                <w:szCs w:val="21"/>
              </w:rPr>
              <w:t>46</w:t>
            </w: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ascii="Calibri" w:hAnsi="宋体" w:eastAsia="宋体" w:cs="宋体"/>
                <w:bCs/>
                <w:kern w:val="2"/>
                <w:sz w:val="21"/>
                <w:szCs w:val="21"/>
              </w:rPr>
              <w:t>12</w:t>
            </w:r>
          </w:p>
        </w:tc>
        <w:tc>
          <w:tcPr>
            <w:tcW w:w="6518" w:type="dxa"/>
            <w:shd w:val="clear" w:color="auto" w:fill="auto"/>
            <w:vAlign w:val="center"/>
          </w:tcPr>
          <w:p>
            <w:pPr>
              <w:widowControl w:val="0"/>
              <w:tabs>
                <w:tab w:val="left" w:pos="547"/>
              </w:tabs>
              <w:spacing w:line="400" w:lineRule="exact"/>
              <w:ind w:firstLine="420" w:firstLineChars="200"/>
              <w:jc w:val="both"/>
              <w:rPr>
                <w:rFonts w:ascii="Calibri" w:hAnsi="Calibri" w:eastAsia="宋体" w:cs="宋体"/>
                <w:b/>
                <w:kern w:val="2"/>
                <w:sz w:val="21"/>
                <w:szCs w:val="21"/>
              </w:rPr>
            </w:pPr>
            <w:r>
              <w:rPr>
                <w:rFonts w:hint="eastAsia" w:ascii="Calibri" w:hAnsi="Calibri" w:eastAsia="宋体" w:cs="宋体"/>
                <w:b/>
                <w:kern w:val="2"/>
                <w:sz w:val="21"/>
                <w:szCs w:val="21"/>
              </w:rPr>
              <w:t>物业保洁服务方案</w:t>
            </w:r>
          </w:p>
          <w:p>
            <w:pPr>
              <w:widowControl w:val="0"/>
              <w:tabs>
                <w:tab w:val="left" w:pos="547"/>
              </w:tabs>
              <w:spacing w:line="400" w:lineRule="exact"/>
              <w:ind w:firstLine="420" w:firstLineChars="200"/>
              <w:jc w:val="both"/>
              <w:rPr>
                <w:rFonts w:ascii="Calibri" w:hAnsi="Calibri" w:eastAsia="宋体" w:cs="宋体"/>
                <w:b/>
                <w:kern w:val="2"/>
                <w:sz w:val="21"/>
                <w:szCs w:val="21"/>
              </w:rPr>
            </w:pPr>
            <w:r>
              <w:rPr>
                <w:rFonts w:hint="eastAsia" w:ascii="Calibri" w:hAnsi="Calibri" w:eastAsia="宋体" w:cs="宋体"/>
                <w:b/>
                <w:kern w:val="2"/>
                <w:sz w:val="21"/>
                <w:szCs w:val="21"/>
              </w:rPr>
              <w:t>一、评审内容</w:t>
            </w:r>
          </w:p>
          <w:p>
            <w:pPr>
              <w:widowControl w:val="0"/>
              <w:tabs>
                <w:tab w:val="left" w:pos="547"/>
              </w:tabs>
              <w:spacing w:line="400" w:lineRule="exact"/>
              <w:ind w:firstLine="420" w:firstLineChars="200"/>
              <w:jc w:val="both"/>
              <w:rPr>
                <w:rFonts w:ascii="Calibri" w:hAnsi="Calibri" w:eastAsia="宋体" w:cs="宋体"/>
                <w:kern w:val="2"/>
                <w:sz w:val="21"/>
                <w:szCs w:val="21"/>
              </w:rPr>
            </w:pPr>
            <w:r>
              <w:rPr>
                <w:rFonts w:hint="eastAsia" w:ascii="Calibri" w:hAnsi="Calibri" w:eastAsia="宋体" w:cs="宋体"/>
                <w:kern w:val="2"/>
                <w:sz w:val="21"/>
                <w:szCs w:val="21"/>
              </w:rPr>
              <w:t>针对本项目物业保洁服务内容，提供物业保洁服务方案，方案包括：①室内、室外保洁服务②</w:t>
            </w:r>
            <w:r>
              <w:rPr>
                <w:rFonts w:hint="eastAsia" w:ascii="东文宋体" w:hAnsi="东文宋体" w:eastAsia="东文宋体" w:cs="东文宋体"/>
                <w:kern w:val="2"/>
                <w:sz w:val="21"/>
                <w:szCs w:val="21"/>
              </w:rPr>
              <w:t>其他</w:t>
            </w:r>
            <w:r>
              <w:rPr>
                <w:rFonts w:hint="eastAsia" w:ascii="东文宋体" w:hAnsi="东文宋体" w:cs="东文宋体"/>
                <w:kern w:val="2"/>
                <w:sz w:val="21"/>
                <w:szCs w:val="21"/>
              </w:rPr>
              <w:t>保洁</w:t>
            </w:r>
            <w:r>
              <w:rPr>
                <w:rFonts w:hint="eastAsia" w:ascii="Calibri" w:hAnsi="Calibri" w:eastAsia="宋体" w:cs="宋体"/>
                <w:kern w:val="2"/>
                <w:sz w:val="21"/>
                <w:szCs w:val="21"/>
              </w:rPr>
              <w:t>服务</w:t>
            </w:r>
            <w:r>
              <w:rPr>
                <w:rFonts w:hint="eastAsia" w:ascii="东文宋体" w:hAnsi="东文宋体" w:eastAsia="东文宋体" w:cs="东文宋体"/>
                <w:kern w:val="2"/>
                <w:sz w:val="21"/>
                <w:szCs w:val="21"/>
              </w:rPr>
              <w:t>③</w:t>
            </w:r>
            <w:r>
              <w:rPr>
                <w:rFonts w:hint="eastAsia" w:ascii="Calibri" w:hAnsi="Calibri" w:eastAsia="宋体" w:cs="宋体"/>
                <w:kern w:val="2"/>
                <w:sz w:val="21"/>
                <w:szCs w:val="21"/>
              </w:rPr>
              <w:t>垃圾处理④</w:t>
            </w:r>
            <w:r>
              <w:rPr>
                <w:rFonts w:hint="eastAsia" w:ascii="宋体" w:hAnsi="宋体" w:eastAsia="宋体" w:cs="宋体"/>
                <w:sz w:val="21"/>
                <w:szCs w:val="21"/>
              </w:rPr>
              <w:t>应急服务</w:t>
            </w:r>
            <w:r>
              <w:rPr>
                <w:rFonts w:hint="eastAsia" w:ascii="Calibri" w:hAnsi="Calibri" w:eastAsia="宋体" w:cs="宋体"/>
                <w:kern w:val="2"/>
                <w:sz w:val="21"/>
                <w:szCs w:val="21"/>
              </w:rPr>
              <w:t>。</w:t>
            </w:r>
          </w:p>
          <w:p>
            <w:pPr>
              <w:widowControl w:val="0"/>
              <w:tabs>
                <w:tab w:val="left" w:pos="547"/>
              </w:tabs>
              <w:spacing w:line="400" w:lineRule="exact"/>
              <w:ind w:firstLine="420" w:firstLineChars="200"/>
              <w:jc w:val="both"/>
              <w:rPr>
                <w:rFonts w:ascii="Calibri" w:hAnsi="Calibri" w:eastAsia="宋体" w:cs="宋体"/>
                <w:b/>
                <w:kern w:val="2"/>
                <w:sz w:val="21"/>
                <w:szCs w:val="21"/>
              </w:rPr>
            </w:pPr>
            <w:r>
              <w:rPr>
                <w:rFonts w:hint="eastAsia" w:ascii="Calibri" w:hAnsi="Calibri" w:eastAsia="宋体" w:cs="宋体"/>
                <w:b/>
                <w:kern w:val="2"/>
                <w:sz w:val="21"/>
                <w:szCs w:val="21"/>
              </w:rPr>
              <w:t>二、评审标准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1、完整性：方案须全面，对评审内容中的各项要求有详细描述；</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2、可实施性：切合本项目实际情况，实施步骤清晰、合理；</w:t>
            </w:r>
          </w:p>
          <w:p>
            <w:pPr>
              <w:spacing w:line="400" w:lineRule="exact"/>
              <w:ind w:right="-249" w:rightChars="-104" w:firstLine="420" w:firstLineChars="200"/>
              <w:rPr>
                <w:rFonts w:ascii="宋体" w:hAnsi="宋体" w:eastAsia="宋体" w:cs="宋体"/>
                <w:kern w:val="2"/>
                <w:sz w:val="21"/>
                <w:szCs w:val="21"/>
              </w:rPr>
            </w:pPr>
            <w:r>
              <w:rPr>
                <w:rFonts w:hint="eastAsia" w:ascii="宋体" w:hAnsi="宋体" w:eastAsia="宋体" w:cs="宋体"/>
                <w:kern w:val="2"/>
                <w:sz w:val="21"/>
                <w:szCs w:val="21"/>
              </w:rPr>
              <w:t>3、针对性：方案能够紧扣项目实际情况，内容科学合理。</w:t>
            </w:r>
          </w:p>
          <w:p>
            <w:pPr>
              <w:widowControl w:val="0"/>
              <w:tabs>
                <w:tab w:val="left" w:pos="547"/>
              </w:tabs>
              <w:spacing w:line="400" w:lineRule="exact"/>
              <w:ind w:firstLine="420" w:firstLineChars="200"/>
              <w:jc w:val="both"/>
              <w:rPr>
                <w:rFonts w:ascii="Calibri" w:hAnsi="Calibri" w:eastAsia="宋体" w:cs="宋体"/>
                <w:b/>
                <w:kern w:val="2"/>
                <w:sz w:val="21"/>
                <w:szCs w:val="21"/>
              </w:rPr>
            </w:pPr>
            <w:r>
              <w:rPr>
                <w:rFonts w:hint="eastAsia" w:ascii="Calibri" w:hAnsi="Calibri" w:eastAsia="宋体" w:cs="宋体"/>
                <w:b/>
                <w:kern w:val="2"/>
                <w:sz w:val="21"/>
                <w:szCs w:val="21"/>
              </w:rPr>
              <w:t>三、赋分标准（满分</w:t>
            </w:r>
            <w:r>
              <w:rPr>
                <w:rFonts w:ascii="Calibri" w:hAnsi="Calibri" w:eastAsia="宋体" w:cs="宋体"/>
                <w:b/>
                <w:kern w:val="2"/>
                <w:sz w:val="21"/>
                <w:szCs w:val="21"/>
              </w:rPr>
              <w:t>12</w:t>
            </w:r>
            <w:r>
              <w:rPr>
                <w:rFonts w:hint="eastAsia" w:ascii="Calibri" w:hAnsi="Calibri" w:eastAsia="宋体" w:cs="宋体"/>
                <w:b/>
                <w:kern w:val="2"/>
                <w:sz w:val="21"/>
                <w:szCs w:val="21"/>
              </w:rPr>
              <w:t>分）</w:t>
            </w:r>
          </w:p>
          <w:p>
            <w:pPr>
              <w:widowControl w:val="0"/>
              <w:tabs>
                <w:tab w:val="left" w:pos="547"/>
              </w:tabs>
              <w:spacing w:line="400" w:lineRule="exact"/>
              <w:ind w:firstLine="420" w:firstLineChars="200"/>
              <w:jc w:val="both"/>
              <w:rPr>
                <w:rFonts w:ascii="Calibri" w:hAnsi="Calibri" w:eastAsia="宋体" w:cs="宋体"/>
                <w:kern w:val="2"/>
                <w:sz w:val="21"/>
                <w:szCs w:val="21"/>
              </w:rPr>
            </w:pPr>
            <w:r>
              <w:rPr>
                <w:rFonts w:hint="eastAsia" w:ascii="Calibri" w:hAnsi="Calibri" w:eastAsia="宋体" w:cs="宋体"/>
                <w:kern w:val="2"/>
                <w:sz w:val="21"/>
                <w:szCs w:val="21"/>
              </w:rPr>
              <w:t>①室内、室外保洁服务：每完全满足一个评审标准得2分，本项满分6分；</w:t>
            </w:r>
          </w:p>
          <w:p>
            <w:pPr>
              <w:widowControl w:val="0"/>
              <w:tabs>
                <w:tab w:val="left" w:pos="547"/>
              </w:tabs>
              <w:spacing w:line="400" w:lineRule="exact"/>
              <w:ind w:firstLine="420" w:firstLineChars="200"/>
              <w:jc w:val="both"/>
              <w:rPr>
                <w:rFonts w:ascii="Calibri" w:hAnsi="Calibri" w:eastAsia="宋体" w:cs="宋体"/>
                <w:kern w:val="2"/>
                <w:sz w:val="21"/>
                <w:szCs w:val="21"/>
              </w:rPr>
            </w:pPr>
            <w:r>
              <w:rPr>
                <w:rFonts w:hint="eastAsia" w:ascii="Calibri" w:hAnsi="Calibri" w:eastAsia="宋体" w:cs="宋体"/>
                <w:kern w:val="2"/>
                <w:sz w:val="21"/>
                <w:szCs w:val="21"/>
              </w:rPr>
              <w:t>②</w:t>
            </w:r>
            <w:r>
              <w:rPr>
                <w:rFonts w:hint="eastAsia" w:ascii="东文宋体" w:hAnsi="东文宋体" w:eastAsia="东文宋体" w:cs="东文宋体"/>
                <w:kern w:val="2"/>
                <w:sz w:val="21"/>
                <w:szCs w:val="21"/>
              </w:rPr>
              <w:t>其他</w:t>
            </w:r>
            <w:r>
              <w:rPr>
                <w:rFonts w:hint="eastAsia" w:ascii="东文宋体" w:hAnsi="东文宋体" w:cs="东文宋体"/>
                <w:kern w:val="2"/>
                <w:sz w:val="21"/>
                <w:szCs w:val="21"/>
              </w:rPr>
              <w:t>保洁</w:t>
            </w:r>
            <w:r>
              <w:rPr>
                <w:rFonts w:hint="eastAsia" w:ascii="东文宋体" w:hAnsi="东文宋体" w:eastAsia="东文宋体" w:cs="东文宋体"/>
                <w:kern w:val="2"/>
                <w:sz w:val="21"/>
                <w:szCs w:val="21"/>
              </w:rPr>
              <w:t>服务</w:t>
            </w:r>
            <w:r>
              <w:rPr>
                <w:rFonts w:hint="eastAsia" w:ascii="Calibri" w:hAnsi="Calibri" w:eastAsia="宋体" w:cs="宋体"/>
                <w:kern w:val="2"/>
                <w:sz w:val="21"/>
                <w:szCs w:val="21"/>
              </w:rPr>
              <w:t>：每完全满足一个评审标准得0.5分，本项满分1.5分；</w:t>
            </w:r>
          </w:p>
          <w:p>
            <w:pPr>
              <w:widowControl w:val="0"/>
              <w:tabs>
                <w:tab w:val="left" w:pos="547"/>
              </w:tabs>
              <w:spacing w:line="400" w:lineRule="exact"/>
              <w:ind w:firstLine="420" w:firstLineChars="200"/>
              <w:jc w:val="both"/>
              <w:rPr>
                <w:rFonts w:ascii="Calibri" w:hAnsi="Calibri" w:eastAsia="宋体" w:cs="宋体"/>
                <w:kern w:val="2"/>
                <w:sz w:val="21"/>
                <w:szCs w:val="21"/>
              </w:rPr>
            </w:pPr>
            <w:r>
              <w:rPr>
                <w:rFonts w:hint="eastAsia" w:ascii="东文宋体" w:hAnsi="东文宋体" w:eastAsia="东文宋体" w:cs="东文宋体"/>
                <w:kern w:val="2"/>
                <w:sz w:val="21"/>
                <w:szCs w:val="21"/>
              </w:rPr>
              <w:t>③</w:t>
            </w:r>
            <w:r>
              <w:rPr>
                <w:rFonts w:hint="eastAsia" w:ascii="Calibri" w:hAnsi="Calibri" w:eastAsia="宋体" w:cs="宋体"/>
                <w:kern w:val="2"/>
                <w:sz w:val="21"/>
                <w:szCs w:val="21"/>
              </w:rPr>
              <w:t>垃圾处理</w:t>
            </w:r>
            <w:r>
              <w:rPr>
                <w:rFonts w:hint="eastAsia" w:ascii="东文宋体" w:hAnsi="东文宋体" w:eastAsia="东文宋体" w:cs="东文宋体"/>
                <w:kern w:val="2"/>
                <w:sz w:val="21"/>
                <w:szCs w:val="21"/>
              </w:rPr>
              <w:t>：</w:t>
            </w:r>
            <w:r>
              <w:rPr>
                <w:rFonts w:hint="eastAsia" w:ascii="Calibri" w:hAnsi="Calibri" w:eastAsia="宋体" w:cs="宋体"/>
                <w:kern w:val="2"/>
                <w:sz w:val="21"/>
                <w:szCs w:val="21"/>
              </w:rPr>
              <w:t>每完全满足一个评审标准得0.5分，本项满分1.5分。</w:t>
            </w:r>
          </w:p>
          <w:p>
            <w:pPr>
              <w:widowControl w:val="0"/>
              <w:tabs>
                <w:tab w:val="left" w:pos="547"/>
              </w:tabs>
              <w:spacing w:line="400" w:lineRule="exact"/>
              <w:ind w:firstLine="420" w:firstLineChars="200"/>
              <w:jc w:val="both"/>
              <w:rPr>
                <w:rFonts w:ascii="Calibri" w:hAnsi="Calibri" w:eastAsia="宋体" w:cs="宋体"/>
                <w:kern w:val="2"/>
                <w:sz w:val="21"/>
                <w:szCs w:val="21"/>
              </w:rPr>
            </w:pPr>
            <w:r>
              <w:rPr>
                <w:rFonts w:hint="eastAsia" w:ascii="Calibri" w:hAnsi="Calibri" w:eastAsia="宋体" w:cs="宋体"/>
                <w:kern w:val="2"/>
                <w:sz w:val="21"/>
                <w:szCs w:val="21"/>
              </w:rPr>
              <w:t>④</w:t>
            </w:r>
            <w:r>
              <w:rPr>
                <w:rFonts w:hint="eastAsia" w:ascii="宋体" w:hAnsi="宋体" w:eastAsia="宋体" w:cs="宋体"/>
                <w:sz w:val="21"/>
                <w:szCs w:val="21"/>
              </w:rPr>
              <w:t>应急服务：</w:t>
            </w:r>
            <w:r>
              <w:rPr>
                <w:rFonts w:hint="eastAsia" w:ascii="Calibri" w:hAnsi="Calibri" w:eastAsia="宋体" w:cs="宋体"/>
                <w:kern w:val="2"/>
                <w:sz w:val="21"/>
                <w:szCs w:val="21"/>
              </w:rPr>
              <w:t>每完全满足一个评审标准得</w:t>
            </w:r>
            <w:r>
              <w:rPr>
                <w:rFonts w:ascii="Calibri" w:hAnsi="Calibri" w:eastAsia="宋体" w:cs="宋体"/>
                <w:kern w:val="2"/>
                <w:sz w:val="21"/>
                <w:szCs w:val="21"/>
              </w:rPr>
              <w:t>1</w:t>
            </w:r>
            <w:r>
              <w:rPr>
                <w:rFonts w:hint="eastAsia" w:ascii="Calibri" w:hAnsi="Calibri" w:eastAsia="宋体" w:cs="宋体"/>
                <w:kern w:val="2"/>
                <w:sz w:val="21"/>
                <w:szCs w:val="21"/>
              </w:rPr>
              <w:t>分，本项满分</w:t>
            </w:r>
            <w:r>
              <w:rPr>
                <w:rFonts w:ascii="Calibri" w:hAnsi="Calibri" w:eastAsia="宋体" w:cs="宋体"/>
                <w:kern w:val="2"/>
                <w:sz w:val="21"/>
                <w:szCs w:val="21"/>
              </w:rPr>
              <w:t>3</w:t>
            </w:r>
            <w:r>
              <w:rPr>
                <w:rFonts w:hint="eastAsia" w:ascii="Calibri" w:hAnsi="Calibri" w:eastAsia="宋体" w:cs="宋体"/>
                <w:kern w:val="2"/>
                <w:sz w:val="21"/>
                <w:szCs w:val="21"/>
              </w:rPr>
              <w:t>分。</w:t>
            </w:r>
          </w:p>
        </w:tc>
        <w:tc>
          <w:tcPr>
            <w:tcW w:w="851" w:type="dxa"/>
            <w:vMerge w:val="restart"/>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continue"/>
            <w:shd w:val="clear" w:color="auto" w:fill="auto"/>
            <w:vAlign w:val="center"/>
          </w:tcPr>
          <w:p>
            <w:pPr>
              <w:widowControl w:val="0"/>
              <w:spacing w:line="400" w:lineRule="exact"/>
              <w:jc w:val="center"/>
              <w:rPr>
                <w:rFonts w:ascii="Calibri" w:hAnsi="宋体" w:eastAsia="宋体" w:cs="宋体"/>
                <w:b/>
                <w:kern w:val="2"/>
                <w:sz w:val="21"/>
                <w:szCs w:val="21"/>
              </w:rPr>
            </w:pPr>
          </w:p>
        </w:tc>
        <w:tc>
          <w:tcPr>
            <w:tcW w:w="640"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1</w:t>
            </w:r>
            <w:r>
              <w:rPr>
                <w:rFonts w:ascii="Calibri" w:hAnsi="宋体" w:eastAsia="宋体" w:cs="宋体"/>
                <w:bCs/>
                <w:kern w:val="2"/>
                <w:sz w:val="21"/>
                <w:szCs w:val="21"/>
              </w:rPr>
              <w:t>6</w:t>
            </w:r>
          </w:p>
        </w:tc>
        <w:tc>
          <w:tcPr>
            <w:tcW w:w="6518" w:type="dxa"/>
            <w:shd w:val="clear" w:color="auto" w:fill="auto"/>
            <w:vAlign w:val="center"/>
          </w:tcPr>
          <w:p>
            <w:pPr>
              <w:spacing w:line="400" w:lineRule="exact"/>
              <w:ind w:firstLine="420" w:firstLineChars="200"/>
              <w:rPr>
                <w:rFonts w:ascii="宋体" w:hAnsi="宋体" w:eastAsia="宋体"/>
                <w:b/>
                <w:sz w:val="21"/>
                <w:szCs w:val="21"/>
              </w:rPr>
            </w:pPr>
            <w:r>
              <w:rPr>
                <w:rFonts w:hint="eastAsia" w:ascii="宋体" w:hAnsi="宋体" w:eastAsia="宋体"/>
                <w:b/>
                <w:sz w:val="21"/>
                <w:szCs w:val="21"/>
              </w:rPr>
              <w:t>人员配备方案：</w:t>
            </w:r>
          </w:p>
          <w:p>
            <w:pPr>
              <w:spacing w:line="400" w:lineRule="exact"/>
              <w:ind w:firstLine="420" w:firstLineChars="200"/>
              <w:jc w:val="both"/>
              <w:rPr>
                <w:rFonts w:ascii="宋体" w:hAnsi="宋体" w:eastAsia="宋体"/>
                <w:sz w:val="21"/>
                <w:szCs w:val="21"/>
              </w:rPr>
            </w:pPr>
            <w:r>
              <w:rPr>
                <w:rFonts w:hint="eastAsia" w:ascii="宋体" w:hAnsi="宋体" w:eastAsia="宋体"/>
                <w:sz w:val="21"/>
                <w:szCs w:val="21"/>
              </w:rPr>
              <w:t>一、项目经理（满分</w:t>
            </w:r>
            <w:r>
              <w:rPr>
                <w:rFonts w:ascii="宋体" w:hAnsi="宋体" w:eastAsia="宋体"/>
                <w:sz w:val="21"/>
                <w:szCs w:val="21"/>
              </w:rPr>
              <w:t>4</w:t>
            </w:r>
            <w:r>
              <w:rPr>
                <w:rFonts w:hint="eastAsia" w:ascii="宋体" w:hAnsi="宋体" w:eastAsia="宋体"/>
                <w:sz w:val="21"/>
                <w:szCs w:val="21"/>
              </w:rPr>
              <w:t>分）</w:t>
            </w:r>
          </w:p>
          <w:p>
            <w:pPr>
              <w:spacing w:line="400" w:lineRule="exact"/>
              <w:ind w:firstLine="420" w:firstLineChars="200"/>
              <w:jc w:val="both"/>
              <w:rPr>
                <w:rFonts w:ascii="宋体" w:hAnsi="宋体" w:eastAsia="宋体"/>
                <w:sz w:val="21"/>
                <w:szCs w:val="21"/>
              </w:rPr>
            </w:pPr>
            <w:r>
              <w:rPr>
                <w:rFonts w:hint="eastAsia" w:ascii="宋体" w:hAnsi="宋体" w:eastAsia="宋体"/>
                <w:sz w:val="21"/>
                <w:szCs w:val="21"/>
              </w:rPr>
              <w:t>拟派项目经理</w:t>
            </w:r>
            <w:r>
              <w:rPr>
                <w:rFonts w:ascii="宋体" w:hAnsi="宋体" w:eastAsia="宋体"/>
                <w:sz w:val="21"/>
                <w:szCs w:val="21"/>
              </w:rPr>
              <w:t>1</w:t>
            </w:r>
            <w:r>
              <w:rPr>
                <w:rFonts w:hint="eastAsia" w:ascii="宋体" w:hAnsi="宋体" w:eastAsia="宋体"/>
                <w:sz w:val="21"/>
                <w:szCs w:val="21"/>
              </w:rPr>
              <w:t>人，①年龄不超过55周岁，得1分②本科及以上学历，得1分③物业管理相关工作经历5年及以上，得1分④持有物业管理师（不限制颁发机构）或物业项目经理资格证（不限制颁发机构），得1分。</w:t>
            </w:r>
          </w:p>
          <w:p>
            <w:pPr>
              <w:spacing w:line="400" w:lineRule="exact"/>
              <w:ind w:firstLine="420" w:firstLineChars="200"/>
              <w:rPr>
                <w:rFonts w:ascii="宋体" w:hAnsi="宋体" w:eastAsia="宋体" w:cs="华文仿宋"/>
                <w:sz w:val="21"/>
                <w:szCs w:val="21"/>
              </w:rPr>
            </w:pPr>
            <w:r>
              <w:rPr>
                <w:rFonts w:hint="eastAsia" w:ascii="宋体" w:hAnsi="宋体" w:eastAsia="宋体"/>
                <w:sz w:val="21"/>
                <w:szCs w:val="21"/>
              </w:rPr>
              <w:t>赋分依据：须提供身份证扫描件、学信网</w:t>
            </w:r>
            <w:r>
              <w:rPr>
                <w:rFonts w:hint="eastAsia" w:ascii="宋体" w:hAnsi="宋体" w:eastAsia="宋体" w:cs="华文仿宋"/>
                <w:sz w:val="21"/>
                <w:szCs w:val="21"/>
              </w:rPr>
              <w:t>经查证的《教育部学历证书电子注册备案表》或学历学位</w:t>
            </w:r>
            <w:r>
              <w:rPr>
                <w:rFonts w:ascii="宋体" w:hAnsi="宋体" w:eastAsia="宋体" w:cs="华文仿宋"/>
                <w:sz w:val="21"/>
                <w:szCs w:val="21"/>
              </w:rPr>
              <w:t>证书扫描件</w:t>
            </w:r>
            <w:r>
              <w:rPr>
                <w:rFonts w:hint="eastAsia" w:ascii="宋体" w:hAnsi="宋体" w:eastAsia="宋体" w:cs="华文仿宋"/>
                <w:sz w:val="21"/>
                <w:szCs w:val="21"/>
              </w:rPr>
              <w:t>、</w:t>
            </w:r>
            <w:r>
              <w:rPr>
                <w:rFonts w:hint="eastAsia" w:ascii="宋体" w:hAnsi="宋体" w:eastAsia="宋体"/>
                <w:sz w:val="21"/>
                <w:szCs w:val="21"/>
              </w:rPr>
              <w:t>物业管理工作证明文件或被服务单位加盖公章的证明材料、</w:t>
            </w:r>
            <w:r>
              <w:rPr>
                <w:rFonts w:hint="eastAsia" w:ascii="宋体" w:hAnsi="宋体" w:eastAsia="宋体" w:cs="宋体"/>
                <w:bCs/>
                <w:color w:val="000000"/>
                <w:sz w:val="21"/>
                <w:szCs w:val="21"/>
              </w:rPr>
              <w:t>物业管理师或项目经理资格证</w:t>
            </w:r>
            <w:r>
              <w:rPr>
                <w:rFonts w:hint="eastAsia" w:ascii="宋体" w:hAnsi="宋体" w:eastAsia="宋体"/>
                <w:sz w:val="21"/>
                <w:szCs w:val="21"/>
              </w:rPr>
              <w:t>扫描件，</w:t>
            </w:r>
            <w:r>
              <w:rPr>
                <w:rFonts w:hint="eastAsia" w:ascii="宋体" w:hAnsi="宋体" w:eastAsia="宋体" w:cs="华文仿宋"/>
                <w:sz w:val="21"/>
                <w:szCs w:val="21"/>
              </w:rPr>
              <w:t>不提供或不满足要求不得分。</w:t>
            </w:r>
          </w:p>
          <w:p>
            <w:pPr>
              <w:spacing w:line="400" w:lineRule="exact"/>
              <w:ind w:firstLine="420" w:firstLineChars="200"/>
              <w:rPr>
                <w:rFonts w:ascii="宋体" w:hAnsi="宋体" w:eastAsia="宋体" w:cs="宋体"/>
                <w:color w:val="000000"/>
                <w:kern w:val="2"/>
                <w:sz w:val="21"/>
                <w:szCs w:val="21"/>
              </w:rPr>
            </w:pPr>
            <w:r>
              <w:rPr>
                <w:rFonts w:hint="eastAsia" w:ascii="宋体" w:hAnsi="宋体" w:eastAsia="宋体" w:cs="华文仿宋"/>
                <w:sz w:val="21"/>
                <w:szCs w:val="21"/>
              </w:rPr>
              <w:t>二、项目</w:t>
            </w:r>
            <w:r>
              <w:rPr>
                <w:rFonts w:hint="eastAsia" w:ascii="宋体" w:hAnsi="宋体" w:eastAsia="宋体" w:cs="宋体"/>
                <w:color w:val="000000"/>
                <w:kern w:val="2"/>
                <w:sz w:val="21"/>
                <w:szCs w:val="21"/>
              </w:rPr>
              <w:t>主管（</w:t>
            </w:r>
            <w:r>
              <w:rPr>
                <w:rFonts w:hint="eastAsia" w:ascii="宋体" w:hAnsi="宋体" w:eastAsia="宋体"/>
                <w:sz w:val="21"/>
                <w:szCs w:val="21"/>
              </w:rPr>
              <w:t>满分3分</w:t>
            </w:r>
            <w:r>
              <w:rPr>
                <w:rFonts w:hint="eastAsia" w:ascii="宋体" w:hAnsi="宋体" w:eastAsia="宋体" w:cs="宋体"/>
                <w:color w:val="000000"/>
                <w:kern w:val="2"/>
                <w:sz w:val="21"/>
                <w:szCs w:val="21"/>
              </w:rPr>
              <w:t>）</w:t>
            </w:r>
          </w:p>
          <w:p>
            <w:pPr>
              <w:spacing w:line="400" w:lineRule="exact"/>
              <w:ind w:firstLine="420" w:firstLineChars="200"/>
              <w:jc w:val="both"/>
              <w:rPr>
                <w:rFonts w:ascii="宋体" w:hAnsi="宋体" w:eastAsia="宋体" w:cs="宋体"/>
                <w:color w:val="000000"/>
                <w:kern w:val="2"/>
                <w:sz w:val="21"/>
                <w:szCs w:val="21"/>
              </w:rPr>
            </w:pPr>
            <w:r>
              <w:rPr>
                <w:rFonts w:hint="eastAsia" w:ascii="宋体" w:hAnsi="宋体" w:eastAsia="宋体" w:cs="宋体"/>
                <w:color w:val="000000"/>
                <w:kern w:val="2"/>
                <w:sz w:val="21"/>
                <w:szCs w:val="21"/>
              </w:rPr>
              <w:t>拟派项目主管4人，①4人年龄均不超过55周岁，得1分②4人均具备专科及以上学历，得1分③4人均</w:t>
            </w:r>
            <w:r>
              <w:rPr>
                <w:rFonts w:ascii="宋体" w:hAnsi="宋体" w:eastAsia="宋体" w:cs="宋体"/>
                <w:color w:val="000000"/>
                <w:kern w:val="2"/>
                <w:sz w:val="21"/>
                <w:szCs w:val="21"/>
              </w:rPr>
              <w:t>具备</w:t>
            </w:r>
            <w:r>
              <w:rPr>
                <w:rFonts w:hint="eastAsia" w:ascii="宋体" w:hAnsi="宋体" w:eastAsia="宋体" w:cs="宋体"/>
                <w:color w:val="000000"/>
                <w:kern w:val="2"/>
                <w:sz w:val="21"/>
                <w:szCs w:val="21"/>
              </w:rPr>
              <w:t>物业管理相关工作经历3年及以上，得1分。</w:t>
            </w:r>
          </w:p>
          <w:p>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赋分依据：须提供身份证扫描件、学信网经查证的《教育部学历证书电子注册备案表》或学历学位证书扫描件、物业管理工作证明文件或被服务单位加盖公章的证明材料扫描件，不提供或不满足要求不得分。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三、保洁员（满分</w:t>
            </w:r>
            <w:r>
              <w:rPr>
                <w:rFonts w:ascii="宋体" w:hAnsi="宋体" w:eastAsia="宋体" w:cs="宋体"/>
                <w:kern w:val="2"/>
                <w:sz w:val="21"/>
                <w:szCs w:val="21"/>
              </w:rPr>
              <w:t>2</w:t>
            </w:r>
            <w:r>
              <w:rPr>
                <w:rFonts w:hint="eastAsia" w:ascii="宋体" w:hAnsi="宋体" w:eastAsia="宋体" w:cs="宋体"/>
                <w:kern w:val="2"/>
                <w:sz w:val="21"/>
                <w:szCs w:val="21"/>
              </w:rPr>
              <w:t>分）</w:t>
            </w:r>
          </w:p>
          <w:p>
            <w:pPr>
              <w:spacing w:line="400" w:lineRule="exact"/>
              <w:ind w:firstLine="420" w:firstLineChars="200"/>
              <w:rPr>
                <w:rFonts w:ascii="宋体" w:hAnsi="宋体" w:eastAsia="宋体" w:cs="宋体"/>
                <w:color w:val="000000"/>
                <w:kern w:val="2"/>
                <w:sz w:val="21"/>
                <w:szCs w:val="21"/>
              </w:rPr>
            </w:pPr>
            <w:r>
              <w:rPr>
                <w:rFonts w:hint="eastAsia" w:ascii="宋体" w:hAnsi="宋体" w:eastAsia="宋体" w:cs="宋体"/>
                <w:color w:val="000000"/>
                <w:kern w:val="2"/>
                <w:sz w:val="21"/>
                <w:szCs w:val="21"/>
              </w:rPr>
              <w:t>承诺拟派保洁员83人年龄均不超过60周岁同时入职前均具备健康证，得2分。</w:t>
            </w:r>
          </w:p>
          <w:p>
            <w:pPr>
              <w:spacing w:line="400" w:lineRule="exact"/>
              <w:ind w:firstLine="420" w:firstLineChars="200"/>
              <w:rPr>
                <w:rFonts w:ascii="宋体" w:hAnsi="宋体" w:eastAsia="宋体" w:cs="宋体"/>
                <w:color w:val="000000"/>
                <w:kern w:val="2"/>
                <w:sz w:val="21"/>
                <w:szCs w:val="21"/>
              </w:rPr>
            </w:pPr>
            <w:r>
              <w:rPr>
                <w:rFonts w:hint="eastAsia" w:ascii="宋体" w:hAnsi="宋体" w:eastAsia="宋体" w:cs="宋体"/>
                <w:color w:val="000000"/>
                <w:kern w:val="2"/>
                <w:sz w:val="21"/>
                <w:szCs w:val="21"/>
              </w:rPr>
              <w:t>赋分依据：须提供承诺函（格式不限，内容自拟），不提供或不满足要求不得分</w:t>
            </w:r>
          </w:p>
          <w:p>
            <w:pPr>
              <w:spacing w:line="400" w:lineRule="exact"/>
              <w:ind w:firstLine="420" w:firstLineChars="200"/>
              <w:rPr>
                <w:rFonts w:ascii="宋体" w:hAnsi="宋体" w:eastAsia="宋体" w:cs="宋体"/>
                <w:color w:val="000000"/>
                <w:kern w:val="2"/>
                <w:sz w:val="21"/>
                <w:szCs w:val="21"/>
              </w:rPr>
            </w:pPr>
            <w:r>
              <w:rPr>
                <w:rFonts w:hint="eastAsia" w:ascii="宋体" w:hAnsi="宋体" w:eastAsia="宋体" w:cs="宋体"/>
                <w:color w:val="000000"/>
                <w:kern w:val="2"/>
                <w:sz w:val="21"/>
                <w:szCs w:val="21"/>
              </w:rPr>
              <w:t>四、管道工（满分4分）</w:t>
            </w:r>
          </w:p>
          <w:p>
            <w:pPr>
              <w:spacing w:line="400" w:lineRule="exact"/>
              <w:ind w:firstLine="420" w:firstLineChars="200"/>
              <w:rPr>
                <w:rFonts w:ascii="宋体" w:hAnsi="宋体" w:eastAsia="宋体" w:cs="宋体"/>
                <w:color w:val="000000"/>
                <w:kern w:val="2"/>
                <w:sz w:val="21"/>
                <w:szCs w:val="21"/>
              </w:rPr>
            </w:pPr>
            <w:r>
              <w:rPr>
                <w:rFonts w:hint="eastAsia" w:ascii="宋体" w:hAnsi="宋体" w:eastAsia="宋体" w:cs="宋体"/>
                <w:color w:val="000000"/>
                <w:kern w:val="2"/>
                <w:sz w:val="21"/>
                <w:szCs w:val="21"/>
              </w:rPr>
              <w:t>拟派管道工</w:t>
            </w:r>
            <w:r>
              <w:rPr>
                <w:rFonts w:ascii="宋体" w:hAnsi="宋体" w:eastAsia="宋体" w:cs="宋体"/>
                <w:color w:val="000000"/>
                <w:kern w:val="2"/>
                <w:sz w:val="21"/>
                <w:szCs w:val="21"/>
              </w:rPr>
              <w:t>4</w:t>
            </w:r>
            <w:r>
              <w:rPr>
                <w:rFonts w:hint="eastAsia" w:ascii="宋体" w:hAnsi="宋体" w:eastAsia="宋体" w:cs="宋体"/>
                <w:color w:val="000000"/>
                <w:kern w:val="2"/>
                <w:sz w:val="21"/>
                <w:szCs w:val="21"/>
              </w:rPr>
              <w:t>人，①</w:t>
            </w:r>
            <w:r>
              <w:rPr>
                <w:rFonts w:ascii="宋体" w:hAnsi="宋体" w:eastAsia="宋体" w:cs="宋体"/>
                <w:color w:val="000000"/>
                <w:kern w:val="2"/>
                <w:sz w:val="21"/>
                <w:szCs w:val="21"/>
              </w:rPr>
              <w:t>4</w:t>
            </w:r>
            <w:r>
              <w:rPr>
                <w:rFonts w:hint="eastAsia" w:ascii="宋体" w:hAnsi="宋体" w:eastAsia="宋体" w:cs="宋体"/>
                <w:color w:val="000000"/>
                <w:kern w:val="2"/>
                <w:sz w:val="21"/>
                <w:szCs w:val="21"/>
              </w:rPr>
              <w:t>人年龄均不超过55周岁，得1分②</w:t>
            </w:r>
            <w:r>
              <w:rPr>
                <w:rFonts w:ascii="宋体" w:hAnsi="宋体" w:eastAsia="宋体" w:cs="宋体"/>
                <w:color w:val="000000"/>
                <w:kern w:val="2"/>
                <w:sz w:val="21"/>
                <w:szCs w:val="21"/>
              </w:rPr>
              <w:t>4</w:t>
            </w:r>
            <w:r>
              <w:rPr>
                <w:rFonts w:hint="eastAsia" w:ascii="宋体" w:hAnsi="宋体" w:eastAsia="宋体" w:cs="宋体"/>
                <w:color w:val="000000"/>
                <w:kern w:val="2"/>
                <w:sz w:val="21"/>
                <w:szCs w:val="21"/>
              </w:rPr>
              <w:t>人均有相关工作经历，得1分③</w:t>
            </w:r>
            <w:r>
              <w:rPr>
                <w:rFonts w:ascii="宋体" w:hAnsi="宋体" w:eastAsia="宋体" w:cs="宋体"/>
                <w:color w:val="000000"/>
                <w:kern w:val="2"/>
                <w:sz w:val="21"/>
                <w:szCs w:val="21"/>
              </w:rPr>
              <w:t>4</w:t>
            </w:r>
            <w:r>
              <w:rPr>
                <w:rFonts w:hint="eastAsia" w:ascii="宋体" w:hAnsi="宋体" w:eastAsia="宋体" w:cs="宋体"/>
                <w:color w:val="000000"/>
                <w:kern w:val="2"/>
                <w:sz w:val="21"/>
                <w:szCs w:val="21"/>
              </w:rPr>
              <w:t>人均持有管道工证或水工证（不限制颁发机构），得1分④承诺入职前</w:t>
            </w:r>
            <w:r>
              <w:rPr>
                <w:rFonts w:ascii="宋体" w:hAnsi="宋体" w:eastAsia="宋体" w:cs="宋体"/>
                <w:color w:val="000000"/>
                <w:kern w:val="2"/>
                <w:sz w:val="21"/>
                <w:szCs w:val="21"/>
              </w:rPr>
              <w:t>4</w:t>
            </w:r>
            <w:r>
              <w:rPr>
                <w:rFonts w:hint="eastAsia" w:ascii="宋体" w:hAnsi="宋体" w:eastAsia="宋体" w:cs="宋体"/>
                <w:color w:val="000000"/>
                <w:kern w:val="2"/>
                <w:sz w:val="21"/>
                <w:szCs w:val="21"/>
              </w:rPr>
              <w:t>人均提供健康证，得1分。</w:t>
            </w:r>
          </w:p>
          <w:p>
            <w:pPr>
              <w:spacing w:line="400" w:lineRule="exact"/>
              <w:ind w:firstLine="420" w:firstLineChars="200"/>
              <w:rPr>
                <w:rFonts w:ascii="宋体" w:hAnsi="宋体" w:eastAsia="宋体" w:cs="宋体"/>
                <w:sz w:val="21"/>
                <w:szCs w:val="21"/>
              </w:rPr>
            </w:pPr>
            <w:r>
              <w:rPr>
                <w:rFonts w:hint="eastAsia" w:ascii="宋体" w:hAnsi="宋体" w:eastAsia="宋体" w:cs="宋体"/>
                <w:color w:val="000000"/>
                <w:kern w:val="2"/>
                <w:sz w:val="21"/>
                <w:szCs w:val="21"/>
              </w:rPr>
              <w:t>赋分依据：须提供身份证扫描件、</w:t>
            </w:r>
            <w:r>
              <w:rPr>
                <w:rFonts w:hint="eastAsia" w:ascii="宋体" w:hAnsi="宋体" w:eastAsia="宋体" w:cs="宋体"/>
                <w:sz w:val="21"/>
                <w:szCs w:val="21"/>
              </w:rPr>
              <w:t>管道工工作证明文件或被服务单位加盖公章的证明材料扫描件</w:t>
            </w:r>
            <w:r>
              <w:rPr>
                <w:rFonts w:hint="eastAsia" w:ascii="宋体" w:hAnsi="宋体" w:eastAsia="宋体" w:cs="宋体"/>
                <w:color w:val="000000"/>
                <w:kern w:val="2"/>
                <w:sz w:val="21"/>
                <w:szCs w:val="21"/>
              </w:rPr>
              <w:t>、管道工证或水工证扫描件</w:t>
            </w:r>
            <w:r>
              <w:rPr>
                <w:rFonts w:ascii="宋体" w:hAnsi="宋体" w:eastAsia="宋体" w:cs="宋体"/>
                <w:color w:val="000000"/>
                <w:kern w:val="2"/>
                <w:sz w:val="21"/>
                <w:szCs w:val="21"/>
              </w:rPr>
              <w:t>、</w:t>
            </w:r>
            <w:r>
              <w:rPr>
                <w:rFonts w:hint="eastAsia" w:ascii="宋体" w:hAnsi="宋体" w:eastAsia="宋体" w:cs="宋体"/>
                <w:color w:val="000000"/>
                <w:kern w:val="2"/>
                <w:sz w:val="21"/>
                <w:szCs w:val="21"/>
              </w:rPr>
              <w:t>承诺函，不提供或不满足要求不得分。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五、中型扫地车驾驶员（满分3分）</w:t>
            </w:r>
          </w:p>
          <w:p>
            <w:pPr>
              <w:spacing w:line="400" w:lineRule="exact"/>
              <w:ind w:firstLine="420" w:firstLineChars="200"/>
              <w:rPr>
                <w:rFonts w:ascii="宋体" w:hAnsi="宋体" w:eastAsia="宋体" w:cs="宋体"/>
                <w:kern w:val="2"/>
                <w:sz w:val="21"/>
                <w:szCs w:val="21"/>
              </w:rPr>
            </w:pPr>
            <w:r>
              <w:rPr>
                <w:rFonts w:hint="eastAsia" w:ascii="宋体" w:hAnsi="宋体" w:eastAsia="宋体" w:cs="宋体"/>
                <w:kern w:val="2"/>
                <w:sz w:val="21"/>
                <w:szCs w:val="21"/>
              </w:rPr>
              <w:t>①拟派中型扫地车驾驶员1人，年龄不超过60周岁，得1分②持有《机动车驾驶证》（B2证及以上），得1分③承诺入职前提供健康证，得1分。</w:t>
            </w:r>
          </w:p>
          <w:p>
            <w:pPr>
              <w:spacing w:line="400" w:lineRule="exact"/>
              <w:ind w:firstLine="420" w:firstLineChars="200"/>
              <w:rPr>
                <w:rFonts w:ascii="宋体" w:hAnsi="宋体" w:eastAsia="宋体"/>
                <w:sz w:val="21"/>
                <w:szCs w:val="21"/>
              </w:rPr>
            </w:pPr>
            <w:r>
              <w:rPr>
                <w:rFonts w:hint="eastAsia" w:ascii="宋体" w:hAnsi="宋体" w:eastAsia="宋体" w:cs="宋体"/>
                <w:sz w:val="21"/>
                <w:szCs w:val="21"/>
              </w:rPr>
              <w:t>赋分依据：须提供身份证扫描件、</w:t>
            </w:r>
            <w:r>
              <w:rPr>
                <w:rFonts w:hint="eastAsia" w:ascii="宋体" w:hAnsi="宋体" w:eastAsia="宋体" w:cs="宋体"/>
                <w:kern w:val="2"/>
                <w:sz w:val="21"/>
                <w:szCs w:val="21"/>
              </w:rPr>
              <w:t>《机动车驾驶证》（B2证及以上</w:t>
            </w:r>
            <w:r>
              <w:rPr>
                <w:rFonts w:hint="eastAsia" w:ascii="宋体" w:hAnsi="宋体" w:eastAsia="宋体" w:cs="宋体"/>
                <w:sz w:val="21"/>
                <w:szCs w:val="21"/>
              </w:rPr>
              <w:t>扫描件、承诺函扫描件，不提供或不满足不得分。</w:t>
            </w:r>
          </w:p>
        </w:tc>
        <w:tc>
          <w:tcPr>
            <w:tcW w:w="851" w:type="dxa"/>
            <w:vMerge w:val="continue"/>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640"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ascii="Calibri" w:hAnsi="宋体" w:eastAsia="宋体" w:cs="宋体"/>
                <w:bCs/>
                <w:kern w:val="2"/>
                <w:sz w:val="21"/>
                <w:szCs w:val="21"/>
              </w:rPr>
              <w:t>11</w:t>
            </w:r>
          </w:p>
        </w:tc>
        <w:tc>
          <w:tcPr>
            <w:tcW w:w="6518" w:type="dxa"/>
            <w:shd w:val="clear" w:color="auto" w:fill="auto"/>
            <w:vAlign w:val="center"/>
          </w:tcPr>
          <w:p>
            <w:pPr>
              <w:spacing w:line="400" w:lineRule="exact"/>
              <w:ind w:firstLine="420" w:firstLineChars="200"/>
              <w:rPr>
                <w:rFonts w:ascii="宋体" w:hAnsi="宋体" w:eastAsia="宋体"/>
                <w:b/>
                <w:bCs/>
                <w:sz w:val="21"/>
                <w:szCs w:val="21"/>
              </w:rPr>
            </w:pPr>
            <w:r>
              <w:rPr>
                <w:rFonts w:hint="eastAsia" w:ascii="宋体" w:hAnsi="宋体" w:eastAsia="宋体"/>
                <w:b/>
                <w:bCs/>
                <w:sz w:val="21"/>
                <w:szCs w:val="21"/>
              </w:rPr>
              <w:t>物资装备及耗材：</w:t>
            </w:r>
          </w:p>
          <w:p>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一、保洁设备（满分5分）</w:t>
            </w:r>
          </w:p>
          <w:p>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供应商应当具备中型扫地车1辆，小型扫地机≥4台，球类场地洗地机5台，电动尘推车1台，干湿两用吸尘器1台，室内商业清洁机器人1台，室外商业巡扫机机器人1台，高压洒水冲洗车1辆（各设备自有或租赁均可），同时承诺入场前以上车辆全部配备到位得5分，满分5分。</w:t>
            </w:r>
          </w:p>
          <w:p>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赋分依据：自购车辆需提供发票及承诺函扫描件，租赁车辆需提供租赁合同及承诺函扫描件，不提供或不满足要求不得分。</w:t>
            </w:r>
          </w:p>
          <w:p>
            <w:pPr>
              <w:widowControl w:val="0"/>
              <w:tabs>
                <w:tab w:val="left" w:pos="547"/>
              </w:tabs>
              <w:spacing w:line="400" w:lineRule="exact"/>
              <w:ind w:firstLine="420" w:firstLineChars="200"/>
              <w:jc w:val="both"/>
              <w:rPr>
                <w:rFonts w:ascii="宋体" w:hAnsi="宋体" w:eastAsia="宋体" w:cs="宋体"/>
                <w:sz w:val="21"/>
                <w:szCs w:val="21"/>
              </w:rPr>
            </w:pPr>
            <w:r>
              <w:rPr>
                <w:rFonts w:hint="eastAsia" w:ascii="宋体" w:hAnsi="宋体" w:eastAsia="宋体" w:cs="宋体"/>
                <w:sz w:val="21"/>
                <w:szCs w:val="21"/>
              </w:rPr>
              <w:t>二、保洁耗材：（满分</w:t>
            </w:r>
            <w:r>
              <w:rPr>
                <w:rFonts w:ascii="宋体" w:hAnsi="宋体" w:eastAsia="宋体" w:cs="宋体"/>
                <w:sz w:val="21"/>
                <w:szCs w:val="21"/>
              </w:rPr>
              <w:t>6</w:t>
            </w:r>
            <w:r>
              <w:rPr>
                <w:rFonts w:hint="eastAsia" w:ascii="宋体" w:hAnsi="宋体" w:eastAsia="宋体" w:cs="宋体"/>
                <w:sz w:val="21"/>
                <w:szCs w:val="21"/>
              </w:rPr>
              <w:t>分）</w:t>
            </w:r>
          </w:p>
          <w:p>
            <w:pPr>
              <w:widowControl w:val="0"/>
              <w:tabs>
                <w:tab w:val="left" w:pos="547"/>
              </w:tabs>
              <w:spacing w:line="400" w:lineRule="exact"/>
              <w:ind w:firstLine="420" w:firstLineChars="200"/>
              <w:jc w:val="both"/>
              <w:rPr>
                <w:rFonts w:ascii="宋体" w:hAnsi="宋体" w:eastAsia="宋体" w:cs="宋体"/>
                <w:sz w:val="21"/>
                <w:szCs w:val="21"/>
              </w:rPr>
            </w:pPr>
            <w:r>
              <w:rPr>
                <w:rFonts w:hint="eastAsia" w:ascii="宋体" w:hAnsi="宋体" w:eastAsia="宋体" w:cs="宋体"/>
                <w:sz w:val="21"/>
                <w:szCs w:val="21"/>
              </w:rPr>
              <w:t>承诺按保洁耗材明细表为采购人入场前配备齐全，得</w:t>
            </w:r>
            <w:r>
              <w:rPr>
                <w:rFonts w:ascii="宋体" w:hAnsi="宋体" w:eastAsia="宋体" w:cs="宋体"/>
                <w:sz w:val="21"/>
                <w:szCs w:val="21"/>
              </w:rPr>
              <w:t>6</w:t>
            </w:r>
            <w:r>
              <w:rPr>
                <w:rFonts w:hint="eastAsia" w:ascii="宋体" w:hAnsi="宋体" w:eastAsia="宋体" w:cs="宋体"/>
                <w:sz w:val="21"/>
                <w:szCs w:val="21"/>
              </w:rPr>
              <w:t>分，满分</w:t>
            </w:r>
            <w:r>
              <w:rPr>
                <w:rFonts w:ascii="宋体" w:hAnsi="宋体" w:eastAsia="宋体" w:cs="宋体"/>
                <w:sz w:val="21"/>
                <w:szCs w:val="21"/>
              </w:rPr>
              <w:t>6</w:t>
            </w:r>
            <w:r>
              <w:rPr>
                <w:rFonts w:hint="eastAsia" w:ascii="宋体" w:hAnsi="宋体" w:eastAsia="宋体" w:cs="宋体"/>
                <w:sz w:val="21"/>
                <w:szCs w:val="21"/>
              </w:rPr>
              <w:t>分。</w:t>
            </w:r>
          </w:p>
          <w:p>
            <w:pPr>
              <w:spacing w:line="400" w:lineRule="exact"/>
              <w:ind w:firstLine="420" w:firstLineChars="200"/>
              <w:rPr>
                <w:rFonts w:ascii="宋体" w:hAnsi="宋体" w:eastAsia="宋体" w:cs="宋体"/>
                <w:color w:val="000000"/>
                <w:kern w:val="2"/>
                <w:sz w:val="21"/>
                <w:szCs w:val="21"/>
              </w:rPr>
            </w:pPr>
            <w:r>
              <w:rPr>
                <w:rFonts w:hint="eastAsia" w:ascii="宋体" w:hAnsi="宋体" w:eastAsia="宋体" w:cs="宋体"/>
                <w:sz w:val="21"/>
                <w:szCs w:val="21"/>
              </w:rPr>
              <w:t>赋分依据：提供承诺函扫描件，不提供或不满足要求不得分。</w:t>
            </w:r>
          </w:p>
        </w:tc>
        <w:tc>
          <w:tcPr>
            <w:tcW w:w="851" w:type="dxa"/>
            <w:vMerge w:val="continue"/>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640"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4</w:t>
            </w:r>
          </w:p>
        </w:tc>
        <w:tc>
          <w:tcPr>
            <w:tcW w:w="6518" w:type="dxa"/>
            <w:shd w:val="clear" w:color="auto" w:fill="auto"/>
            <w:vAlign w:val="center"/>
          </w:tcPr>
          <w:p>
            <w:pPr>
              <w:widowControl w:val="0"/>
              <w:tabs>
                <w:tab w:val="left" w:pos="547"/>
              </w:tabs>
              <w:spacing w:line="400" w:lineRule="exact"/>
              <w:ind w:firstLine="420" w:firstLineChars="200"/>
              <w:jc w:val="both"/>
              <w:rPr>
                <w:rFonts w:ascii="宋体" w:hAnsi="宋体" w:eastAsia="宋体" w:cs="宋体"/>
                <w:b/>
                <w:bCs/>
                <w:color w:val="000000"/>
                <w:kern w:val="2"/>
                <w:sz w:val="21"/>
                <w:szCs w:val="21"/>
              </w:rPr>
            </w:pPr>
            <w:r>
              <w:rPr>
                <w:rFonts w:hint="eastAsia" w:ascii="宋体" w:hAnsi="宋体" w:eastAsia="宋体" w:cs="宋体"/>
                <w:b/>
                <w:bCs/>
                <w:color w:val="000000"/>
                <w:kern w:val="2"/>
                <w:sz w:val="21"/>
                <w:szCs w:val="21"/>
              </w:rPr>
              <w:t>业绩：</w:t>
            </w:r>
          </w:p>
          <w:p>
            <w:pPr>
              <w:spacing w:line="400" w:lineRule="exact"/>
              <w:ind w:firstLine="420" w:firstLineChars="200"/>
              <w:rPr>
                <w:rFonts w:ascii="宋体" w:hAnsi="宋体" w:eastAsia="宋体"/>
                <w:sz w:val="21"/>
                <w:szCs w:val="21"/>
              </w:rPr>
            </w:pPr>
            <w:r>
              <w:rPr>
                <w:rFonts w:hint="eastAsia" w:ascii="宋体" w:hAnsi="宋体" w:eastAsia="宋体"/>
                <w:sz w:val="21"/>
                <w:szCs w:val="21"/>
              </w:rPr>
              <w:t>投标供应商须提供2023年1月1日以来类似项目业绩合同</w:t>
            </w:r>
            <w:r>
              <w:rPr>
                <w:rFonts w:ascii="宋体" w:hAnsi="宋体" w:eastAsia="宋体"/>
                <w:sz w:val="21"/>
                <w:szCs w:val="21"/>
              </w:rPr>
              <w:t>和</w:t>
            </w:r>
            <w:r>
              <w:rPr>
                <w:rFonts w:hint="eastAsia" w:ascii="宋体" w:hAnsi="宋体" w:eastAsia="宋体"/>
                <w:sz w:val="21"/>
                <w:szCs w:val="21"/>
              </w:rPr>
              <w:t>合同任一期发票（二者</w:t>
            </w:r>
            <w:r>
              <w:rPr>
                <w:rFonts w:ascii="宋体" w:hAnsi="宋体" w:eastAsia="宋体"/>
                <w:sz w:val="21"/>
                <w:szCs w:val="21"/>
              </w:rPr>
              <w:t>同时</w:t>
            </w:r>
            <w:r>
              <w:rPr>
                <w:rFonts w:hint="eastAsia" w:ascii="宋体" w:hAnsi="宋体" w:eastAsia="宋体"/>
                <w:sz w:val="21"/>
                <w:szCs w:val="21"/>
              </w:rPr>
              <w:t>提供方才</w:t>
            </w:r>
            <w:r>
              <w:rPr>
                <w:rFonts w:ascii="宋体" w:hAnsi="宋体" w:eastAsia="宋体"/>
                <w:sz w:val="21"/>
                <w:szCs w:val="21"/>
              </w:rPr>
              <w:t>有效）</w:t>
            </w:r>
            <w:r>
              <w:rPr>
                <w:rFonts w:hint="eastAsia" w:ascii="宋体" w:hAnsi="宋体" w:eastAsia="宋体"/>
                <w:sz w:val="21"/>
                <w:szCs w:val="21"/>
              </w:rPr>
              <w:t>，每提供一个业绩得1分，最高4分，不提供不得分。</w:t>
            </w:r>
          </w:p>
          <w:p>
            <w:pPr>
              <w:spacing w:line="400" w:lineRule="exact"/>
              <w:ind w:firstLine="420" w:firstLineChars="200"/>
              <w:rPr>
                <w:rFonts w:ascii="宋体" w:hAnsi="宋体" w:eastAsia="宋体"/>
                <w:sz w:val="21"/>
                <w:szCs w:val="21"/>
              </w:rPr>
            </w:pPr>
            <w:r>
              <w:rPr>
                <w:rFonts w:hint="eastAsia" w:ascii="宋体" w:hAnsi="宋体" w:eastAsia="宋体" w:cs="宋体"/>
                <w:sz w:val="21"/>
                <w:szCs w:val="21"/>
              </w:rPr>
              <w:t>赋分依据：</w:t>
            </w:r>
            <w:r>
              <w:rPr>
                <w:rFonts w:hint="eastAsia" w:ascii="宋体" w:hAnsi="宋体" w:eastAsia="宋体"/>
                <w:sz w:val="21"/>
                <w:szCs w:val="21"/>
              </w:rPr>
              <w:t>发票扫描件、合同关键页扫描件（合同关键页至少包括首页、金额页、加盖甲乙双方公章或合同章所在页）。</w:t>
            </w:r>
          </w:p>
          <w:p>
            <w:pPr>
              <w:widowControl w:val="0"/>
              <w:tabs>
                <w:tab w:val="left" w:pos="547"/>
              </w:tabs>
              <w:spacing w:line="400" w:lineRule="exact"/>
              <w:ind w:firstLine="420" w:firstLineChars="200"/>
              <w:jc w:val="both"/>
              <w:rPr>
                <w:rFonts w:ascii="宋体" w:hAnsi="宋体" w:eastAsia="宋体" w:cs="宋体"/>
                <w:kern w:val="2"/>
                <w:sz w:val="21"/>
                <w:szCs w:val="21"/>
              </w:rPr>
            </w:pPr>
            <w:r>
              <w:rPr>
                <w:rFonts w:hint="eastAsia" w:ascii="宋体" w:hAnsi="宋体" w:eastAsia="宋体"/>
                <w:sz w:val="21"/>
                <w:szCs w:val="21"/>
              </w:rPr>
              <w:t>注：多份业绩为同一采购人的分值不累计，仅按一份业绩计分。</w:t>
            </w:r>
          </w:p>
        </w:tc>
        <w:tc>
          <w:tcPr>
            <w:tcW w:w="851" w:type="dxa"/>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20" w:hRule="atLeast"/>
        </w:trPr>
        <w:tc>
          <w:tcPr>
            <w:tcW w:w="756"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640" w:type="dxa"/>
            <w:vMerge w:val="continue"/>
            <w:shd w:val="clear" w:color="auto" w:fill="auto"/>
            <w:vAlign w:val="center"/>
          </w:tcPr>
          <w:p>
            <w:pPr>
              <w:widowControl w:val="0"/>
              <w:spacing w:line="400" w:lineRule="exact"/>
              <w:jc w:val="center"/>
              <w:rPr>
                <w:rFonts w:ascii="Calibri" w:hAnsi="宋体" w:eastAsia="宋体" w:cs="宋体"/>
                <w:bCs/>
                <w:kern w:val="2"/>
                <w:sz w:val="21"/>
                <w:szCs w:val="21"/>
              </w:rPr>
            </w:pPr>
          </w:p>
        </w:tc>
        <w:tc>
          <w:tcPr>
            <w:tcW w:w="860"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hint="eastAsia" w:ascii="Calibri" w:hAnsi="宋体" w:eastAsia="宋体" w:cs="宋体"/>
                <w:bCs/>
                <w:kern w:val="2"/>
                <w:sz w:val="21"/>
                <w:szCs w:val="21"/>
              </w:rPr>
              <w:t>3</w:t>
            </w:r>
          </w:p>
        </w:tc>
        <w:tc>
          <w:tcPr>
            <w:tcW w:w="6518" w:type="dxa"/>
            <w:shd w:val="clear" w:color="auto" w:fill="auto"/>
            <w:vAlign w:val="center"/>
          </w:tcPr>
          <w:p>
            <w:pPr>
              <w:spacing w:line="400" w:lineRule="exact"/>
              <w:ind w:firstLine="420" w:firstLineChars="200"/>
              <w:rPr>
                <w:rFonts w:ascii="宋体" w:hAnsi="宋体" w:eastAsia="宋体"/>
                <w:sz w:val="21"/>
                <w:szCs w:val="21"/>
              </w:rPr>
            </w:pPr>
            <w:r>
              <w:rPr>
                <w:rFonts w:hint="eastAsia" w:ascii="宋体" w:hAnsi="宋体" w:eastAsia="宋体"/>
                <w:b/>
                <w:sz w:val="21"/>
                <w:szCs w:val="21"/>
              </w:rPr>
              <w:t>体系认证</w:t>
            </w:r>
            <w:r>
              <w:rPr>
                <w:rFonts w:ascii="宋体" w:hAnsi="宋体" w:eastAsia="宋体"/>
                <w:b/>
                <w:sz w:val="21"/>
                <w:szCs w:val="21"/>
              </w:rPr>
              <w:t>：</w:t>
            </w:r>
          </w:p>
          <w:p>
            <w:pPr>
              <w:widowControl w:val="0"/>
              <w:tabs>
                <w:tab w:val="left" w:pos="547"/>
              </w:tabs>
              <w:spacing w:line="400" w:lineRule="exact"/>
              <w:ind w:firstLine="420" w:firstLineChars="200"/>
              <w:jc w:val="both"/>
              <w:rPr>
                <w:rFonts w:ascii="宋体" w:hAnsi="宋体" w:eastAsia="宋体" w:cs="宋体"/>
                <w:color w:val="C00000"/>
                <w:kern w:val="2"/>
                <w:sz w:val="21"/>
                <w:szCs w:val="21"/>
              </w:rPr>
            </w:pPr>
            <w:r>
              <w:rPr>
                <w:rFonts w:hint="eastAsia" w:ascii="宋体" w:hAnsi="宋体" w:eastAsia="宋体"/>
                <w:sz w:val="21"/>
                <w:szCs w:val="21"/>
              </w:rPr>
              <w:t>提供有效的</w:t>
            </w:r>
            <w:r>
              <w:rPr>
                <w:rFonts w:hint="eastAsia" w:ascii="宋体" w:hAnsi="宋体" w:eastAsia="宋体" w:cs="宋体"/>
                <w:color w:val="000000"/>
                <w:kern w:val="2"/>
                <w:sz w:val="21"/>
                <w:szCs w:val="21"/>
              </w:rPr>
              <w:t>质量管理体系、环境管理体系、职业健康安全管理体系认证书加盖公章的扫描件，全部</w:t>
            </w:r>
            <w:r>
              <w:rPr>
                <w:rFonts w:ascii="宋体" w:hAnsi="宋体" w:eastAsia="宋体" w:cs="宋体"/>
                <w:color w:val="000000"/>
                <w:kern w:val="2"/>
                <w:sz w:val="21"/>
                <w:szCs w:val="21"/>
              </w:rPr>
              <w:t>提供</w:t>
            </w:r>
            <w:r>
              <w:rPr>
                <w:rFonts w:hint="eastAsia" w:ascii="宋体" w:hAnsi="宋体" w:eastAsia="宋体" w:cs="宋体"/>
                <w:color w:val="000000"/>
                <w:kern w:val="2"/>
                <w:sz w:val="21"/>
                <w:szCs w:val="21"/>
              </w:rPr>
              <w:t>得</w:t>
            </w:r>
            <w:r>
              <w:rPr>
                <w:rFonts w:ascii="宋体" w:hAnsi="宋体" w:eastAsia="宋体" w:cs="宋体"/>
                <w:color w:val="000000"/>
                <w:kern w:val="2"/>
                <w:sz w:val="21"/>
                <w:szCs w:val="21"/>
              </w:rPr>
              <w:t>3</w:t>
            </w:r>
            <w:r>
              <w:rPr>
                <w:rFonts w:hint="eastAsia" w:ascii="宋体" w:hAnsi="宋体" w:eastAsia="宋体" w:cs="宋体"/>
                <w:color w:val="000000"/>
                <w:kern w:val="2"/>
                <w:sz w:val="21"/>
                <w:szCs w:val="21"/>
              </w:rPr>
              <w:t>分，</w:t>
            </w:r>
            <w:r>
              <w:rPr>
                <w:rFonts w:ascii="宋体" w:hAnsi="宋体" w:eastAsia="宋体"/>
                <w:sz w:val="21"/>
                <w:szCs w:val="21"/>
              </w:rPr>
              <w:t>未提供或提供不全不得分。</w:t>
            </w:r>
          </w:p>
        </w:tc>
        <w:tc>
          <w:tcPr>
            <w:tcW w:w="851" w:type="dxa"/>
            <w:shd w:val="clear" w:color="auto" w:fill="auto"/>
            <w:vAlign w:val="center"/>
          </w:tcPr>
          <w:p>
            <w:pPr>
              <w:widowControl w:val="0"/>
              <w:spacing w:line="400" w:lineRule="exact"/>
              <w:jc w:val="center"/>
              <w:rPr>
                <w:rFonts w:ascii="Calibri" w:hAnsi="宋体" w:eastAsia="宋体" w:cs="宋体"/>
                <w:bCs/>
                <w:color w:val="FF0000"/>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6" w:type="dxa"/>
            <w:shd w:val="clear" w:color="auto" w:fill="auto"/>
            <w:vAlign w:val="center"/>
          </w:tcPr>
          <w:p>
            <w:pPr>
              <w:widowControl w:val="0"/>
              <w:spacing w:line="400" w:lineRule="exact"/>
              <w:jc w:val="center"/>
              <w:rPr>
                <w:rFonts w:ascii="Calibri" w:hAnsi="宋体" w:eastAsia="宋体" w:cs="宋体"/>
                <w:bCs/>
                <w:kern w:val="2"/>
                <w:sz w:val="21"/>
                <w:szCs w:val="21"/>
              </w:rPr>
            </w:pPr>
            <w:r>
              <w:rPr>
                <w:rFonts w:ascii="Calibri" w:hAnsi="宋体" w:eastAsia="宋体" w:cs="宋体"/>
                <w:bCs/>
                <w:kern w:val="2"/>
                <w:sz w:val="21"/>
                <w:szCs w:val="21"/>
              </w:rPr>
              <w:t>说明</w:t>
            </w:r>
          </w:p>
        </w:tc>
        <w:tc>
          <w:tcPr>
            <w:tcW w:w="8869" w:type="dxa"/>
            <w:gridSpan w:val="4"/>
            <w:shd w:val="clear" w:color="auto" w:fill="auto"/>
            <w:vAlign w:val="center"/>
          </w:tcPr>
          <w:p>
            <w:pPr>
              <w:widowControl w:val="0"/>
              <w:spacing w:line="400" w:lineRule="exact"/>
              <w:ind w:firstLine="420" w:firstLineChars="200"/>
              <w:jc w:val="both"/>
              <w:rPr>
                <w:rFonts w:ascii="Calibri" w:hAnsi="宋体" w:eastAsia="宋体" w:cs="宋体"/>
                <w:bCs/>
                <w:kern w:val="2"/>
                <w:sz w:val="21"/>
                <w:szCs w:val="21"/>
              </w:rPr>
            </w:pPr>
            <w:r>
              <w:rPr>
                <w:rFonts w:hint="eastAsia" w:ascii="Calibri" w:hAnsi="宋体" w:eastAsia="宋体" w:cs="宋体"/>
                <w:bCs/>
                <w:kern w:val="2"/>
                <w:sz w:val="21"/>
                <w:szCs w:val="21"/>
              </w:rPr>
              <w:t>评标委员会成员必须按照本评审要素据实打分，各类数字计算均按“四舍五入”保留小数点后两位。</w:t>
            </w:r>
          </w:p>
        </w:tc>
      </w:tr>
    </w:tbl>
    <w:p>
      <w:pPr>
        <w:pStyle w:val="81"/>
        <w:ind w:firstLine="482"/>
        <w:rPr>
          <w:b/>
        </w:rPr>
      </w:pPr>
      <w:r>
        <w:rPr>
          <w:b/>
        </w:rPr>
        <w:t>6</w:t>
      </w:r>
      <w:r>
        <w:rPr>
          <w:rFonts w:hint="eastAsia"/>
          <w:b/>
          <w:color w:val="auto"/>
        </w:rPr>
        <w:t>．</w:t>
      </w:r>
      <w:r>
        <w:rPr>
          <w:b/>
        </w:rPr>
        <w:t>推荐中标候选人</w:t>
      </w:r>
    </w:p>
    <w:p>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81"/>
        <w:ind w:firstLine="482"/>
        <w:rPr>
          <w:b/>
        </w:rPr>
      </w:pPr>
      <w:r>
        <w:rPr>
          <w:b/>
        </w:rPr>
        <w:t>7</w:t>
      </w:r>
      <w:r>
        <w:rPr>
          <w:rFonts w:hint="eastAsia"/>
          <w:b/>
          <w:color w:val="auto"/>
        </w:rPr>
        <w:t>．</w:t>
      </w:r>
      <w:r>
        <w:rPr>
          <w:b/>
        </w:rPr>
        <w:t>编写评审报告</w:t>
      </w:r>
    </w:p>
    <w:p>
      <w:pPr>
        <w:pStyle w:val="81"/>
        <w:ind w:firstLine="480"/>
        <w:rPr>
          <w:rFonts w:hAnsi="华文仿宋"/>
        </w:rPr>
      </w:pPr>
      <w:r>
        <w:rPr>
          <w:rFonts w:hint="eastAsia" w:hAnsi="华文仿宋"/>
        </w:rPr>
        <w:t>评审报告是评标委员会根据全体评标成员签字的原始评标记录和评标结果编写的报告。</w:t>
      </w:r>
    </w:p>
    <w:p>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pPr>
      <w:r>
        <w:t>（四）</w:t>
      </w:r>
      <w:r>
        <w:rPr>
          <w:rFonts w:hint="eastAsia"/>
        </w:rPr>
        <w:t>评标争议处理规则</w:t>
      </w:r>
    </w:p>
    <w:p>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pPr>
        <w:pStyle w:val="4"/>
        <w:ind w:firstLine="482"/>
      </w:pPr>
      <w:r>
        <w:t>（五）评审现场人员的保密责任</w:t>
      </w:r>
    </w:p>
    <w:p>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pPr>
      <w:r>
        <w:t>（六）出现下列情形时，视同供应商串通投标，其投标无效：</w:t>
      </w:r>
    </w:p>
    <w:p>
      <w:pPr>
        <w:pStyle w:val="81"/>
        <w:ind w:firstLine="480"/>
      </w:pPr>
      <w:r>
        <w:t>1</w:t>
      </w:r>
      <w:r>
        <w:rPr>
          <w:rFonts w:hint="eastAsia"/>
          <w:color w:val="auto"/>
        </w:rPr>
        <w:t>．</w:t>
      </w:r>
      <w:r>
        <w:t>不同供应商的投标文件由同一单位或者个人编制；</w:t>
      </w:r>
    </w:p>
    <w:p>
      <w:pPr>
        <w:pStyle w:val="81"/>
        <w:ind w:firstLine="480"/>
      </w:pPr>
      <w:r>
        <w:t>2</w:t>
      </w:r>
      <w:r>
        <w:rPr>
          <w:rFonts w:hint="eastAsia"/>
          <w:color w:val="auto"/>
        </w:rPr>
        <w:t>．</w:t>
      </w:r>
      <w:r>
        <w:t>不同供应商委托同一单位或者个人办理投标事宜；</w:t>
      </w:r>
    </w:p>
    <w:p>
      <w:pPr>
        <w:pStyle w:val="81"/>
        <w:ind w:firstLine="480"/>
      </w:pPr>
      <w:r>
        <w:t>3</w:t>
      </w:r>
      <w:r>
        <w:rPr>
          <w:rFonts w:hint="eastAsia"/>
          <w:color w:val="auto"/>
        </w:rPr>
        <w:t>．</w:t>
      </w:r>
      <w:r>
        <w:t>不同供应商的投标文件载明的项目管理成员或者联系人员为同一人；</w:t>
      </w:r>
    </w:p>
    <w:p>
      <w:pPr>
        <w:pStyle w:val="81"/>
        <w:ind w:firstLine="480"/>
        <w:rPr>
          <w:strike/>
        </w:rPr>
      </w:pPr>
      <w:r>
        <w:t>4</w:t>
      </w:r>
      <w:r>
        <w:rPr>
          <w:rFonts w:hint="eastAsia"/>
          <w:color w:val="auto"/>
        </w:rPr>
        <w:t>．</w:t>
      </w:r>
      <w:r>
        <w:t>不同供应商的投标文件异常一致或者投标报价呈规律性差异。</w:t>
      </w:r>
    </w:p>
    <w:p>
      <w:pPr>
        <w:pStyle w:val="3"/>
      </w:pPr>
      <w:r>
        <w:t>八、中标</w:t>
      </w:r>
    </w:p>
    <w:p>
      <w:pPr>
        <w:pStyle w:val="81"/>
        <w:ind w:firstLine="480"/>
      </w:pPr>
      <w:r>
        <w:rPr>
          <w:rFonts w:hint="eastAsia"/>
        </w:rPr>
        <w:t>1</w:t>
      </w:r>
      <w:r>
        <w:rPr>
          <w:rFonts w:hint="eastAsia"/>
          <w:color w:val="auto"/>
        </w:rPr>
        <w:t>．</w:t>
      </w:r>
      <w:r>
        <w:t>采购代理机构在评标工作结束后2个工作日内将评审报告送采购人。</w:t>
      </w:r>
    </w:p>
    <w:p>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81"/>
        <w:ind w:firstLine="480"/>
      </w:pPr>
      <w:r>
        <w:rPr>
          <w:rFonts w:hint="eastAsia"/>
        </w:rPr>
        <w:t>6</w:t>
      </w:r>
      <w:r>
        <w:rPr>
          <w:rFonts w:hint="eastAsia"/>
          <w:color w:val="auto"/>
        </w:rPr>
        <w:t>．</w:t>
      </w:r>
      <w:r>
        <w:rPr>
          <w:rFonts w:hint="eastAsia"/>
        </w:rPr>
        <w:t>采购代理机构按照相关规定将评审报告送政府采购监管部门备案。</w:t>
      </w:r>
    </w:p>
    <w:p>
      <w:pPr>
        <w:pStyle w:val="3"/>
      </w:pPr>
      <w:r>
        <w:t>九、合同签订、履行及验收</w:t>
      </w:r>
    </w:p>
    <w:p>
      <w:pPr>
        <w:pStyle w:val="81"/>
        <w:ind w:firstLine="480"/>
      </w:pPr>
      <w:r>
        <w:t>招标文件、投标文件、澄清、补充合同等为政府采购合同的组成部分，具有同等法律效力。</w:t>
      </w:r>
    </w:p>
    <w:p>
      <w:pPr>
        <w:pStyle w:val="4"/>
        <w:ind w:firstLine="482"/>
      </w:pPr>
      <w:r>
        <w:t>（一）签订政府采购合同</w:t>
      </w:r>
    </w:p>
    <w:p>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pPr>
      <w:r>
        <w:t>（二）合同公示</w:t>
      </w:r>
    </w:p>
    <w:p>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pPr>
      <w:r>
        <w:t>（三）合同履行</w:t>
      </w:r>
    </w:p>
    <w:p>
      <w:pPr>
        <w:pStyle w:val="81"/>
        <w:ind w:firstLine="480"/>
      </w:pPr>
      <w:r>
        <w:rPr>
          <w:rFonts w:hint="eastAsia"/>
        </w:rPr>
        <w:t>1</w:t>
      </w:r>
      <w:r>
        <w:rPr>
          <w:rFonts w:hint="eastAsia"/>
          <w:color w:val="auto"/>
        </w:rPr>
        <w:t>．</w:t>
      </w:r>
      <w:r>
        <w:rPr>
          <w:rFonts w:hint="eastAsia"/>
        </w:rPr>
        <w:t>合同一经签订，双方应严格履行合同规定的义务。</w:t>
      </w:r>
    </w:p>
    <w:p>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pPr>
      <w:r>
        <w:t>（四）验收或考核</w:t>
      </w:r>
    </w:p>
    <w:p>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81"/>
        <w:ind w:firstLine="480"/>
      </w:pPr>
      <w:r>
        <w:t>3</w:t>
      </w:r>
      <w:r>
        <w:rPr>
          <w:rFonts w:hint="eastAsia"/>
          <w:color w:val="auto"/>
        </w:rPr>
        <w:t>．</w:t>
      </w:r>
      <w:r>
        <w:t>根据《政府采购法》第三十六条规定，在招标采购中，出现下列情形之一的，本项目按废标处理：</w:t>
      </w:r>
    </w:p>
    <w:p>
      <w:pPr>
        <w:pStyle w:val="81"/>
        <w:ind w:firstLine="480"/>
      </w:pPr>
      <w:r>
        <w:t>（</w:t>
      </w:r>
      <w:r>
        <w:rPr>
          <w:rFonts w:hint="eastAsia"/>
        </w:rPr>
        <w:t>1</w:t>
      </w:r>
      <w:r>
        <w:t>）出现影响采购公正的违法、违规行为的；</w:t>
      </w:r>
    </w:p>
    <w:p>
      <w:pPr>
        <w:pStyle w:val="81"/>
        <w:ind w:firstLine="480"/>
      </w:pPr>
      <w:r>
        <w:t>（</w:t>
      </w:r>
      <w:r>
        <w:rPr>
          <w:rFonts w:hint="eastAsia"/>
        </w:rPr>
        <w:t>2</w:t>
      </w:r>
      <w:r>
        <w:t>）供应商的报价均超过了采购预算，采购人不能支付的；</w:t>
      </w:r>
    </w:p>
    <w:p>
      <w:pPr>
        <w:pStyle w:val="81"/>
        <w:ind w:firstLine="480"/>
      </w:pPr>
      <w:r>
        <w:t>（</w:t>
      </w:r>
      <w:r>
        <w:rPr>
          <w:rFonts w:hint="eastAsia"/>
        </w:rPr>
        <w:t>3</w:t>
      </w:r>
      <w:r>
        <w:t>）因重大变故，采购任务取消的。</w:t>
      </w:r>
    </w:p>
    <w:p>
      <w:pPr>
        <w:pStyle w:val="81"/>
        <w:ind w:firstLine="480"/>
      </w:pPr>
      <w:r>
        <w:t>废标后，除采购任务取消外，本项目将重新组织招标。</w:t>
      </w:r>
    </w:p>
    <w:p>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10" w:name="_Toc233120441"/>
      <w:r>
        <w:rPr>
          <w:rFonts w:hint="eastAsia"/>
        </w:rPr>
        <w:t>第三章　招标内容及要求</w:t>
      </w:r>
      <w:bookmarkEnd w:id="10"/>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ind w:firstLine="480" w:firstLineChars="200"/>
        <w:jc w:val="both"/>
      </w:pPr>
      <w:r>
        <w:rPr>
          <w:rFonts w:hint="eastAsia"/>
        </w:rPr>
        <w:t>西安铁路职业技术学院分为四个校区，本项目拟为四个</w:t>
      </w:r>
      <w:r>
        <w:t>校区采购</w:t>
      </w:r>
      <w:r>
        <w:rPr>
          <w:rFonts w:hint="eastAsia"/>
        </w:rPr>
        <w:t>满足物业</w:t>
      </w:r>
      <w:r>
        <w:t>保洁</w:t>
      </w:r>
      <w:r>
        <w:rPr>
          <w:rFonts w:hint="eastAsia"/>
        </w:rPr>
        <w:t>服务要求的</w:t>
      </w:r>
      <w:r>
        <w:t>供应商</w:t>
      </w:r>
      <w:r>
        <w:rPr>
          <w:rFonts w:hint="eastAsia"/>
        </w:rPr>
        <w:t>。</w:t>
      </w:r>
    </w:p>
    <w:p>
      <w:pPr>
        <w:pStyle w:val="3"/>
        <w:jc w:val="both"/>
      </w:pPr>
      <w:r>
        <w:rPr>
          <w:rFonts w:hint="eastAsia"/>
        </w:rPr>
        <w:t>二、采购内容</w:t>
      </w:r>
    </w:p>
    <w:p>
      <w:pPr>
        <w:pStyle w:val="40"/>
        <w:ind w:firstLine="480" w:firstLineChars="200"/>
        <w:jc w:val="both"/>
        <w:rPr>
          <w:rFonts w:ascii="Arial" w:hAnsi="Arial" w:eastAsia="宋体" w:cs="Arial"/>
          <w:color w:val="000000"/>
          <w:sz w:val="24"/>
          <w:szCs w:val="24"/>
        </w:rPr>
      </w:pPr>
      <w:r>
        <w:rPr>
          <w:rFonts w:hint="eastAsia" w:ascii="Arial" w:hAnsi="Arial" w:eastAsia="宋体" w:cs="Arial"/>
          <w:color w:val="000000"/>
          <w:sz w:val="24"/>
          <w:szCs w:val="24"/>
        </w:rPr>
        <w:t>校本部港务校区位于西安国际港务港务大道396号，占地355．57亩，保洁服务区域建筑面积约28．46万㎡，保洁楼栋为15栋；自强校区位于西安市莲湖区自强西路133号，占地156．23亩，服务区域建筑面积约10．5万㎡，保洁楼栋为12栋；龙首校区位于西安市新城区拾翠路副189号，占地61．23亩，服务区域建筑面积约3．8万㎡，保洁楼栋为6栋；临潼校区位于西安市临潼区西关铁一处，占地33．62亩，服务区域建筑面积约3．25万㎡，保洁楼栋为7栋。</w:t>
      </w:r>
    </w:p>
    <w:p>
      <w:pPr>
        <w:pStyle w:val="3"/>
        <w:jc w:val="both"/>
      </w:pPr>
      <w:r>
        <w:t>三、</w:t>
      </w:r>
      <w:r>
        <w:rPr>
          <w:rFonts w:hint="eastAsia"/>
        </w:rPr>
        <w:t>技术（服务）要求</w:t>
      </w:r>
    </w:p>
    <w:p>
      <w:pPr>
        <w:ind w:firstLine="480" w:firstLineChars="200"/>
        <w:rPr>
          <w:rFonts w:ascii="Arial" w:hAnsi="Arial" w:eastAsia="宋体" w:cs="Arial"/>
          <w:b/>
          <w:color w:val="000000"/>
        </w:rPr>
      </w:pPr>
      <w:r>
        <w:rPr>
          <w:rFonts w:hint="eastAsia" w:ascii="Arial" w:hAnsi="Arial" w:eastAsia="宋体" w:cs="Arial"/>
          <w:b/>
          <w:color w:val="000000"/>
        </w:rPr>
        <w:t>（一）</w:t>
      </w:r>
      <w:r>
        <w:rPr>
          <w:rFonts w:ascii="Arial" w:hAnsi="Arial" w:eastAsia="宋体" w:cs="Arial"/>
          <w:b/>
          <w:color w:val="000000"/>
        </w:rPr>
        <w:t>保洁服务管理要求</w:t>
      </w:r>
    </w:p>
    <w:p>
      <w:pPr>
        <w:ind w:firstLine="480" w:firstLineChars="200"/>
        <w:rPr>
          <w:rFonts w:ascii="Arial" w:hAnsi="Arial" w:eastAsia="宋体" w:cs="Arial"/>
          <w:color w:val="000000"/>
        </w:rPr>
      </w:pPr>
      <w:r>
        <w:rPr>
          <w:rFonts w:ascii="Arial" w:hAnsi="Arial" w:eastAsia="宋体" w:cs="Arial"/>
          <w:color w:val="000000"/>
        </w:rPr>
        <w:t>1．供应商须建立健全各项管理制度，包含巡查检查、日常保洁、寒暑假保洁安排、作业标准与流程、服务质量标准等制度，并规范建立生活垃圾分类清运、校园消杀等各类台账。</w:t>
      </w:r>
    </w:p>
    <w:p>
      <w:pPr>
        <w:ind w:firstLine="480" w:firstLineChars="200"/>
        <w:rPr>
          <w:rFonts w:ascii="Arial" w:hAnsi="Arial" w:eastAsia="宋体" w:cs="Arial"/>
          <w:color w:val="000000"/>
        </w:rPr>
      </w:pPr>
      <w:r>
        <w:rPr>
          <w:rFonts w:ascii="Arial" w:hAnsi="Arial" w:eastAsia="宋体" w:cs="Arial"/>
          <w:color w:val="000000"/>
        </w:rPr>
        <w:t>2．供应商应主动配合校方接受上级主管部门监督检查，按要求及时报送相关资料。</w:t>
      </w:r>
    </w:p>
    <w:p>
      <w:pPr>
        <w:ind w:firstLine="480" w:firstLineChars="200"/>
        <w:rPr>
          <w:rFonts w:ascii="Arial" w:hAnsi="Arial" w:eastAsia="宋体" w:cs="Arial"/>
          <w:color w:val="000000"/>
        </w:rPr>
      </w:pPr>
      <w:r>
        <w:rPr>
          <w:rFonts w:ascii="Arial" w:hAnsi="Arial" w:eastAsia="宋体" w:cs="Arial"/>
          <w:color w:val="000000"/>
        </w:rPr>
        <w:t>3．供应商每月组织保洁人员开展标准化作业、服务礼仪、安全规范等专项培训，并完整留存培训记录。</w:t>
      </w:r>
    </w:p>
    <w:p>
      <w:pPr>
        <w:ind w:firstLine="480" w:firstLineChars="200"/>
        <w:rPr>
          <w:rFonts w:ascii="Arial" w:hAnsi="Arial" w:eastAsia="宋体" w:cs="Arial"/>
          <w:color w:val="000000"/>
        </w:rPr>
      </w:pPr>
      <w:r>
        <w:rPr>
          <w:rFonts w:ascii="Arial" w:hAnsi="Arial" w:eastAsia="宋体" w:cs="Arial"/>
          <w:color w:val="000000"/>
        </w:rPr>
        <w:t>4．办公设备、耗材、办公家具及员工更衣柜由供应商自行配置、维护；保洁人员食宿由供应商自行统筹解决。</w:t>
      </w:r>
    </w:p>
    <w:p>
      <w:pPr>
        <w:ind w:firstLine="480" w:firstLineChars="200"/>
        <w:rPr>
          <w:rFonts w:ascii="Arial" w:hAnsi="Arial" w:eastAsia="宋体" w:cs="Arial"/>
          <w:color w:val="000000"/>
        </w:rPr>
      </w:pPr>
      <w:r>
        <w:rPr>
          <w:rFonts w:ascii="Arial" w:hAnsi="Arial" w:eastAsia="宋体" w:cs="Arial"/>
          <w:color w:val="000000"/>
        </w:rPr>
        <w:t>5．供应商须严格执行垃圾分类管理规定，严禁工作人员私自收集、运输、售卖各类废旧物资。</w:t>
      </w:r>
    </w:p>
    <w:p>
      <w:pPr>
        <w:ind w:firstLine="480" w:firstLineChars="200"/>
        <w:rPr>
          <w:rFonts w:ascii="Arial" w:hAnsi="Arial" w:eastAsia="宋体" w:cs="Arial"/>
          <w:color w:val="000000"/>
        </w:rPr>
      </w:pPr>
      <w:r>
        <w:rPr>
          <w:rFonts w:ascii="Arial" w:hAnsi="Arial" w:eastAsia="宋体" w:cs="Arial"/>
          <w:color w:val="000000"/>
        </w:rPr>
        <w:t>6．清洁工具按使用区域分类管理、分区使用，采用色标、标识加以区分。各保洁区域设置公示栏，公示保洁人员信息，一线保洁人员须持证上岗、挂牌作业。保洁人员临时调岗、调配，须提前向校方管理部门报备，校方实施日常监督与考核。</w:t>
      </w:r>
    </w:p>
    <w:p>
      <w:pPr>
        <w:ind w:firstLine="480" w:firstLineChars="200"/>
        <w:jc w:val="both"/>
        <w:rPr>
          <w:rFonts w:ascii="Arial" w:hAnsi="Arial" w:eastAsia="宋体" w:cs="Arial"/>
          <w:color w:val="000000"/>
        </w:rPr>
      </w:pPr>
      <w:r>
        <w:rPr>
          <w:rFonts w:ascii="Arial" w:hAnsi="Arial" w:eastAsia="宋体" w:cs="Arial"/>
          <w:color w:val="000000"/>
        </w:rPr>
        <w:t>7．保洁人员严禁损毁校园公共设施及校方财物，不得向师生兜售物品，禁止私自收集、倒卖校内废品。</w:t>
      </w:r>
    </w:p>
    <w:p>
      <w:pPr>
        <w:ind w:firstLine="480" w:firstLineChars="200"/>
        <w:jc w:val="both"/>
        <w:rPr>
          <w:rFonts w:ascii="Arial" w:hAnsi="Arial" w:eastAsia="宋体" w:cs="Arial"/>
          <w:b/>
          <w:color w:val="000000"/>
        </w:rPr>
      </w:pPr>
      <w:r>
        <w:rPr>
          <w:rFonts w:hint="eastAsia" w:ascii="Arial" w:hAnsi="Arial" w:eastAsia="宋体" w:cs="Arial"/>
          <w:b/>
          <w:color w:val="000000"/>
        </w:rPr>
        <w:t>（二</w:t>
      </w:r>
      <w:r>
        <w:rPr>
          <w:rFonts w:ascii="Arial" w:hAnsi="Arial" w:eastAsia="宋体" w:cs="Arial"/>
          <w:b/>
          <w:color w:val="000000"/>
        </w:rPr>
        <w:t>）</w:t>
      </w:r>
      <w:r>
        <w:rPr>
          <w:rFonts w:hint="eastAsia" w:ascii="Arial" w:hAnsi="Arial" w:eastAsia="宋体" w:cs="Arial"/>
          <w:b/>
          <w:color w:val="000000"/>
        </w:rPr>
        <w:t>室内、室外保洁</w:t>
      </w:r>
      <w:r>
        <w:rPr>
          <w:rFonts w:ascii="Arial" w:hAnsi="Arial" w:eastAsia="宋体" w:cs="Arial"/>
          <w:b/>
          <w:color w:val="000000"/>
        </w:rPr>
        <w:t>服务要求</w:t>
      </w:r>
    </w:p>
    <w:p>
      <w:pPr>
        <w:ind w:firstLine="480" w:firstLineChars="200"/>
        <w:jc w:val="both"/>
        <w:rPr>
          <w:rFonts w:ascii="Arial" w:hAnsi="Arial" w:eastAsia="宋体" w:cs="Arial"/>
          <w:color w:val="000000"/>
        </w:rPr>
      </w:pPr>
      <w:r>
        <w:rPr>
          <w:rFonts w:hint="eastAsia" w:ascii="Arial" w:hAnsi="Arial" w:eastAsia="宋体" w:cs="Arial"/>
          <w:color w:val="000000"/>
        </w:rPr>
        <w:t>1．室内保洁服务要求</w:t>
      </w:r>
    </w:p>
    <w:p>
      <w:pPr>
        <w:ind w:firstLine="480" w:firstLineChars="200"/>
        <w:jc w:val="both"/>
        <w:rPr>
          <w:rFonts w:ascii="Arial" w:hAnsi="Arial" w:eastAsia="宋体" w:cs="Arial"/>
          <w:color w:val="000000"/>
        </w:rPr>
      </w:pPr>
      <w:r>
        <w:rPr>
          <w:rFonts w:hint="eastAsia" w:ascii="Arial" w:hAnsi="Arial" w:eastAsia="宋体" w:cs="Arial"/>
          <w:color w:val="000000"/>
        </w:rPr>
        <w:t>（1）各楼宇内公共区域地面、天花、楼梯、扶手、窗户、玻璃、纱窗、墙面附属物及走廊内设施设备的卫生保洁工作。</w:t>
      </w:r>
    </w:p>
    <w:p>
      <w:pPr>
        <w:ind w:firstLine="480" w:firstLineChars="200"/>
        <w:jc w:val="both"/>
        <w:rPr>
          <w:rFonts w:ascii="Arial" w:hAnsi="Arial" w:eastAsia="宋体" w:cs="Arial"/>
          <w:color w:val="000000"/>
        </w:rPr>
      </w:pPr>
      <w:r>
        <w:rPr>
          <w:rFonts w:hint="eastAsia" w:ascii="Arial" w:hAnsi="Arial" w:eastAsia="宋体" w:cs="Arial"/>
          <w:color w:val="000000"/>
        </w:rPr>
        <w:t>（2）各楼宇楼顶及屋面等部位的卫生清洁。公共卫生间地面、天花、墙面的清扫保洁、下水疏通、门帘制作、更换、清洗及纱窗维修、清洗工作。其中，办公场所公共卫生间配备感应全自动烘手机、壁挂式擦手纸巾盒、壁挂卷纸盒、壁挂洗手液盒、纸篓、擦手纸、卷纸、洗手液、芳香球及香薰机。合同到期后不得拆卸、移除、损毁。</w:t>
      </w:r>
    </w:p>
    <w:p>
      <w:pPr>
        <w:ind w:firstLine="480" w:firstLineChars="200"/>
        <w:jc w:val="both"/>
        <w:rPr>
          <w:rFonts w:ascii="Arial" w:hAnsi="Arial" w:eastAsia="宋体" w:cs="Arial"/>
          <w:color w:val="000000"/>
        </w:rPr>
      </w:pPr>
      <w:r>
        <w:rPr>
          <w:rFonts w:hint="eastAsia" w:ascii="Arial" w:hAnsi="Arial" w:eastAsia="宋体" w:cs="Arial"/>
          <w:color w:val="000000"/>
        </w:rPr>
        <w:t>（3）所有电梯（含电梯门、轨道、轿箱体内）的保洁工作。一层外墙墙面、楼面、玻璃门、玻璃门厅、阳台的保洁、清洁与冲洗工作。同时清理服务区域内违规、过期的张贴物，以保障服务区域内外墙壁及门窗的洁净。</w:t>
      </w:r>
    </w:p>
    <w:p>
      <w:pPr>
        <w:ind w:firstLine="480" w:firstLineChars="200"/>
        <w:jc w:val="both"/>
        <w:rPr>
          <w:rFonts w:ascii="Arial" w:hAnsi="Arial" w:eastAsia="宋体" w:cs="Arial"/>
          <w:color w:val="000000"/>
        </w:rPr>
      </w:pPr>
      <w:r>
        <w:rPr>
          <w:rFonts w:hint="eastAsia" w:ascii="Arial" w:hAnsi="Arial" w:eastAsia="宋体" w:cs="Arial"/>
          <w:color w:val="000000"/>
        </w:rPr>
        <w:t>（4）所有室内垃圾桶内、外壁保洁、管护、消毒、日常维修及破损更换工作；垃圾桶灭烟盒内石子的补充、更换、清洗等工作。</w:t>
      </w:r>
    </w:p>
    <w:p>
      <w:pPr>
        <w:ind w:firstLine="480" w:firstLineChars="200"/>
        <w:jc w:val="both"/>
        <w:rPr>
          <w:rFonts w:ascii="Arial" w:hAnsi="Arial" w:eastAsia="宋体" w:cs="Arial"/>
          <w:color w:val="000000"/>
        </w:rPr>
      </w:pPr>
      <w:r>
        <w:rPr>
          <w:rFonts w:hint="eastAsia" w:ascii="Arial" w:hAnsi="Arial" w:eastAsia="宋体" w:cs="Arial"/>
          <w:color w:val="000000"/>
        </w:rPr>
        <w:t>（5）负责保洁区域内所有公共建筑设施设备报修及学生教室、宿舍窗帘的轨道、挂钩损坏维修工作。（维修材料由学校支出）</w:t>
      </w:r>
    </w:p>
    <w:p>
      <w:pPr>
        <w:ind w:firstLine="480" w:firstLineChars="200"/>
        <w:jc w:val="both"/>
        <w:rPr>
          <w:rFonts w:ascii="Arial" w:hAnsi="Arial" w:eastAsia="宋体" w:cs="Arial"/>
          <w:color w:val="000000"/>
        </w:rPr>
      </w:pPr>
      <w:r>
        <w:rPr>
          <w:rFonts w:hint="eastAsia" w:ascii="Arial" w:hAnsi="Arial" w:eastAsia="宋体" w:cs="Arial"/>
          <w:color w:val="000000"/>
        </w:rPr>
        <w:t>（6）负责办公区域及浴池需按学校要求的开放时间营业并做好日常管理。负责浴池日常清洁，保持整洁无杂物。负责日常消毒，每日检查设施设备情况，如有故障及时向学校报修。</w:t>
      </w:r>
    </w:p>
    <w:p>
      <w:pPr>
        <w:ind w:firstLine="480" w:firstLineChars="200"/>
        <w:jc w:val="both"/>
        <w:rPr>
          <w:rFonts w:ascii="Arial" w:hAnsi="Arial" w:eastAsia="宋体" w:cs="Arial"/>
          <w:color w:val="000000"/>
        </w:rPr>
      </w:pPr>
      <w:r>
        <w:rPr>
          <w:rFonts w:hint="eastAsia" w:ascii="Arial" w:hAnsi="Arial" w:eastAsia="宋体" w:cs="Arial"/>
          <w:color w:val="000000"/>
        </w:rPr>
        <w:t>（7）综合楼保洁员实行24小时值班制度，并负责楼内楼道、楼梯、卫生间等公共区域的日常保洁工作。</w:t>
      </w:r>
    </w:p>
    <w:p>
      <w:pPr>
        <w:ind w:firstLine="480" w:firstLineChars="200"/>
        <w:jc w:val="both"/>
        <w:rPr>
          <w:rFonts w:ascii="Arial" w:hAnsi="Arial" w:eastAsia="宋体" w:cs="Arial"/>
          <w:color w:val="000000"/>
        </w:rPr>
      </w:pPr>
      <w:r>
        <w:rPr>
          <w:rFonts w:hint="eastAsia" w:ascii="Arial" w:hAnsi="Arial" w:eastAsia="宋体" w:cs="Arial"/>
          <w:color w:val="000000"/>
        </w:rPr>
        <w:t>2．室外</w:t>
      </w:r>
      <w:r>
        <w:rPr>
          <w:rFonts w:ascii="Arial" w:hAnsi="Arial" w:eastAsia="宋体" w:cs="Arial"/>
          <w:color w:val="000000"/>
        </w:rPr>
        <w:t>保洁服务要求</w:t>
      </w:r>
    </w:p>
    <w:p>
      <w:pPr>
        <w:ind w:firstLine="480" w:firstLineChars="200"/>
        <w:jc w:val="both"/>
        <w:rPr>
          <w:rFonts w:ascii="Arial" w:hAnsi="Arial" w:eastAsia="宋体" w:cs="Arial"/>
          <w:color w:val="000000"/>
        </w:rPr>
      </w:pPr>
      <w:r>
        <w:rPr>
          <w:rFonts w:hint="eastAsia" w:ascii="Arial" w:hAnsi="Arial" w:eastAsia="宋体" w:cs="Arial"/>
          <w:color w:val="000000"/>
        </w:rPr>
        <w:t>（1）校园室外的清扫、保洁工作。包括：道路路面、人行道、停车场、楼宇散水、雨棚、屋檐、楼顶、广场等的清扫、保洁工作，校园内绿化带内白色垃圾捡拾工作。</w:t>
      </w:r>
    </w:p>
    <w:p>
      <w:pPr>
        <w:ind w:firstLine="480" w:firstLineChars="200"/>
        <w:jc w:val="both"/>
        <w:rPr>
          <w:rFonts w:ascii="Arial" w:hAnsi="Arial" w:eastAsia="宋体" w:cs="Arial"/>
          <w:color w:val="000000"/>
        </w:rPr>
      </w:pPr>
      <w:r>
        <w:rPr>
          <w:rFonts w:hint="eastAsia" w:ascii="Arial" w:hAnsi="Arial" w:eastAsia="宋体" w:cs="Arial"/>
          <w:color w:val="000000"/>
        </w:rPr>
        <w:t>（2）校园主干道的定时洒水（每天早、午两次，雨雪、室外温度0℃以下的天气除外）；道路冲刷工作根据实际情况据实安排，保持道路干净无杂物。</w:t>
      </w:r>
    </w:p>
    <w:p>
      <w:pPr>
        <w:ind w:firstLine="480" w:firstLineChars="200"/>
        <w:jc w:val="both"/>
        <w:rPr>
          <w:rFonts w:ascii="Arial" w:hAnsi="Arial" w:eastAsia="宋体" w:cs="Arial"/>
          <w:color w:val="000000"/>
        </w:rPr>
      </w:pPr>
      <w:r>
        <w:rPr>
          <w:rFonts w:hint="eastAsia" w:ascii="Arial" w:hAnsi="Arial" w:eastAsia="宋体" w:cs="Arial"/>
          <w:color w:val="000000"/>
        </w:rPr>
        <w:t>（3）校园所有墙体、灯杆、行道树、宣传栏内的违规、过期张贴物、条幅等的清理工作,每天检查及时清理</w:t>
      </w:r>
    </w:p>
    <w:p>
      <w:pPr>
        <w:ind w:firstLine="480" w:firstLineChars="200"/>
        <w:jc w:val="both"/>
        <w:rPr>
          <w:rFonts w:ascii="Arial" w:hAnsi="Arial" w:eastAsia="宋体" w:cs="Arial"/>
          <w:color w:val="000000"/>
        </w:rPr>
      </w:pPr>
      <w:r>
        <w:rPr>
          <w:rFonts w:hint="eastAsia" w:ascii="Arial" w:hAnsi="Arial" w:eastAsia="宋体" w:cs="Arial"/>
          <w:color w:val="000000"/>
        </w:rPr>
        <w:t>（4）运动场所看台、场地、训练器材公共环境的清洁、保洁每天1次。</w:t>
      </w:r>
    </w:p>
    <w:p>
      <w:pPr>
        <w:ind w:firstLine="480" w:firstLineChars="200"/>
        <w:jc w:val="both"/>
        <w:rPr>
          <w:rFonts w:ascii="Arial" w:hAnsi="Arial" w:eastAsia="宋体" w:cs="Arial"/>
          <w:color w:val="000000"/>
        </w:rPr>
      </w:pPr>
      <w:r>
        <w:rPr>
          <w:rFonts w:hint="eastAsia" w:ascii="Arial" w:hAnsi="Arial" w:eastAsia="宋体" w:cs="Arial"/>
          <w:color w:val="000000"/>
        </w:rPr>
        <w:t>（5）及时清理雨水井及周围的杂物。</w:t>
      </w:r>
    </w:p>
    <w:p>
      <w:pPr>
        <w:ind w:firstLine="480" w:firstLineChars="200"/>
        <w:jc w:val="both"/>
        <w:rPr>
          <w:b/>
        </w:rPr>
      </w:pPr>
      <w:r>
        <w:rPr>
          <w:rFonts w:hint="eastAsia"/>
          <w:b/>
        </w:rPr>
        <w:t>（三</w:t>
      </w:r>
      <w:r>
        <w:rPr>
          <w:b/>
        </w:rPr>
        <w:t>）</w:t>
      </w:r>
      <w:r>
        <w:rPr>
          <w:rFonts w:hint="eastAsia"/>
          <w:b/>
        </w:rPr>
        <w:t>其他</w:t>
      </w:r>
      <w:r>
        <w:rPr>
          <w:b/>
        </w:rPr>
        <w:t>保洁服务要求</w:t>
      </w:r>
    </w:p>
    <w:p>
      <w:pPr>
        <w:ind w:firstLine="480" w:firstLineChars="200"/>
        <w:jc w:val="both"/>
      </w:pPr>
      <w:r>
        <w:rPr>
          <w:rFonts w:hint="eastAsia"/>
        </w:rPr>
        <w:t>1．门厅、楼梯、楼道、电梯等公共区域：每天清扫不少于二次，达到地面无垃圾、灰尘、痰迹、污迹。</w:t>
      </w:r>
    </w:p>
    <w:p>
      <w:pPr>
        <w:ind w:firstLine="480" w:firstLineChars="200"/>
        <w:jc w:val="both"/>
      </w:pPr>
      <w:r>
        <w:rPr>
          <w:rFonts w:hint="eastAsia"/>
        </w:rPr>
        <w:t>2．卫生间：每日至少打扫、冲刷三次。办公场所公共卫生间更换卷纸、洗手液、擦手纸、卫生球、香薰及纸盒维护。达到卫生间无污迹、无尿渍、无异味、地面无湿滑现象，隔断、卫生间内墙面、玻璃窗干净，各设施完好整洁，保证洗手池、便池无堵塞。</w:t>
      </w:r>
    </w:p>
    <w:p>
      <w:pPr>
        <w:ind w:firstLine="480" w:firstLineChars="200"/>
        <w:jc w:val="both"/>
      </w:pPr>
      <w:r>
        <w:rPr>
          <w:rFonts w:hint="eastAsia"/>
        </w:rPr>
        <w:t>3．墙面、栏杆、扶手、天花板及附属物：无污迹、灰尘、蜘蛛网，干净整洁；墙面无乱涂乱画、无灰尘、无宣传广告。</w:t>
      </w:r>
    </w:p>
    <w:p>
      <w:pPr>
        <w:ind w:firstLine="480" w:firstLineChars="200"/>
        <w:jc w:val="both"/>
      </w:pPr>
      <w:r>
        <w:rPr>
          <w:rFonts w:hint="eastAsia"/>
        </w:rPr>
        <w:t>4．路面、广场、运动场：路面干净、无果皮纸屑等杂物，无卫生死角。广场、运动场地面每日清扫不少于一次，无积水。道路清扫每日二次，于每日7:30前做到干净整洁，无垃圾、尘土、落叶及杂草。健身器材无灰尘。</w:t>
      </w:r>
    </w:p>
    <w:p>
      <w:pPr>
        <w:ind w:firstLine="480" w:firstLineChars="200"/>
        <w:jc w:val="both"/>
      </w:pPr>
      <w:r>
        <w:rPr>
          <w:rFonts w:hint="eastAsia"/>
        </w:rPr>
        <w:t>5．楼体外墙面、玻璃（3米以下）、楼顶：每月不少于2次整体清洗清扫工作,发现污渍及时清理。</w:t>
      </w:r>
    </w:p>
    <w:p>
      <w:pPr>
        <w:ind w:firstLine="480" w:firstLineChars="200"/>
        <w:jc w:val="both"/>
      </w:pPr>
      <w:r>
        <w:rPr>
          <w:rFonts w:hint="eastAsia"/>
        </w:rPr>
        <w:t>6．停车场、车棚及车库出入口雨棚：地面清扫每日两次，做到干净整洁，无垃圾、灰尘，积水清理及时，每月对出入口雨棚清洗不少于两次。</w:t>
      </w:r>
    </w:p>
    <w:p>
      <w:pPr>
        <w:ind w:firstLine="480" w:firstLineChars="200"/>
        <w:jc w:val="both"/>
      </w:pPr>
      <w:r>
        <w:rPr>
          <w:rFonts w:hint="eastAsia"/>
        </w:rPr>
        <w:t>7．绿化带：无果皮纸屑、食品包装袋等杂物。</w:t>
      </w:r>
    </w:p>
    <w:p>
      <w:pPr>
        <w:ind w:firstLine="480" w:firstLineChars="200"/>
        <w:jc w:val="both"/>
      </w:pPr>
      <w:r>
        <w:rPr>
          <w:rFonts w:hint="eastAsia"/>
        </w:rPr>
        <w:t>8．校园内指示牌：每日擦拭一次，做到干净整洁无污迹、污物。</w:t>
      </w:r>
    </w:p>
    <w:p>
      <w:pPr>
        <w:ind w:firstLine="480" w:firstLineChars="200"/>
        <w:jc w:val="both"/>
      </w:pPr>
      <w:r>
        <w:rPr>
          <w:rFonts w:hint="eastAsia"/>
        </w:rPr>
        <w:t>9．所有楼顶屋面落叶清扫工作，每两周清扫一次，保持干净卫生。</w:t>
      </w:r>
    </w:p>
    <w:p>
      <w:pPr>
        <w:ind w:firstLine="480" w:firstLineChars="200"/>
        <w:jc w:val="both"/>
      </w:pPr>
      <w:r>
        <w:rPr>
          <w:rFonts w:hint="eastAsia"/>
        </w:rPr>
        <w:t>10．义务协助甲方做好大型会议、工作检查等临时增加的现场保洁及服务工作安排。义务协助甲方做好卫生防疫、疾病防控、重大活动临时增加的工作安排。每年开展校园文化活动不少于3次。</w:t>
      </w:r>
    </w:p>
    <w:p>
      <w:pPr>
        <w:ind w:firstLine="480" w:firstLineChars="200"/>
        <w:jc w:val="both"/>
      </w:pPr>
      <w:r>
        <w:rPr>
          <w:rFonts w:hint="eastAsia"/>
        </w:rPr>
        <w:t>11．制作垃圾分类、节能等宣传标语张贴在垃圾桶及洗手间指定位置。</w:t>
      </w:r>
    </w:p>
    <w:p>
      <w:pPr>
        <w:ind w:firstLine="480" w:firstLineChars="200"/>
        <w:jc w:val="both"/>
      </w:pPr>
      <w:r>
        <w:rPr>
          <w:rFonts w:hint="eastAsia"/>
          <w:b/>
        </w:rPr>
        <w:t>（四</w:t>
      </w:r>
      <w:r>
        <w:rPr>
          <w:b/>
        </w:rPr>
        <w:t>）</w:t>
      </w:r>
      <w:r>
        <w:rPr>
          <w:rFonts w:hint="eastAsia"/>
          <w:b/>
        </w:rPr>
        <w:t>应急</w:t>
      </w:r>
      <w:r>
        <w:rPr>
          <w:b/>
        </w:rPr>
        <w:t>服务要求</w:t>
      </w:r>
    </w:p>
    <w:p>
      <w:pPr>
        <w:ind w:firstLine="480" w:firstLineChars="200"/>
        <w:jc w:val="both"/>
      </w:pPr>
      <w:r>
        <w:rPr>
          <w:rFonts w:hint="eastAsia"/>
        </w:rPr>
        <w:t>1．极端天气防汛应急保障：供应商须提前制定完善的校园防汛应急处置预案，针对暴雨、强降雨等极端天气建立事前预防、事中处置、事后恢复全流程工作机制。汛期及暴雨天气来临前，提前排查校园楼宇出入口、地下通道、低洼路段、车库入口等重点防汛点位，足量储备防汛沙袋、挡水板、抽水泵等防汛应急物资，做到物资到位、人员到位、责任到位。及时开展积水疏通、排水导流、杂物清理工作，全力做好各服务楼宇及校园区域防汛保障工作，保障校园设施及师生安全。暴雨结束后第一时间清理路面淤泥、杂物，恢复校园环境卫生及通行秩序。</w:t>
      </w:r>
    </w:p>
    <w:p>
      <w:pPr>
        <w:ind w:firstLine="480" w:firstLineChars="200"/>
        <w:jc w:val="both"/>
      </w:pPr>
      <w:r>
        <w:rPr>
          <w:rFonts w:hint="eastAsia"/>
        </w:rPr>
        <w:t>2．雨雪天气除雪除冰、隐患排查处置：雨雪冰冻天气期间，中标供应商须启动雨雪应急保洁预案，实行快速响应机制，及时开展校园主干道、人行通道、台阶坡道、广场、球场等全域区域的积水、积雪、积冰清理工作，优先保障师生通行主干道、教学楼、宿舍楼、办公楼主出入口通行安全，杜绝路面结冰、积雪打滑隐患。针对冬季低温天气，降雪过程中随降随清、边下边扫，积雪结冰区域及时撒布防滑物料，确保校园道路干净畅通、无积雪、无积冰，全面保障校园通行安全与环境整洁。</w:t>
      </w:r>
    </w:p>
    <w:p>
      <w:pPr>
        <w:ind w:firstLine="480" w:firstLineChars="200"/>
        <w:jc w:val="both"/>
      </w:pPr>
      <w:r>
        <w:rPr>
          <w:rFonts w:hint="eastAsia"/>
        </w:rPr>
        <w:t>3．突发情况应急响应要求：针对大风、沙尘等各类突发环境卫生及安全应急情况，中标供应商须做到接报即处置、快速响应、及时清理。建立应急作业队伍，配备全套清洁作业设备及应急工具，确保突发问题第一时间处置完毕，最大限度降低突发情况对校园环境及师生通行的影响，保障校园环境卫生常态化、标准化、安全化。</w:t>
      </w:r>
    </w:p>
    <w:p>
      <w:pPr>
        <w:ind w:firstLine="480" w:firstLineChars="200"/>
        <w:jc w:val="both"/>
      </w:pPr>
      <w:r>
        <w:rPr>
          <w:rFonts w:hint="eastAsia"/>
        </w:rPr>
        <w:t>4．应急值守与物资保障要求：中标供应商须建立常态化应急值守制度，极端天气、节假日等特殊时段安排专人在岗，随时配合采购人开展各类应急保障工作。全程备足足额储备防汛、除雪、防滑、应急清洁等各类物资，定期盘点更新，确保应急物资充足可用，不得因物资短缺、人员缺位、响应滞后影响校园应急保障工作。</w:t>
      </w:r>
    </w:p>
    <w:p>
      <w:pPr>
        <w:ind w:firstLine="480" w:firstLineChars="200"/>
        <w:jc w:val="both"/>
        <w:rPr>
          <w:b/>
        </w:rPr>
      </w:pPr>
      <w:r>
        <w:rPr>
          <w:rFonts w:hint="eastAsia"/>
          <w:b/>
        </w:rPr>
        <w:t>（五）垃圾处理要求</w:t>
      </w:r>
    </w:p>
    <w:p>
      <w:pPr>
        <w:ind w:firstLine="480" w:firstLineChars="200"/>
        <w:jc w:val="both"/>
      </w:pPr>
      <w:r>
        <w:rPr>
          <w:rFonts w:hint="eastAsia"/>
        </w:rPr>
        <w:t>1．在指定位置摆放分类垃圾桶和垃圾台，并在显著处张贴垃圾分类标识。垃圾分类台要置于各楼宇外，合同到期后不能拆卸、搬离、损毁、带走。垃圾桶摆放数量满足师生日常生活工作要求。</w:t>
      </w:r>
    </w:p>
    <w:p>
      <w:pPr>
        <w:ind w:firstLine="480" w:firstLineChars="200"/>
        <w:jc w:val="both"/>
      </w:pPr>
      <w:r>
        <w:rPr>
          <w:rFonts w:hint="eastAsia"/>
        </w:rPr>
        <w:t>2．桶身表面干净无污渍，每日开展至少1次清洁作业。桶外清洁、无污物，保证无乱涂乱画、水渍，桶内垃圾不超过垃圾桶的2/3。</w:t>
      </w:r>
    </w:p>
    <w:p>
      <w:pPr>
        <w:ind w:firstLine="480" w:firstLineChars="200"/>
        <w:jc w:val="both"/>
      </w:pPr>
      <w:r>
        <w:rPr>
          <w:rFonts w:hint="eastAsia"/>
        </w:rPr>
        <w:t>3．垃圾中转房保持整洁，无明显异味，每日至少开展1次清洁作业。</w:t>
      </w:r>
    </w:p>
    <w:p>
      <w:pPr>
        <w:ind w:firstLine="480" w:firstLineChars="200"/>
        <w:jc w:val="both"/>
      </w:pPr>
      <w:r>
        <w:rPr>
          <w:rFonts w:hint="eastAsia"/>
        </w:rPr>
        <w:t>4．每个工作日内要对楼层产生的垃圾，进行清理分类，并运至垃圾集中堆放点。</w:t>
      </w:r>
    </w:p>
    <w:p>
      <w:pPr>
        <w:ind w:firstLine="480" w:firstLineChars="200"/>
        <w:jc w:val="both"/>
      </w:pPr>
      <w:r>
        <w:rPr>
          <w:rFonts w:hint="eastAsia"/>
        </w:rPr>
        <w:t>5．垃圾装袋，日产日清。</w:t>
      </w:r>
    </w:p>
    <w:p>
      <w:pPr>
        <w:ind w:firstLine="480" w:firstLineChars="200"/>
        <w:jc w:val="both"/>
      </w:pPr>
      <w:r>
        <w:rPr>
          <w:rFonts w:hint="eastAsia"/>
        </w:rPr>
        <w:t>6．建立垃圾清运台账，负责联系分类垃圾车进校清运，将垃圾清运至指定压缩站和末端去向等工作。</w:t>
      </w:r>
    </w:p>
    <w:p>
      <w:pPr>
        <w:ind w:firstLine="480" w:firstLineChars="200"/>
        <w:jc w:val="both"/>
      </w:pPr>
      <w:r>
        <w:rPr>
          <w:rFonts w:hint="eastAsia"/>
        </w:rPr>
        <w:t>7．做好垃圾分类管理的宣传工作，督促并引导全员参与垃圾分类投放。</w:t>
      </w:r>
    </w:p>
    <w:p>
      <w:pPr>
        <w:ind w:firstLine="480" w:firstLineChars="200"/>
        <w:jc w:val="both"/>
      </w:pPr>
      <w:r>
        <w:rPr>
          <w:rFonts w:hint="eastAsia"/>
        </w:rPr>
        <w:t>8．校园生活垃圾分类及每日清运工作（每日至少两次）。负责垃圾堆放区域日常管护、清理、场地冲洗作业及消毒工作；做好校园现有室外垃圾桶的日常维修及破损更换工作。</w:t>
      </w:r>
    </w:p>
    <w:p>
      <w:pPr>
        <w:ind w:firstLine="480" w:firstLineChars="200"/>
        <w:jc w:val="both"/>
        <w:rPr>
          <w:b/>
        </w:rPr>
      </w:pPr>
      <w:r>
        <w:rPr>
          <w:rFonts w:hint="eastAsia"/>
          <w:b/>
        </w:rPr>
        <w:t>（六</w:t>
      </w:r>
      <w:r>
        <w:rPr>
          <w:b/>
        </w:rPr>
        <w:t>）</w:t>
      </w:r>
      <w:r>
        <w:rPr>
          <w:rFonts w:hint="eastAsia"/>
          <w:b/>
        </w:rPr>
        <w:t>物资配备</w:t>
      </w:r>
    </w:p>
    <w:p>
      <w:pPr>
        <w:ind w:firstLine="480" w:firstLineChars="200"/>
        <w:jc w:val="both"/>
        <w:rPr>
          <w:rFonts w:ascii="Arial" w:hAnsi="Arial" w:eastAsia="宋体" w:cs="Arial"/>
          <w:color w:val="000000"/>
        </w:rPr>
      </w:pPr>
      <w:r>
        <w:rPr>
          <w:rFonts w:ascii="Arial" w:hAnsi="Arial" w:eastAsia="宋体" w:cs="Arial"/>
          <w:color w:val="000000"/>
        </w:rPr>
        <w:t>1．</w:t>
      </w:r>
      <w:r>
        <w:rPr>
          <w:rFonts w:hint="eastAsia" w:ascii="Arial" w:hAnsi="Arial" w:eastAsia="宋体" w:cs="Arial"/>
          <w:color w:val="000000"/>
        </w:rPr>
        <w:t>保洁</w:t>
      </w:r>
      <w:r>
        <w:rPr>
          <w:rFonts w:ascii="Arial" w:hAnsi="Arial" w:eastAsia="宋体" w:cs="Arial"/>
          <w:color w:val="000000"/>
        </w:rPr>
        <w:t>设备：</w:t>
      </w:r>
      <w:r>
        <w:rPr>
          <w:rFonts w:hint="eastAsia" w:ascii="Arial" w:hAnsi="Arial" w:eastAsia="宋体" w:cs="Arial"/>
          <w:color w:val="000000"/>
        </w:rPr>
        <w:t>中型扫地车1辆（整车质量≥5吨），小型扫地机不少于4台（整车质量≥1．吨），球类场地洗地机5台（整车质量≥480kg），电动尘推车1台，干湿两用吸尘器1台（4200W以上），高压洒水冲洗车1辆（空载质量≥1吨，满载质量≥4吨），室内商业清洁机器人1台，室外商业巡扫机机器人1台。</w:t>
      </w:r>
    </w:p>
    <w:p>
      <w:pPr>
        <w:ind w:firstLine="480" w:firstLineChars="200"/>
        <w:jc w:val="both"/>
        <w:rPr>
          <w:rFonts w:ascii="Arial" w:hAnsi="Arial" w:eastAsia="宋体" w:cs="Arial"/>
          <w:color w:val="000000"/>
        </w:rPr>
      </w:pPr>
      <w:r>
        <w:rPr>
          <w:rFonts w:hint="eastAsia"/>
        </w:rPr>
        <w:t>2</w:t>
      </w:r>
      <w:r>
        <w:rPr>
          <w:rFonts w:ascii="Arial" w:hAnsi="Arial" w:eastAsia="宋体" w:cs="Arial"/>
          <w:color w:val="000000"/>
        </w:rPr>
        <w:t>．</w:t>
      </w:r>
      <w:r>
        <w:rPr>
          <w:rFonts w:hint="eastAsia" w:ascii="Arial" w:hAnsi="Arial" w:eastAsia="宋体" w:cs="Arial"/>
          <w:color w:val="000000"/>
        </w:rPr>
        <w:t>日常保洁耗材：</w:t>
      </w:r>
    </w:p>
    <w:p>
      <w:pPr>
        <w:tabs>
          <w:tab w:val="left" w:pos="547"/>
        </w:tabs>
        <w:spacing w:line="320" w:lineRule="exact"/>
        <w:jc w:val="center"/>
        <w:rPr>
          <w:rFonts w:asciiTheme="minorEastAsia" w:hAnsiTheme="minorEastAsia" w:cstheme="minorEastAsia"/>
          <w:szCs w:val="21"/>
        </w:rPr>
      </w:pPr>
      <w:r>
        <w:rPr>
          <w:rFonts w:hint="eastAsia" w:asciiTheme="minorEastAsia" w:hAnsiTheme="minorEastAsia" w:cstheme="minorEastAsia"/>
          <w:kern w:val="2"/>
          <w:sz w:val="21"/>
          <w:szCs w:val="21"/>
        </w:rPr>
        <w:t>日常保洁耗材明细表</w:t>
      </w:r>
    </w:p>
    <w:tbl>
      <w:tblPr>
        <w:tblStyle w:val="25"/>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518"/>
        <w:gridCol w:w="3117"/>
        <w:gridCol w:w="1336"/>
        <w:gridCol w:w="195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tcBorders>
              <w:top w:val="single" w:color="auto" w:sz="12" w:space="0"/>
              <w:bottom w:val="single" w:color="auto" w:sz="2" w:space="0"/>
            </w:tcBorders>
            <w:shd w:val="clear" w:color="auto" w:fill="F1F1F1" w:themeFill="background1" w:themeFillShade="F2"/>
            <w:vAlign w:val="center"/>
          </w:tcPr>
          <w:p>
            <w:pPr>
              <w:tabs>
                <w:tab w:val="left" w:pos="547"/>
              </w:tabs>
              <w:spacing w:line="320" w:lineRule="exact"/>
              <w:jc w:val="both"/>
              <w:rPr>
                <w:rFonts w:ascii="Calibri" w:hAnsi="微软雅黑" w:eastAsia="微软雅黑" w:cstheme="minorEastAsia"/>
                <w:sz w:val="21"/>
                <w:szCs w:val="21"/>
              </w:rPr>
            </w:pPr>
            <w:r>
              <w:rPr>
                <w:rFonts w:hint="eastAsia" w:ascii="Calibri" w:hAnsi="微软雅黑" w:eastAsia="微软雅黑" w:cstheme="minorEastAsia"/>
                <w:kern w:val="2"/>
                <w:sz w:val="21"/>
                <w:szCs w:val="21"/>
              </w:rPr>
              <w:t>物品</w:t>
            </w:r>
          </w:p>
        </w:tc>
        <w:tc>
          <w:tcPr>
            <w:tcW w:w="3117" w:type="dxa"/>
            <w:tcBorders>
              <w:top w:val="single" w:color="auto" w:sz="12" w:space="0"/>
              <w:bottom w:val="single" w:color="auto" w:sz="2" w:space="0"/>
            </w:tcBorders>
            <w:shd w:val="clear" w:color="auto" w:fill="F1F1F1" w:themeFill="background1" w:themeFillShade="F2"/>
            <w:vAlign w:val="center"/>
          </w:tcPr>
          <w:p>
            <w:pPr>
              <w:tabs>
                <w:tab w:val="left" w:pos="547"/>
              </w:tabs>
              <w:spacing w:line="320" w:lineRule="exact"/>
              <w:jc w:val="both"/>
              <w:rPr>
                <w:rFonts w:ascii="Calibri" w:hAnsi="微软雅黑" w:eastAsia="微软雅黑" w:cstheme="minorEastAsia"/>
                <w:sz w:val="21"/>
                <w:szCs w:val="21"/>
              </w:rPr>
            </w:pPr>
            <w:r>
              <w:rPr>
                <w:rFonts w:hint="eastAsia" w:ascii="Calibri" w:hAnsi="微软雅黑" w:eastAsia="微软雅黑" w:cstheme="minorEastAsia"/>
                <w:kern w:val="2"/>
                <w:sz w:val="21"/>
                <w:szCs w:val="21"/>
              </w:rPr>
              <w:t>规格</w:t>
            </w:r>
          </w:p>
        </w:tc>
        <w:tc>
          <w:tcPr>
            <w:tcW w:w="1336" w:type="dxa"/>
            <w:tcBorders>
              <w:top w:val="single" w:color="auto" w:sz="12" w:space="0"/>
              <w:bottom w:val="single" w:color="auto" w:sz="2" w:space="0"/>
            </w:tcBorders>
            <w:shd w:val="clear" w:color="auto" w:fill="F1F1F1" w:themeFill="background1" w:themeFillShade="F2"/>
            <w:vAlign w:val="center"/>
          </w:tcPr>
          <w:p>
            <w:pPr>
              <w:tabs>
                <w:tab w:val="left" w:pos="547"/>
              </w:tabs>
              <w:spacing w:line="320" w:lineRule="exact"/>
              <w:jc w:val="both"/>
              <w:rPr>
                <w:rFonts w:ascii="Calibri" w:hAnsi="微软雅黑" w:eastAsia="微软雅黑" w:cstheme="minorEastAsia"/>
                <w:sz w:val="21"/>
                <w:szCs w:val="21"/>
              </w:rPr>
            </w:pPr>
            <w:r>
              <w:rPr>
                <w:rFonts w:hint="eastAsia" w:ascii="Calibri" w:hAnsi="微软雅黑" w:eastAsia="微软雅黑" w:cstheme="minorEastAsia"/>
                <w:kern w:val="2"/>
                <w:sz w:val="21"/>
                <w:szCs w:val="21"/>
              </w:rPr>
              <w:t>数量</w:t>
            </w:r>
          </w:p>
        </w:tc>
        <w:tc>
          <w:tcPr>
            <w:tcW w:w="1952" w:type="dxa"/>
            <w:tcBorders>
              <w:top w:val="single" w:color="auto" w:sz="12" w:space="0"/>
              <w:bottom w:val="single" w:color="auto" w:sz="2" w:space="0"/>
            </w:tcBorders>
            <w:shd w:val="clear" w:color="auto" w:fill="F1F1F1" w:themeFill="background1" w:themeFillShade="F2"/>
            <w:vAlign w:val="center"/>
          </w:tcPr>
          <w:p>
            <w:pPr>
              <w:tabs>
                <w:tab w:val="left" w:pos="547"/>
              </w:tabs>
              <w:spacing w:line="320" w:lineRule="exact"/>
              <w:jc w:val="both"/>
              <w:rPr>
                <w:rFonts w:ascii="Calibri" w:hAnsi="微软雅黑" w:eastAsia="微软雅黑" w:cstheme="minorEastAsia"/>
                <w:sz w:val="21"/>
                <w:szCs w:val="21"/>
              </w:rPr>
            </w:pPr>
            <w:r>
              <w:rPr>
                <w:rFonts w:hint="eastAsia" w:ascii="Calibri" w:hAnsi="微软雅黑" w:eastAsia="微软雅黑" w:cstheme="minorEastAsia"/>
                <w:kern w:val="2"/>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tcBorders>
              <w:top w:val="single" w:color="auto" w:sz="2" w:space="0"/>
            </w:tcBorders>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垃圾分类站</w:t>
            </w:r>
          </w:p>
        </w:tc>
        <w:tc>
          <w:tcPr>
            <w:tcW w:w="3117" w:type="dxa"/>
            <w:tcBorders>
              <w:top w:val="single" w:color="auto" w:sz="2" w:space="0"/>
            </w:tcBorders>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tcBorders>
              <w:top w:val="single" w:color="auto" w:sz="2" w:space="0"/>
            </w:tcBorders>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25组</w:t>
            </w:r>
          </w:p>
        </w:tc>
        <w:tc>
          <w:tcPr>
            <w:tcW w:w="1952" w:type="dxa"/>
            <w:tcBorders>
              <w:top w:val="single" w:color="auto" w:sz="2" w:space="0"/>
            </w:tcBorders>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垃圾桶</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240L</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120个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垃圾桶</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100L</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150个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圆柱体不锈钢垃圾桶</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color w:val="000000" w:themeColor="text1"/>
                <w:sz w:val="21"/>
                <w:szCs w:val="21"/>
              </w:rPr>
              <w:t>直径30㎝，高65㎝及以上</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120个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方型不锈钢灭烟垃圾桶</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color w:val="000000" w:themeColor="text1"/>
                <w:sz w:val="21"/>
                <w:szCs w:val="21"/>
              </w:rPr>
              <w:t>31㎝*26㎝*65㎝及以上</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50个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感应全自动干机</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sz w:val="21"/>
                <w:szCs w:val="21"/>
              </w:rPr>
              <w:t>240*230*240mm及以上</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100个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门帘</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360个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壁挂式擦手纸巾盒</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sz w:val="21"/>
                <w:szCs w:val="21"/>
              </w:rPr>
              <w:t>255mm*100mm*192mm及以上</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100个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壁挂卷纸盒</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100个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sz w:val="21"/>
                <w:szCs w:val="21"/>
              </w:rPr>
              <w:t>纸篓</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1440个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以实际使用为准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壁挂洗手液盒</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100个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擦手纸</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sz w:val="21"/>
                <w:szCs w:val="21"/>
              </w:rPr>
              <w:t>单张1．4g以上、尺寸225*198mm及以上</w:t>
            </w: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19800包</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以实际使用为准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卷纸</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7680包</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以实际使用为准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洗手液</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1500升</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以实际使用为准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自动香薰机</w:t>
            </w:r>
          </w:p>
        </w:tc>
        <w:tc>
          <w:tcPr>
            <w:tcW w:w="3117"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c>
          <w:tcPr>
            <w:tcW w:w="1336"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kern w:val="2"/>
                <w:sz w:val="21"/>
                <w:szCs w:val="21"/>
              </w:rPr>
              <w:t>360个</w:t>
            </w:r>
          </w:p>
        </w:tc>
        <w:tc>
          <w:tcPr>
            <w:tcW w:w="1952" w:type="dxa"/>
            <w:shd w:val="clear" w:color="auto" w:fill="auto"/>
            <w:vAlign w:val="center"/>
          </w:tcPr>
          <w:p>
            <w:pPr>
              <w:tabs>
                <w:tab w:val="left" w:pos="547"/>
              </w:tabs>
              <w:spacing w:line="320" w:lineRule="exact"/>
              <w:jc w:val="both"/>
              <w:rPr>
                <w:rFonts w:ascii="Calibri" w:hAnsi="微软雅黑" w:eastAsia="微软雅黑" w:cstheme="maj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18" w:type="dxa"/>
            <w:shd w:val="clear" w:color="auto" w:fill="auto"/>
            <w:vAlign w:val="center"/>
          </w:tcPr>
          <w:p>
            <w:pPr>
              <w:tabs>
                <w:tab w:val="left" w:pos="547"/>
              </w:tabs>
              <w:spacing w:line="320" w:lineRule="exact"/>
              <w:jc w:val="both"/>
              <w:rPr>
                <w:rFonts w:ascii="Calibri" w:hAnsi="微软雅黑" w:eastAsia="微软雅黑" w:cstheme="majorEastAsia"/>
                <w:kern w:val="2"/>
                <w:sz w:val="21"/>
                <w:szCs w:val="21"/>
              </w:rPr>
            </w:pPr>
            <w:r>
              <w:rPr>
                <w:rFonts w:hint="eastAsia" w:ascii="Calibri" w:hAnsi="微软雅黑" w:eastAsia="微软雅黑" w:cstheme="majorEastAsia"/>
                <w:kern w:val="2"/>
                <w:sz w:val="21"/>
                <w:szCs w:val="21"/>
              </w:rPr>
              <w:t>备注</w:t>
            </w:r>
          </w:p>
        </w:tc>
        <w:tc>
          <w:tcPr>
            <w:tcW w:w="6405" w:type="dxa"/>
            <w:gridSpan w:val="3"/>
            <w:shd w:val="clear" w:color="auto" w:fill="auto"/>
            <w:vAlign w:val="center"/>
          </w:tcPr>
          <w:p>
            <w:pPr>
              <w:tabs>
                <w:tab w:val="left" w:pos="547"/>
              </w:tabs>
              <w:spacing w:line="320" w:lineRule="exact"/>
              <w:jc w:val="both"/>
              <w:rPr>
                <w:rFonts w:ascii="Calibri" w:hAnsi="微软雅黑" w:eastAsia="微软雅黑" w:cstheme="majorEastAsia"/>
                <w:sz w:val="21"/>
                <w:szCs w:val="21"/>
              </w:rPr>
            </w:pPr>
            <w:r>
              <w:rPr>
                <w:rFonts w:hint="eastAsia" w:ascii="Calibri" w:hAnsi="微软雅黑" w:eastAsia="微软雅黑" w:cstheme="majorEastAsia"/>
                <w:sz w:val="21"/>
                <w:szCs w:val="21"/>
              </w:rPr>
              <w:t>以上</w:t>
            </w:r>
            <w:r>
              <w:rPr>
                <w:rFonts w:ascii="Calibri" w:hAnsi="微软雅黑" w:eastAsia="微软雅黑" w:cstheme="majorEastAsia"/>
                <w:sz w:val="21"/>
                <w:szCs w:val="21"/>
              </w:rPr>
              <w:t>耗材</w:t>
            </w:r>
            <w:r>
              <w:rPr>
                <w:rFonts w:hint="eastAsia" w:ascii="Calibri" w:hAnsi="微软雅黑" w:eastAsia="微软雅黑" w:cstheme="majorEastAsia"/>
                <w:sz w:val="21"/>
                <w:szCs w:val="21"/>
              </w:rPr>
              <w:t>均</w:t>
            </w:r>
            <w:r>
              <w:rPr>
                <w:rFonts w:ascii="Calibri" w:hAnsi="微软雅黑" w:eastAsia="微软雅黑" w:cstheme="majorEastAsia"/>
                <w:sz w:val="21"/>
                <w:szCs w:val="21"/>
              </w:rPr>
              <w:t>由供应商提供，合同期满后</w:t>
            </w:r>
            <w:r>
              <w:rPr>
                <w:rFonts w:hint="eastAsia" w:ascii="Calibri" w:hAnsi="微软雅黑" w:eastAsia="微软雅黑" w:cstheme="majorEastAsia"/>
                <w:sz w:val="21"/>
                <w:szCs w:val="21"/>
              </w:rPr>
              <w:t>全部</w:t>
            </w:r>
            <w:r>
              <w:rPr>
                <w:rFonts w:ascii="Calibri" w:hAnsi="微软雅黑" w:eastAsia="微软雅黑" w:cstheme="majorEastAsia"/>
                <w:sz w:val="21"/>
                <w:szCs w:val="21"/>
              </w:rPr>
              <w:t>无偿交付采购人</w:t>
            </w:r>
          </w:p>
        </w:tc>
      </w:tr>
    </w:tbl>
    <w:p>
      <w:pPr>
        <w:pStyle w:val="40"/>
        <w:ind w:firstLine="480" w:firstLineChars="200"/>
        <w:jc w:val="both"/>
        <w:rPr>
          <w:rFonts w:ascii="Arial" w:hAnsi="Arial" w:eastAsia="宋体" w:cs="Arial"/>
          <w:b/>
          <w:color w:val="000000"/>
          <w:sz w:val="24"/>
          <w:szCs w:val="24"/>
        </w:rPr>
      </w:pPr>
      <w:r>
        <w:rPr>
          <w:rFonts w:hint="eastAsia" w:ascii="Arial" w:hAnsi="Arial" w:eastAsia="宋体" w:cs="Arial"/>
          <w:b/>
          <w:color w:val="000000"/>
          <w:sz w:val="24"/>
          <w:szCs w:val="24"/>
        </w:rPr>
        <w:t>（七</w:t>
      </w:r>
      <w:r>
        <w:rPr>
          <w:rFonts w:ascii="Arial" w:hAnsi="Arial" w:eastAsia="宋体" w:cs="Arial"/>
          <w:b/>
          <w:color w:val="000000"/>
          <w:sz w:val="24"/>
          <w:szCs w:val="24"/>
        </w:rPr>
        <w:t>）</w:t>
      </w:r>
      <w:r>
        <w:rPr>
          <w:rFonts w:hint="eastAsia" w:ascii="Arial" w:hAnsi="Arial" w:eastAsia="宋体" w:cs="Arial"/>
          <w:b/>
          <w:color w:val="000000"/>
          <w:sz w:val="24"/>
          <w:szCs w:val="24"/>
        </w:rPr>
        <w:t>人员</w:t>
      </w:r>
      <w:r>
        <w:rPr>
          <w:rFonts w:ascii="Arial" w:hAnsi="Arial" w:eastAsia="宋体" w:cs="Arial"/>
          <w:b/>
          <w:color w:val="000000"/>
          <w:sz w:val="24"/>
          <w:szCs w:val="24"/>
        </w:rPr>
        <w:t>要求</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82"/>
        <w:gridCol w:w="1951"/>
        <w:gridCol w:w="619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2"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sz w:val="21"/>
              </w:rPr>
            </w:pPr>
            <w:r>
              <w:rPr>
                <w:rFonts w:hint="eastAsia" w:ascii="Calibri" w:hAnsi="微软雅黑" w:eastAsia="微软雅黑"/>
                <w:sz w:val="21"/>
              </w:rPr>
              <w:t>岗位</w:t>
            </w:r>
          </w:p>
        </w:tc>
        <w:tc>
          <w:tcPr>
            <w:tcW w:w="1951"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sz w:val="21"/>
              </w:rPr>
            </w:pPr>
            <w:r>
              <w:rPr>
                <w:rFonts w:hint="eastAsia" w:ascii="Calibri" w:hAnsi="微软雅黑" w:eastAsia="微软雅黑"/>
                <w:sz w:val="21"/>
              </w:rPr>
              <w:t>岗位所需总人数</w:t>
            </w:r>
          </w:p>
        </w:tc>
        <w:tc>
          <w:tcPr>
            <w:tcW w:w="619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sz w:val="21"/>
              </w:rPr>
            </w:pPr>
            <w:r>
              <w:rPr>
                <w:rFonts w:hint="eastAsia" w:ascii="Calibri" w:hAnsi="微软雅黑" w:eastAsia="微软雅黑"/>
                <w:sz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2" w:type="dxa"/>
            <w:tcBorders>
              <w:top w:val="single" w:color="auto" w:sz="2" w:space="0"/>
            </w:tcBorders>
            <w:vAlign w:val="center"/>
          </w:tcPr>
          <w:p>
            <w:pPr>
              <w:spacing w:line="320" w:lineRule="exact"/>
              <w:jc w:val="both"/>
              <w:rPr>
                <w:rFonts w:ascii="Calibri" w:hAnsi="微软雅黑" w:eastAsia="微软雅黑"/>
                <w:sz w:val="21"/>
              </w:rPr>
            </w:pPr>
            <w:r>
              <w:rPr>
                <w:rFonts w:hint="eastAsia" w:ascii="Calibri" w:hAnsi="微软雅黑" w:eastAsia="微软雅黑"/>
                <w:sz w:val="21"/>
              </w:rPr>
              <w:t>经理</w:t>
            </w:r>
          </w:p>
        </w:tc>
        <w:tc>
          <w:tcPr>
            <w:tcW w:w="1951" w:type="dxa"/>
            <w:tcBorders>
              <w:top w:val="single" w:color="auto" w:sz="2" w:space="0"/>
            </w:tcBorders>
            <w:vAlign w:val="center"/>
          </w:tcPr>
          <w:p>
            <w:pPr>
              <w:spacing w:line="320" w:lineRule="exact"/>
              <w:jc w:val="both"/>
              <w:rPr>
                <w:rFonts w:ascii="Calibri" w:hAnsi="微软雅黑" w:eastAsia="微软雅黑"/>
                <w:sz w:val="21"/>
              </w:rPr>
            </w:pPr>
            <w:r>
              <w:rPr>
                <w:rFonts w:hint="eastAsia" w:ascii="Calibri" w:hAnsi="微软雅黑" w:eastAsia="微软雅黑"/>
                <w:sz w:val="21"/>
              </w:rPr>
              <w:t>1人负责学院总体工作</w:t>
            </w:r>
          </w:p>
        </w:tc>
        <w:tc>
          <w:tcPr>
            <w:tcW w:w="6190" w:type="dxa"/>
            <w:tcBorders>
              <w:top w:val="single" w:color="auto" w:sz="2" w:space="0"/>
            </w:tcBorders>
            <w:vAlign w:val="center"/>
          </w:tcPr>
          <w:p>
            <w:pPr>
              <w:spacing w:line="320" w:lineRule="exact"/>
              <w:jc w:val="both"/>
              <w:rPr>
                <w:rFonts w:ascii="Calibri" w:hAnsi="微软雅黑" w:eastAsia="微软雅黑"/>
                <w:sz w:val="21"/>
              </w:rPr>
            </w:pPr>
            <w:r>
              <w:rPr>
                <w:rFonts w:hint="eastAsia" w:ascii="Calibri" w:hAnsi="微软雅黑" w:eastAsia="微软雅黑"/>
                <w:sz w:val="21"/>
              </w:rPr>
              <w:t>年龄不超过55周岁、具有全日制本科及以上学历，5年及以上物业管理经验。持有物业管理师或项目经理资格证书（不限颁发机构）。</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2"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主管</w:t>
            </w:r>
          </w:p>
        </w:tc>
        <w:tc>
          <w:tcPr>
            <w:tcW w:w="1951"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4人（各校区1人）</w:t>
            </w:r>
          </w:p>
        </w:tc>
        <w:tc>
          <w:tcPr>
            <w:tcW w:w="6190"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年龄不超过55周岁、具有专科及以上学历，有物业管理相关工作经历3年及以上。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2"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保洁员</w:t>
            </w:r>
          </w:p>
        </w:tc>
        <w:tc>
          <w:tcPr>
            <w:tcW w:w="1951"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83人</w:t>
            </w:r>
          </w:p>
        </w:tc>
        <w:tc>
          <w:tcPr>
            <w:tcW w:w="6190"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年龄不超过60周岁，身心健康，无不良嗜好，上岗前持有健康证，工作认真负责。其中，浴池管理员每校区2人、综合公寓管理员1人。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2" w:type="dxa"/>
            <w:shd w:val="clear" w:color="auto" w:fill="auto"/>
            <w:vAlign w:val="center"/>
          </w:tcPr>
          <w:p>
            <w:pPr>
              <w:spacing w:line="320" w:lineRule="exact"/>
              <w:jc w:val="both"/>
              <w:rPr>
                <w:rFonts w:ascii="Calibri" w:hAnsi="微软雅黑" w:eastAsia="微软雅黑"/>
                <w:sz w:val="21"/>
              </w:rPr>
            </w:pPr>
            <w:r>
              <w:rPr>
                <w:rFonts w:hint="eastAsia" w:ascii="Calibri" w:hAnsi="微软雅黑" w:eastAsia="微软雅黑"/>
                <w:sz w:val="21"/>
              </w:rPr>
              <w:t>管道工</w:t>
            </w:r>
          </w:p>
        </w:tc>
        <w:tc>
          <w:tcPr>
            <w:tcW w:w="1951" w:type="dxa"/>
            <w:shd w:val="clear" w:color="auto" w:fill="auto"/>
            <w:vAlign w:val="center"/>
          </w:tcPr>
          <w:p>
            <w:pPr>
              <w:spacing w:line="320" w:lineRule="exact"/>
              <w:jc w:val="both"/>
              <w:rPr>
                <w:rFonts w:ascii="Calibri" w:hAnsi="微软雅黑" w:eastAsia="微软雅黑"/>
                <w:sz w:val="21"/>
              </w:rPr>
            </w:pPr>
            <w:r>
              <w:rPr>
                <w:rFonts w:hint="eastAsia" w:ascii="Calibri" w:hAnsi="微软雅黑" w:eastAsia="微软雅黑"/>
                <w:sz w:val="21"/>
              </w:rPr>
              <w:t>4人（各校区1人）</w:t>
            </w:r>
          </w:p>
        </w:tc>
        <w:tc>
          <w:tcPr>
            <w:tcW w:w="6190" w:type="dxa"/>
            <w:shd w:val="clear" w:color="auto" w:fill="auto"/>
            <w:vAlign w:val="center"/>
          </w:tcPr>
          <w:p>
            <w:pPr>
              <w:spacing w:line="320" w:lineRule="exact"/>
              <w:jc w:val="both"/>
              <w:rPr>
                <w:rFonts w:ascii="Calibri" w:hAnsi="微软雅黑" w:eastAsia="微软雅黑"/>
                <w:sz w:val="21"/>
              </w:rPr>
            </w:pPr>
            <w:r>
              <w:rPr>
                <w:rFonts w:hint="eastAsia" w:ascii="Calibri" w:hAnsi="微软雅黑" w:eastAsia="微软雅黑"/>
                <w:sz w:val="21"/>
              </w:rPr>
              <w:t>年龄不超过55周岁，有相关工作经历，持有管道工或水工证书（不限颁发机构），上岗前持有健康证，技术熟练，工作责任心强。管道工负责洗手池、便池的疏通工作。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2"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中型扫地车驾驶员</w:t>
            </w:r>
          </w:p>
        </w:tc>
        <w:tc>
          <w:tcPr>
            <w:tcW w:w="1951"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1人</w:t>
            </w:r>
          </w:p>
        </w:tc>
        <w:tc>
          <w:tcPr>
            <w:tcW w:w="6190" w:type="dxa"/>
            <w:vAlign w:val="center"/>
          </w:tcPr>
          <w:p>
            <w:pPr>
              <w:spacing w:line="320" w:lineRule="exact"/>
              <w:jc w:val="both"/>
              <w:rPr>
                <w:rFonts w:ascii="Calibri" w:hAnsi="微软雅黑" w:eastAsia="微软雅黑"/>
                <w:sz w:val="21"/>
              </w:rPr>
            </w:pPr>
            <w:r>
              <w:rPr>
                <w:rFonts w:hint="eastAsia" w:ascii="Calibri" w:hAnsi="微软雅黑" w:eastAsia="微软雅黑"/>
                <w:sz w:val="21"/>
              </w:rPr>
              <w:t>年龄不超过60周岁，持有《机动车驾驶证》（B2证及以上）,上岗前持有健康证，技术熟练，工作责任心强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923" w:type="dxa"/>
            <w:gridSpan w:val="3"/>
            <w:vAlign w:val="center"/>
          </w:tcPr>
          <w:p>
            <w:pPr>
              <w:spacing w:line="320" w:lineRule="exact"/>
              <w:jc w:val="both"/>
              <w:rPr>
                <w:rFonts w:ascii="Calibri" w:hAnsi="微软雅黑" w:eastAsia="微软雅黑"/>
                <w:sz w:val="21"/>
              </w:rPr>
            </w:pPr>
            <w:r>
              <w:rPr>
                <w:rFonts w:hint="eastAsia" w:ascii="Calibri" w:hAnsi="微软雅黑" w:eastAsia="微软雅黑"/>
                <w:sz w:val="21"/>
              </w:rPr>
              <w:t>备注：在采用新工艺新设备且能保证学院保洁服务要求的前提下，经双方商议根据实际工作需求适当增减人员配置。</w:t>
            </w:r>
          </w:p>
        </w:tc>
      </w:tr>
    </w:tbl>
    <w:p>
      <w:pPr>
        <w:pStyle w:val="3"/>
        <w:jc w:val="both"/>
      </w:pPr>
      <w:r>
        <w:rPr>
          <w:rFonts w:hint="eastAsia"/>
        </w:rPr>
        <w:t>四、商务要求</w:t>
      </w:r>
    </w:p>
    <w:p>
      <w:pPr>
        <w:ind w:firstLine="480" w:firstLineChars="200"/>
        <w:jc w:val="both"/>
      </w:pPr>
      <w:r>
        <w:rPr>
          <w:rFonts w:hint="eastAsia"/>
        </w:rPr>
        <w:t>服务期：自合同签订之日起1年。</w:t>
      </w:r>
    </w:p>
    <w:p>
      <w:pPr>
        <w:pStyle w:val="3"/>
        <w:jc w:val="both"/>
      </w:pPr>
      <w:r>
        <w:t>五、</w:t>
      </w:r>
      <w:r>
        <w:rPr>
          <w:rFonts w:hint="eastAsia"/>
        </w:rPr>
        <w:t>考核</w:t>
      </w:r>
      <w:r>
        <w:t>要求</w:t>
      </w:r>
    </w:p>
    <w:p>
      <w:pPr>
        <w:pStyle w:val="81"/>
        <w:ind w:firstLine="0" w:firstLineChars="0"/>
        <w:jc w:val="center"/>
        <w:rPr>
          <w:rFonts w:ascii="宋体" w:hAnsi="宋体" w:cs="宋体"/>
          <w:b/>
          <w:color w:val="000000" w:themeColor="text1"/>
        </w:rPr>
      </w:pPr>
      <w:r>
        <w:rPr>
          <w:rFonts w:hint="eastAsia"/>
          <w:b/>
          <w:color w:val="000000" w:themeColor="text1"/>
        </w:rPr>
        <w:t>物业服务考核评分标准（月度）（满分100分）</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050"/>
        <w:gridCol w:w="4580"/>
        <w:gridCol w:w="534"/>
        <w:gridCol w:w="1843"/>
        <w:gridCol w:w="425"/>
        <w:gridCol w:w="49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宋体"/>
                <w:b/>
                <w:color w:val="000000" w:themeColor="text1"/>
                <w:sz w:val="18"/>
                <w:szCs w:val="18"/>
              </w:rPr>
            </w:pPr>
            <w:r>
              <w:rPr>
                <w:rFonts w:hint="eastAsia" w:ascii="Calibri" w:hAnsi="微软雅黑" w:eastAsia="微软雅黑" w:cs="宋体"/>
                <w:b/>
                <w:color w:val="000000" w:themeColor="text1"/>
                <w:sz w:val="18"/>
                <w:szCs w:val="18"/>
              </w:rPr>
              <w:t>服务</w:t>
            </w:r>
          </w:p>
        </w:tc>
        <w:tc>
          <w:tcPr>
            <w:tcW w:w="458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宋体"/>
                <w:b/>
                <w:color w:val="000000" w:themeColor="text1"/>
                <w:sz w:val="18"/>
                <w:szCs w:val="18"/>
              </w:rPr>
            </w:pPr>
            <w:r>
              <w:rPr>
                <w:rFonts w:hint="eastAsia" w:ascii="Calibri" w:hAnsi="微软雅黑" w:eastAsia="微软雅黑" w:cs="宋体"/>
                <w:b/>
                <w:color w:val="000000" w:themeColor="text1"/>
                <w:sz w:val="18"/>
                <w:szCs w:val="18"/>
              </w:rPr>
              <w:t>服务考评标准内容</w:t>
            </w:r>
          </w:p>
        </w:tc>
        <w:tc>
          <w:tcPr>
            <w:tcW w:w="53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宋体"/>
                <w:b/>
                <w:color w:val="000000" w:themeColor="text1"/>
                <w:sz w:val="18"/>
                <w:szCs w:val="18"/>
              </w:rPr>
            </w:pPr>
            <w:r>
              <w:rPr>
                <w:rFonts w:hint="eastAsia" w:ascii="Calibri" w:hAnsi="微软雅黑" w:eastAsia="微软雅黑" w:cs="宋体"/>
                <w:b/>
                <w:color w:val="000000" w:themeColor="text1"/>
                <w:sz w:val="18"/>
                <w:szCs w:val="18"/>
              </w:rPr>
              <w:t>分值</w:t>
            </w:r>
          </w:p>
        </w:tc>
        <w:tc>
          <w:tcPr>
            <w:tcW w:w="1843"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宋体"/>
                <w:b/>
                <w:color w:val="000000" w:themeColor="text1"/>
                <w:sz w:val="18"/>
                <w:szCs w:val="18"/>
              </w:rPr>
            </w:pPr>
            <w:r>
              <w:rPr>
                <w:rFonts w:hint="eastAsia" w:ascii="Calibri" w:hAnsi="微软雅黑" w:eastAsia="微软雅黑" w:cs="宋体"/>
                <w:b/>
                <w:color w:val="000000" w:themeColor="text1"/>
                <w:sz w:val="18"/>
                <w:szCs w:val="18"/>
              </w:rPr>
              <w:t>考评评分标准</w:t>
            </w:r>
          </w:p>
        </w:tc>
        <w:tc>
          <w:tcPr>
            <w:tcW w:w="425"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宋体"/>
                <w:b/>
                <w:color w:val="000000" w:themeColor="text1"/>
                <w:sz w:val="18"/>
                <w:szCs w:val="18"/>
              </w:rPr>
            </w:pPr>
            <w:r>
              <w:rPr>
                <w:rFonts w:hint="eastAsia" w:ascii="Calibri" w:hAnsi="微软雅黑" w:eastAsia="微软雅黑" w:cs="宋体"/>
                <w:b/>
                <w:color w:val="000000" w:themeColor="text1"/>
                <w:sz w:val="18"/>
                <w:szCs w:val="18"/>
              </w:rPr>
              <w:t>自评</w:t>
            </w:r>
          </w:p>
        </w:tc>
        <w:tc>
          <w:tcPr>
            <w:tcW w:w="491"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宋体"/>
                <w:b/>
                <w:color w:val="000000" w:themeColor="text1"/>
                <w:sz w:val="18"/>
                <w:szCs w:val="18"/>
              </w:rPr>
            </w:pPr>
            <w:r>
              <w:rPr>
                <w:rFonts w:hint="eastAsia" w:ascii="Calibri" w:hAnsi="微软雅黑" w:eastAsia="微软雅黑" w:cs="宋体"/>
                <w:b/>
                <w:color w:val="000000" w:themeColor="text1"/>
                <w:sz w:val="18"/>
                <w:szCs w:val="18"/>
              </w:rPr>
              <w:t>考核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tcBorders>
              <w:top w:val="single" w:color="auto" w:sz="2" w:space="0"/>
            </w:tcBorders>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室内室外保洁服务要求</w:t>
            </w:r>
          </w:p>
        </w:tc>
        <w:tc>
          <w:tcPr>
            <w:tcW w:w="4580" w:type="dxa"/>
            <w:tcBorders>
              <w:top w:val="single" w:color="auto" w:sz="2" w:space="0"/>
            </w:tcBorders>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1.各楼宇内公共区域地面、天花、楼梯、扶手、窗户、玻璃、纱窗、墙面附属物及走廊内设施设备的卫生保洁工作。</w:t>
            </w:r>
          </w:p>
        </w:tc>
        <w:tc>
          <w:tcPr>
            <w:tcW w:w="534" w:type="dxa"/>
            <w:tcBorders>
              <w:top w:val="single" w:color="auto" w:sz="2" w:space="0"/>
            </w:tcBorders>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tcBorders>
              <w:top w:val="single" w:color="auto" w:sz="2" w:space="0"/>
            </w:tcBorders>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tcBorders>
              <w:top w:val="single" w:color="auto" w:sz="2" w:space="0"/>
            </w:tcBorders>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tcBorders>
              <w:top w:val="single" w:color="auto" w:sz="2" w:space="0"/>
            </w:tcBorders>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室内室外保洁服务要求</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各楼宇楼顶及屋面等部位的卫生清洁。公共卫生间地面、天花、墙面的清扫保洁、下水疏通、门帘制作、更换、清洗及纱窗维修、清洗工作。其中，办公场所公共卫生间配备感应全自动烘手机、壁挂式擦手纸巾盒、壁挂卷纸盒、壁挂洗手液盒、纸篓、擦手纸、卷纸、洗手液、芳香球及香薰机。合同到期后不得拆卸、移除、损毁。</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ascii="Calibri" w:hAnsi="微软雅黑" w:eastAsia="微软雅黑"/>
                <w:color w:val="000000" w:themeColor="text1"/>
                <w:sz w:val="18"/>
                <w:szCs w:val="18"/>
              </w:rPr>
              <mc:AlternateContent>
                <mc:Choice Requires="wps">
                  <w:drawing>
                    <wp:anchor distT="0" distB="0" distL="114300" distR="114300" simplePos="0" relativeHeight="251661312" behindDoc="0" locked="0" layoutInCell="1" allowOverlap="1">
                      <wp:simplePos x="0" y="0"/>
                      <wp:positionH relativeFrom="column">
                        <wp:posOffset>20478115</wp:posOffset>
                      </wp:positionH>
                      <wp:positionV relativeFrom="paragraph">
                        <wp:posOffset>929056435</wp:posOffset>
                      </wp:positionV>
                      <wp:extent cx="0" cy="0"/>
                      <wp:effectExtent l="0" t="0" r="0" b="0"/>
                      <wp:wrapNone/>
                      <wp:docPr id="3" name="墨迹 10"/>
                      <wp:cNvGraphicFramePr/>
                      <a:graphic xmlns:a="http://schemas.openxmlformats.org/drawingml/2006/main">
                        <a:graphicData uri="http://schemas.microsoft.com/office/word/2010/wordprocessingInk">
                          <mc:AlternateContent xmlns:a14="http://schemas.microsoft.com/office/drawing/2010/main">
                            <mc:Choice Requires="a14">
                              <w14:contentPart bwMode="clr" r:id="rId34">
                                <w14:nvContentPartPr>
                                  <w14:cNvPr id="3" name="墨迹 10"/>
                                  <w14:cNvContentPartPr/>
                                </w14:nvContentPartPr>
                                <w14:xfrm>
                                  <a:off x="0" y="0"/>
                                  <a:ext cx="0" cy="0"/>
                                </w14:xfrm>
                              </w14:contentPart>
                            </mc:Choice>
                          </mc:AlternateContent>
                        </a:graphicData>
                      </a:graphic>
                    </wp:anchor>
                  </w:drawing>
                </mc:Choice>
                <mc:Fallback>
                  <w:pict>
                    <v:shape id="墨迹 10" o:spid="_x0000_s1026" o:spt="75" style="position:absolute;left:0pt;margin-left:1612.45pt;margin-top:73154.05pt;height:0pt;width:0pt;z-index:251661312;mso-width-relative:page;mso-height-relative:page;" coordsize="21600,21600" o:gfxdata="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">
                      <v:imagedata r:id="rId35"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60288" behindDoc="0" locked="0" layoutInCell="1" allowOverlap="1">
                      <wp:simplePos x="0" y="0"/>
                      <wp:positionH relativeFrom="column">
                        <wp:posOffset>21792565</wp:posOffset>
                      </wp:positionH>
                      <wp:positionV relativeFrom="paragraph">
                        <wp:posOffset>931341800</wp:posOffset>
                      </wp:positionV>
                      <wp:extent cx="0" cy="0"/>
                      <wp:effectExtent l="0" t="0" r="0" b="0"/>
                      <wp:wrapNone/>
                      <wp:docPr id="2" name="墨迹 2"/>
                      <wp:cNvGraphicFramePr/>
                      <a:graphic xmlns:a="http://schemas.openxmlformats.org/drawingml/2006/main">
                        <a:graphicData uri="http://schemas.microsoft.com/office/word/2010/wordprocessingInk">
                          <mc:AlternateContent xmlns:a14="http://schemas.microsoft.com/office/drawing/2010/main">
                            <mc:Choice Requires="a14">
                              <w14:contentPart bwMode="clr" r:id="rId36">
                                <w14:nvContentPartPr>
                                  <w14:cNvPr id="2" name="墨迹 2"/>
                                  <w14:cNvContentPartPr/>
                                </w14:nvContentPartPr>
                                <w14:xfrm>
                                  <a:off x="0" y="0"/>
                                  <a:ext cx="0" cy="0"/>
                                </w14:xfrm>
                              </w14:contentPart>
                            </mc:Choice>
                          </mc:AlternateContent>
                        </a:graphicData>
                      </a:graphic>
                    </wp:anchor>
                  </w:drawing>
                </mc:Choice>
                <mc:Fallback>
                  <w:pict>
                    <v:shape id="_x0000_s1026" o:spid="_x0000_s1026" o:spt="75" style="position:absolute;left:0pt;margin-left:1715.95pt;margin-top:73334pt;height:0pt;width:0pt;z-index:251660288;mso-width-relative:page;mso-height-relative:page;" coordsize="21600,21600" o:gfxdata="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">
                      <v:imagedata r:id="rId37"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59264" behindDoc="0" locked="0" layoutInCell="1" allowOverlap="1">
                      <wp:simplePos x="0" y="0"/>
                      <wp:positionH relativeFrom="column">
                        <wp:posOffset>20649565</wp:posOffset>
                      </wp:positionH>
                      <wp:positionV relativeFrom="paragraph">
                        <wp:posOffset>931301795</wp:posOffset>
                      </wp:positionV>
                      <wp:extent cx="0" cy="0"/>
                      <wp:effectExtent l="0" t="0" r="0" b="0"/>
                      <wp:wrapNone/>
                      <wp:docPr id="1" name="墨迹 1"/>
                      <wp:cNvGraphicFramePr/>
                      <a:graphic xmlns:a="http://schemas.openxmlformats.org/drawingml/2006/main">
                        <a:graphicData uri="http://schemas.microsoft.com/office/word/2010/wordprocessingInk">
                          <mc:AlternateContent xmlns:a14="http://schemas.microsoft.com/office/drawing/2010/main">
                            <mc:Choice Requires="a14">
                              <w14:contentPart bwMode="clr" r:id="rId38">
                                <w14:nvContentPartPr>
                                  <w14:cNvPr id="1" name="墨迹 1"/>
                                  <w14:cNvContentPartPr/>
                                </w14:nvContentPartPr>
                                <w14:xfrm>
                                  <a:off x="0" y="0"/>
                                  <a:ext cx="0" cy="0"/>
                                </w14:xfrm>
                              </w14:contentPart>
                            </mc:Choice>
                          </mc:AlternateContent>
                        </a:graphicData>
                      </a:graphic>
                    </wp:anchor>
                  </w:drawing>
                </mc:Choice>
                <mc:Fallback>
                  <w:pict>
                    <v:shape id="_x0000_s1026" o:spid="_x0000_s1026" o:spt="75" style="position:absolute;left:0pt;margin-left:1625.95pt;margin-top:73330.85pt;height:0pt;width:0pt;z-index:251659264;mso-width-relative:page;mso-height-relative:page;" coordsize="21600,21600" o:gfxdata="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">
                      <v:imagedata r:id="rId37" o:title=""/>
                      <o:lock v:ext="edit"/>
                    </v:shape>
                  </w:pict>
                </mc:Fallback>
              </mc:AlternateConten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所有电梯（含电梯门、轨道、轿箱体内）的保洁工作。一层外墙墙面、楼面、玻璃门、玻璃门厅、阳台的保洁、清洁与冲洗工作。同时清理服务区域内违规、过期的张贴物，以保障服务区域内外墙壁及门窗的洁净。</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发现污渍一次扣0.5分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4.所有室内垃圾桶内、外壁保洁、管护、消毒、日常维修及破损更换工作；垃圾桶灭烟盒内石子的补充、更换、清洗等工作。</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5.负责保洁区域内所有公共建筑设施设备报修及学生教室、宿舍窗帘的轨道、挂钩损坏维修工作。（维修材料由学校支出）</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6.负责办公区域及浴池需按学校要求的开放时间营业并做好日常管理。负责浴池日常清洁，保持整洁无杂物。负责日常消毒，每日检查设施设备情况，如有故障及时向学校报修。</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7.综合楼保洁员实行24小时值班制度，并负责楼内楼道、楼梯、卫生间等公共区域的日常保洁工作。</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室内室外保洁服务要求</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8.校园室外的清扫、保洁工作。包括：道路路面、人行道、停车场、楼宇散水、雨棚、屋檐、楼顶、广场等的清扫、保洁工作，校园内绿化带内白色垃圾捡拾工作。</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9.校园主干道的定时洒水（每天早、午两次，雨雪、室外温度0℃以下的天气除外）；道路冲刷工作根据实际情况据实安排，保持道路干净无杂物。</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10.校园所有墙体、灯杆、行道树、宣传栏内的违规、过期张贴物、条幅等的清理工作,每天检查及时清理。</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11.运动场所看台、场地、训练器材公共环境的清洁、保洁工作，每天1次。</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室内室外保洁服务要求</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12.及时清理雨水井及周围的杂物。</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ascii="Calibri" w:hAnsi="微软雅黑" w:eastAsia="微软雅黑"/>
                <w:color w:val="000000" w:themeColor="text1"/>
                <w:sz w:val="18"/>
                <w:szCs w:val="18"/>
              </w:rPr>
              <mc:AlternateContent>
                <mc:Choice Requires="wps">
                  <w:drawing>
                    <wp:anchor distT="0" distB="0" distL="114300" distR="114300" simplePos="0" relativeHeight="251662336" behindDoc="0" locked="0" layoutInCell="1" allowOverlap="1">
                      <wp:simplePos x="0" y="0"/>
                      <wp:positionH relativeFrom="column">
                        <wp:posOffset>17276445</wp:posOffset>
                      </wp:positionH>
                      <wp:positionV relativeFrom="paragraph">
                        <wp:posOffset>953996060</wp:posOffset>
                      </wp:positionV>
                      <wp:extent cx="0" cy="0"/>
                      <wp:effectExtent l="0" t="0" r="0" b="0"/>
                      <wp:wrapNone/>
                      <wp:docPr id="4" name="墨迹 11"/>
                      <wp:cNvGraphicFramePr/>
                      <a:graphic xmlns:a="http://schemas.openxmlformats.org/drawingml/2006/main">
                        <a:graphicData uri="http://schemas.microsoft.com/office/word/2010/wordprocessingInk">
                          <mc:AlternateContent xmlns:a14="http://schemas.microsoft.com/office/drawing/2010/main">
                            <mc:Choice Requires="a14">
                              <w14:contentPart bwMode="clr" r:id="rId39">
                                <w14:nvContentPartPr>
                                  <w14:cNvPr id="4" name="墨迹 11"/>
                                  <w14:cNvContentPartPr/>
                                </w14:nvContentPartPr>
                                <w14:xfrm>
                                  <a:off x="0" y="0"/>
                                  <a:ext cx="0" cy="0"/>
                                </w14:xfrm>
                              </w14:contentPart>
                            </mc:Choice>
                          </mc:AlternateContent>
                        </a:graphicData>
                      </a:graphic>
                    </wp:anchor>
                  </w:drawing>
                </mc:Choice>
                <mc:Fallback>
                  <w:pict>
                    <v:shape id="墨迹 11" o:spid="_x0000_s1026" o:spt="75" style="position:absolute;left:0pt;margin-left:1360.35pt;margin-top:75117.8pt;height:0pt;width:0pt;z-index:251662336;mso-width-relative:page;mso-height-relative:page;" coordsize="21600,21600" o:gfxdata="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">
                      <v:imagedata r:id="rId35" o:title=""/>
                      <o:lock v:ext="edit"/>
                    </v:shape>
                  </w:pict>
                </mc:Fallback>
              </mc:AlternateContent>
            </w:r>
            <w:r>
              <w:rPr>
                <w:rFonts w:hint="eastAsia" w:ascii="Calibri" w:hAnsi="微软雅黑" w:eastAsia="微软雅黑" w:cs="宋体"/>
                <w:color w:val="000000" w:themeColor="text1"/>
                <w:sz w:val="18"/>
                <w:szCs w:val="18"/>
              </w:rPr>
              <w:t>不配合或校园活动开展不足要求的扣0.5分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ascii="Calibri" w:hAnsi="微软雅黑" w:eastAsia="微软雅黑"/>
                <w:color w:val="000000" w:themeColor="text1"/>
                <w:sz w:val="18"/>
                <w:szCs w:val="18"/>
              </w:rPr>
              <mc:AlternateContent>
                <mc:Choice Requires="wps">
                  <w:drawing>
                    <wp:anchor distT="0" distB="0" distL="114300" distR="114300" simplePos="0" relativeHeight="251668480" behindDoc="0" locked="0" layoutInCell="1" allowOverlap="1">
                      <wp:simplePos x="0" y="0"/>
                      <wp:positionH relativeFrom="column">
                        <wp:posOffset>770890</wp:posOffset>
                      </wp:positionH>
                      <wp:positionV relativeFrom="paragraph">
                        <wp:posOffset>570230</wp:posOffset>
                      </wp:positionV>
                      <wp:extent cx="7081520" cy="9131300"/>
                      <wp:effectExtent l="6350" t="6350" r="0" b="0"/>
                      <wp:wrapNone/>
                      <wp:docPr id="10" name="墨迹 19"/>
                      <wp:cNvGraphicFramePr/>
                      <a:graphic xmlns:a="http://schemas.openxmlformats.org/drawingml/2006/main">
                        <a:graphicData uri="http://schemas.microsoft.com/office/word/2010/wordprocessingInk">
                          <mc:AlternateContent xmlns:a14="http://schemas.microsoft.com/office/drawing/2010/main">
                            <mc:Choice Requires="a14">
                              <w14:contentPart bwMode="clr" r:id="rId40">
                                <w14:nvContentPartPr>
                                  <w14:cNvPr id="10" name="墨迹 19"/>
                                  <w14:cNvContentPartPr/>
                                </w14:nvContentPartPr>
                                <w14:xfrm>
                                  <a:off x="0" y="0"/>
                                  <a:ext cx="7081520" cy="9131300"/>
                                </w14:xfrm>
                              </w14:contentPart>
                            </mc:Choice>
                          </mc:AlternateContent>
                        </a:graphicData>
                      </a:graphic>
                    </wp:anchor>
                  </w:drawing>
                </mc:Choice>
                <mc:Fallback>
                  <w:pict>
                    <v:shape id="墨迹 19" o:spid="_x0000_s1026" o:spt="75" style="position:absolute;left:0pt;margin-left:60.7pt;margin-top:44.9pt;height:719pt;width:557.6pt;z-index:251668480;mso-width-relative:page;mso-height-relative:page;" coordsize="21600,21600" o:gfxdata="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&#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">
                      <v:imagedata r:id="rId41"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67456" behindDoc="0" locked="0" layoutInCell="1" allowOverlap="1">
                      <wp:simplePos x="0" y="0"/>
                      <wp:positionH relativeFrom="column">
                        <wp:posOffset>20220940</wp:posOffset>
                      </wp:positionH>
                      <wp:positionV relativeFrom="paragraph">
                        <wp:posOffset>953982725</wp:posOffset>
                      </wp:positionV>
                      <wp:extent cx="0" cy="0"/>
                      <wp:effectExtent l="0" t="0" r="0" b="0"/>
                      <wp:wrapNone/>
                      <wp:docPr id="9" name="墨迹 16"/>
                      <wp:cNvGraphicFramePr/>
                      <a:graphic xmlns:a="http://schemas.openxmlformats.org/drawingml/2006/main">
                        <a:graphicData uri="http://schemas.microsoft.com/office/word/2010/wordprocessingInk">
                          <mc:AlternateContent xmlns:a14="http://schemas.microsoft.com/office/drawing/2010/main">
                            <mc:Choice Requires="a14">
                              <w14:contentPart bwMode="clr" r:id="rId42">
                                <w14:nvContentPartPr>
                                  <w14:cNvPr id="9" name="墨迹 16"/>
                                  <w14:cNvContentPartPr/>
                                </w14:nvContentPartPr>
                                <w14:xfrm>
                                  <a:off x="0" y="0"/>
                                  <a:ext cx="0" cy="0"/>
                                </w14:xfrm>
                              </w14:contentPart>
                            </mc:Choice>
                          </mc:AlternateContent>
                        </a:graphicData>
                      </a:graphic>
                    </wp:anchor>
                  </w:drawing>
                </mc:Choice>
                <mc:Fallback>
                  <w:pict>
                    <v:shape id="墨迹 16" o:spid="_x0000_s1026" o:spt="75" style="position:absolute;left:0pt;margin-left:1592.2pt;margin-top:75116.75pt;height:0pt;width:0pt;z-index:251667456;mso-width-relative:page;mso-height-relative:page;" coordsize="21600,21600" o:gfxdata="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">
                      <v:imagedata r:id="rId35"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66432" behindDoc="0" locked="0" layoutInCell="1" allowOverlap="1">
                      <wp:simplePos x="0" y="0"/>
                      <wp:positionH relativeFrom="column">
                        <wp:posOffset>19820890</wp:posOffset>
                      </wp:positionH>
                      <wp:positionV relativeFrom="paragraph">
                        <wp:posOffset>953891285</wp:posOffset>
                      </wp:positionV>
                      <wp:extent cx="0" cy="0"/>
                      <wp:effectExtent l="0" t="0" r="0" b="0"/>
                      <wp:wrapNone/>
                      <wp:docPr id="8" name="墨迹 15"/>
                      <wp:cNvGraphicFramePr/>
                      <a:graphic xmlns:a="http://schemas.openxmlformats.org/drawingml/2006/main">
                        <a:graphicData uri="http://schemas.microsoft.com/office/word/2010/wordprocessingInk">
                          <mc:AlternateContent xmlns:a14="http://schemas.microsoft.com/office/drawing/2010/main">
                            <mc:Choice Requires="a14">
                              <w14:contentPart bwMode="clr" r:id="rId43">
                                <w14:nvContentPartPr>
                                  <w14:cNvPr id="8" name="墨迹 15"/>
                                  <w14:cNvContentPartPr/>
                                </w14:nvContentPartPr>
                                <w14:xfrm>
                                  <a:off x="0" y="0"/>
                                  <a:ext cx="0" cy="0"/>
                                </w14:xfrm>
                              </w14:contentPart>
                            </mc:Choice>
                          </mc:AlternateContent>
                        </a:graphicData>
                      </a:graphic>
                    </wp:anchor>
                  </w:drawing>
                </mc:Choice>
                <mc:Fallback>
                  <w:pict>
                    <v:shape id="墨迹 15" o:spid="_x0000_s1026" o:spt="75" style="position:absolute;left:0pt;margin-left:1560.7pt;margin-top:75109.55pt;height:0pt;width:0pt;z-index:251666432;mso-width-relative:page;mso-height-relative:page;" coordsize="21600,21600" o:gfxdata="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">
                      <v:imagedata r:id="rId37"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65408" behindDoc="0" locked="0" layoutInCell="1" allowOverlap="1">
                      <wp:simplePos x="0" y="0"/>
                      <wp:positionH relativeFrom="column">
                        <wp:posOffset>21421090</wp:posOffset>
                      </wp:positionH>
                      <wp:positionV relativeFrom="paragraph">
                        <wp:posOffset>952776860</wp:posOffset>
                      </wp:positionV>
                      <wp:extent cx="0" cy="0"/>
                      <wp:effectExtent l="0" t="0" r="0" b="0"/>
                      <wp:wrapNone/>
                      <wp:docPr id="7" name="墨迹 14"/>
                      <wp:cNvGraphicFramePr/>
                      <a:graphic xmlns:a="http://schemas.openxmlformats.org/drawingml/2006/main">
                        <a:graphicData uri="http://schemas.microsoft.com/office/word/2010/wordprocessingInk">
                          <mc:AlternateContent xmlns:a14="http://schemas.microsoft.com/office/drawing/2010/main">
                            <mc:Choice Requires="a14">
                              <w14:contentPart bwMode="clr" r:id="rId44">
                                <w14:nvContentPartPr>
                                  <w14:cNvPr id="7" name="墨迹 14"/>
                                  <w14:cNvContentPartPr/>
                                </w14:nvContentPartPr>
                                <w14:xfrm>
                                  <a:off x="0" y="0"/>
                                  <a:ext cx="0" cy="0"/>
                                </w14:xfrm>
                              </w14:contentPart>
                            </mc:Choice>
                          </mc:AlternateContent>
                        </a:graphicData>
                      </a:graphic>
                    </wp:anchor>
                  </w:drawing>
                </mc:Choice>
                <mc:Fallback>
                  <w:pict>
                    <v:shape id="墨迹 14" o:spid="_x0000_s1026" o:spt="75" style="position:absolute;left:0pt;margin-left:1686.7pt;margin-top:75021.8pt;height:0pt;width:0pt;z-index:251665408;mso-width-relative:page;mso-height-relative:page;" coordsize="21600,21600" o:gfxdata="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">
                      <v:imagedata r:id="rId45"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64384" behindDoc="0" locked="0" layoutInCell="1" allowOverlap="1">
                      <wp:simplePos x="0" y="0"/>
                      <wp:positionH relativeFrom="column">
                        <wp:posOffset>20620990</wp:posOffset>
                      </wp:positionH>
                      <wp:positionV relativeFrom="paragraph">
                        <wp:posOffset>952976885</wp:posOffset>
                      </wp:positionV>
                      <wp:extent cx="0" cy="0"/>
                      <wp:effectExtent l="0" t="0" r="0" b="0"/>
                      <wp:wrapNone/>
                      <wp:docPr id="6" name="墨迹 13"/>
                      <wp:cNvGraphicFramePr/>
                      <a:graphic xmlns:a="http://schemas.openxmlformats.org/drawingml/2006/main">
                        <a:graphicData uri="http://schemas.microsoft.com/office/word/2010/wordprocessingInk">
                          <mc:AlternateContent xmlns:a14="http://schemas.microsoft.com/office/drawing/2010/main">
                            <mc:Choice Requires="a14">
                              <w14:contentPart bwMode="clr" r:id="rId46">
                                <w14:nvContentPartPr>
                                  <w14:cNvPr id="6" name="墨迹 13"/>
                                  <w14:cNvContentPartPr/>
                                </w14:nvContentPartPr>
                                <w14:xfrm>
                                  <a:off x="0" y="0"/>
                                  <a:ext cx="0" cy="0"/>
                                </w14:xfrm>
                              </w14:contentPart>
                            </mc:Choice>
                          </mc:AlternateContent>
                        </a:graphicData>
                      </a:graphic>
                    </wp:anchor>
                  </w:drawing>
                </mc:Choice>
                <mc:Fallback>
                  <w:pict>
                    <v:shape id="墨迹 13" o:spid="_x0000_s1026" o:spt="75" style="position:absolute;left:0pt;margin-left:1623.7pt;margin-top:75037.55pt;height:0pt;width:0pt;z-index:251664384;mso-width-relative:page;mso-height-relative:page;" coordsize="21600,21600" o:gfxdata="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">
                      <v:imagedata r:id="rId47" o:title=""/>
                      <o:lock v:ext="edit"/>
                    </v:shape>
                  </w:pict>
                </mc:Fallback>
              </mc:AlternateContent>
            </w:r>
            <w:r>
              <w:rPr>
                <w:rFonts w:ascii="Calibri" w:hAnsi="微软雅黑" w:eastAsia="微软雅黑"/>
                <w:color w:val="000000" w:themeColor="text1"/>
                <w:sz w:val="18"/>
                <w:szCs w:val="18"/>
              </w:rPr>
              <mc:AlternateContent>
                <mc:Choice Requires="wps">
                  <w:drawing>
                    <wp:anchor distT="0" distB="0" distL="114300" distR="114300" simplePos="0" relativeHeight="251663360" behindDoc="0" locked="0" layoutInCell="1" allowOverlap="1">
                      <wp:simplePos x="0" y="0"/>
                      <wp:positionH relativeFrom="column">
                        <wp:posOffset>20620990</wp:posOffset>
                      </wp:positionH>
                      <wp:positionV relativeFrom="paragraph">
                        <wp:posOffset>952976885</wp:posOffset>
                      </wp:positionV>
                      <wp:extent cx="0" cy="0"/>
                      <wp:effectExtent l="0" t="0" r="0" b="0"/>
                      <wp:wrapNone/>
                      <wp:docPr id="5" name="墨迹 12"/>
                      <wp:cNvGraphicFramePr/>
                      <a:graphic xmlns:a="http://schemas.openxmlformats.org/drawingml/2006/main">
                        <a:graphicData uri="http://schemas.microsoft.com/office/word/2010/wordprocessingInk">
                          <mc:AlternateContent xmlns:a14="http://schemas.microsoft.com/office/drawing/2010/main">
                            <mc:Choice Requires="a14">
                              <w14:contentPart bwMode="clr" r:id="rId48">
                                <w14:nvContentPartPr>
                                  <w14:cNvPr id="5" name="墨迹 12"/>
                                  <w14:cNvContentPartPr/>
                                </w14:nvContentPartPr>
                                <w14:xfrm>
                                  <a:off x="0" y="0"/>
                                  <a:ext cx="0" cy="0"/>
                                </w14:xfrm>
                              </w14:contentPart>
                            </mc:Choice>
                          </mc:AlternateContent>
                        </a:graphicData>
                      </a:graphic>
                    </wp:anchor>
                  </w:drawing>
                </mc:Choice>
                <mc:Fallback>
                  <w:pict>
                    <v:shape id="墨迹 12" o:spid="_x0000_s1026" o:spt="75" style="position:absolute;left:0pt;margin-left:1623.7pt;margin-top:75037.55pt;height:0pt;width:0pt;z-index:251663360;mso-width-relative:page;mso-height-relative:page;" coordsize="21600,21600" o:gfxdata="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">
                      <v:imagedata r:id="rId37" o:title=""/>
                      <o:lock v:ext="edit"/>
                    </v:shape>
                  </w:pict>
                </mc:Fallback>
              </mc:AlternateConten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其他保洁服务要求</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1．门厅、楼梯、楼道、电梯等公共区域：每天清扫不少于二次，达到地面无垃圾、灰尘、痰迹、污迹。</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5</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无应急预案不能及时处理扣0.5分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卫生间：每日至少打扫、冲刷三次。办公场所公共卫生间更换卷纸、洗手液、擦手纸、卫生球、香薰及纸盒维护。达到卫生间无污迹、无尿渍、无异味、地面无湿滑现象，隔断、卫生间内墙面、玻璃窗干净，各设施完好整洁，保证洗手池、便池无堵塞。</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其他保洁服务要求</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3．墙面、栏杆、扶手、天花板及附属物：无污迹、灰尘、蜘蛛网，干净整洁；墙面无乱涂乱画、无灰尘、无宣传广告。</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未按规定次数消毒或未记录1次扣0.5分。夏季消灭蚊虫无明显效果的1次扣0.5分。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路面、广场、运动场：路面干净、无果皮纸屑等杂物，无卫生死角。广场、运动场地面每日清扫不少于一次，无积水。道路清扫每日二次，于每日7:30前做到干净整洁，无垃圾、尘土、落叶及杂草。健身器材无灰尘。</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pStyle w:val="13"/>
              <w:spacing w:line="320" w:lineRule="exact"/>
              <w:jc w:val="both"/>
              <w:rPr>
                <w:rFonts w:ascii="Calibri" w:hAnsi="微软雅黑" w:eastAsia="微软雅黑" w:cs="宋体"/>
                <w:bCs/>
                <w:color w:val="000000" w:themeColor="text1"/>
                <w:sz w:val="18"/>
                <w:szCs w:val="18"/>
              </w:rPr>
            </w:pPr>
            <w:r>
              <w:rPr>
                <w:rFonts w:hint="eastAsia" w:ascii="Calibri" w:hAnsi="微软雅黑" w:eastAsia="微软雅黑" w:cs="宋体"/>
                <w:color w:val="000000" w:themeColor="text1"/>
                <w:kern w:val="0"/>
                <w:sz w:val="18"/>
                <w:szCs w:val="18"/>
              </w:rPr>
              <w:t>5．楼体外墙面、玻璃（3米以下）、楼顶：每月不少于2次整体清洗清扫工作,发现污渍及时清扫。</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6．停车场、车棚及车库出入口雨棚：地面清扫每日两次，做到干净整洁，无垃圾、灰尘，积水清理及时，每月对出入口雨棚清洗不少于两次。</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7．绿化带：无果皮纸屑、食品包装袋等杂物。</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其他保洁服务要求</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8．校园内指示牌：每日擦拭一次，做到干净整洁无污迹、污物。</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其他保洁服务要求</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9.所有楼顶屋面落叶清扫工作，每两周清扫一次，保持干净卫生。</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10.义务协助甲方做好大型会议、工作检查等临时增加的现场保洁及服务工作安排。义务协助甲方做好卫生防疫、疾病防控、重大活动临时增加的工作安排。每年开展校园文化活动不少于3次</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11．制作垃圾分类、节能等宣传标语张贴在垃圾桶及洗手间指定位置。</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b/>
                <w:bCs/>
                <w:color w:val="000000" w:themeColor="text1"/>
                <w:sz w:val="18"/>
                <w:szCs w:val="18"/>
              </w:rPr>
            </w:pPr>
            <w:r>
              <w:rPr>
                <w:rFonts w:hint="eastAsia" w:ascii="Calibri" w:hAnsi="微软雅黑" w:eastAsia="微软雅黑"/>
                <w:b/>
                <w:bCs/>
                <w:color w:val="000000" w:themeColor="text1"/>
                <w:sz w:val="18"/>
                <w:szCs w:val="18"/>
              </w:rPr>
              <w:t>应急</w:t>
            </w:r>
            <w:r>
              <w:rPr>
                <w:rFonts w:ascii="Calibri" w:hAnsi="微软雅黑" w:eastAsia="微软雅黑"/>
                <w:b/>
                <w:bCs/>
                <w:color w:val="000000" w:themeColor="text1"/>
                <w:sz w:val="18"/>
                <w:szCs w:val="18"/>
              </w:rPr>
              <w:t>服务要求</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lang w:bidi="ar"/>
              </w:rPr>
              <w:t>1.</w:t>
            </w:r>
            <w:r>
              <w:rPr>
                <w:rFonts w:ascii="Calibri" w:hAnsi="微软雅黑" w:eastAsia="微软雅黑" w:cs="宋体"/>
                <w:color w:val="000000" w:themeColor="text1"/>
                <w:sz w:val="18"/>
                <w:szCs w:val="18"/>
                <w:lang w:bidi="ar"/>
              </w:rPr>
              <w:t>极端天气防汛应急保障</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供应商须提前制定完善的校园防汛应急处置预案，针对暴雨、强降雨等极端天气建立事前预防、事中处置、事后恢复全流程工作机制。汛期及暴雨天气来临前，提前排查校园楼宇出入口、地下通道、低洼路段、车库入口等重点防汛点位，足量储备防汛沙袋、挡水板、抽水泵等防汛应急物资，做到物资到位、人员到位、责任到位。及时开展积水疏通、排水导流、杂物清理工作，全力做好各服务楼宇及校园区域防汛保障工作，保障校园设施及师生安全。暴雨结束后第一时间清理路面淤泥、杂物，恢复校园环境卫生及通行秩序。</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b/>
                <w:bCs/>
                <w:color w:val="000000" w:themeColor="text1"/>
                <w:sz w:val="18"/>
                <w:szCs w:val="18"/>
              </w:rPr>
            </w:pPr>
            <w:r>
              <w:rPr>
                <w:rFonts w:hint="eastAsia" w:ascii="Calibri" w:hAnsi="微软雅黑" w:eastAsia="微软雅黑"/>
                <w:b/>
                <w:bCs/>
                <w:color w:val="000000" w:themeColor="text1"/>
                <w:sz w:val="18"/>
                <w:szCs w:val="18"/>
              </w:rPr>
              <w:t>应急</w:t>
            </w:r>
            <w:r>
              <w:rPr>
                <w:rFonts w:ascii="Calibri" w:hAnsi="微软雅黑" w:eastAsia="微软雅黑"/>
                <w:b/>
                <w:bCs/>
                <w:color w:val="000000" w:themeColor="text1"/>
                <w:sz w:val="18"/>
                <w:szCs w:val="18"/>
              </w:rPr>
              <w:t>服务要求</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lang w:bidi="ar"/>
              </w:rPr>
              <w:t>2.</w:t>
            </w:r>
            <w:r>
              <w:rPr>
                <w:rFonts w:ascii="Calibri" w:hAnsi="微软雅黑" w:eastAsia="微软雅黑" w:cs="宋体"/>
                <w:color w:val="000000" w:themeColor="text1"/>
                <w:sz w:val="18"/>
                <w:szCs w:val="18"/>
                <w:lang w:bidi="ar"/>
              </w:rPr>
              <w:t>雨雪天气除雪除冰、隐患排查处置</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雨雪冰冻天气期间，中标供应商须启动雨雪应急保洁预案，实行快速响应机制，及时开展校园主干道、人行通道、台阶坡道、广场、球场等全域区域的积水、积雪、积冰清理工作，优先保障师生通行主干道、教学楼、宿舍楼、办公楼主出入口通行安全，杜绝路面结冰、积雪打滑隐患。针对冬季低温天气</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降雪过程中随降随清、边下边扫，积雪结冰区域及时撒布防滑物料，确保校园道路干净畅通、无积雪、无积冰，全面保障校园通行安全与环境整洁。</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Style w:val="27"/>
                <w:rFonts w:hint="eastAsia" w:ascii="Calibri" w:hAnsi="微软雅黑" w:eastAsia="微软雅黑" w:cs="宋体"/>
                <w:color w:val="000000" w:themeColor="text1"/>
                <w:sz w:val="18"/>
                <w:szCs w:val="18"/>
                <w:lang w:bidi="ar"/>
              </w:rPr>
              <w:t>3</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突发情况应急响应要求</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针对大风、沙尘等各类突发环境卫生及安全应急情况，中标供应商须做到接报即处置、快速响应、及时清理。建立应急作业队伍，配备全套清洁作业设备及应急工具，确保突发问题第一时间处置完毕，最大限度降低突发情况对校园环境及师生通行的影响，保障校园环境卫生常态化、标准化、安全化。</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b/>
                <w:bCs/>
                <w:color w:val="000000" w:themeColor="text1"/>
                <w:sz w:val="18"/>
                <w:szCs w:val="18"/>
              </w:rPr>
            </w:pPr>
            <w:r>
              <w:rPr>
                <w:rFonts w:hint="eastAsia" w:ascii="Calibri" w:hAnsi="微软雅黑" w:eastAsia="微软雅黑"/>
                <w:b/>
                <w:bCs/>
                <w:color w:val="000000" w:themeColor="text1"/>
                <w:sz w:val="18"/>
                <w:szCs w:val="18"/>
              </w:rPr>
              <w:t>应急</w:t>
            </w:r>
            <w:r>
              <w:rPr>
                <w:rFonts w:ascii="Calibri" w:hAnsi="微软雅黑" w:eastAsia="微软雅黑"/>
                <w:b/>
                <w:bCs/>
                <w:color w:val="000000" w:themeColor="text1"/>
                <w:sz w:val="18"/>
                <w:szCs w:val="18"/>
              </w:rPr>
              <w:t>服务要求</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Style w:val="27"/>
                <w:rFonts w:hint="eastAsia" w:ascii="Calibri" w:hAnsi="微软雅黑" w:eastAsia="微软雅黑" w:cs="宋体"/>
                <w:color w:val="000000" w:themeColor="text1"/>
                <w:sz w:val="18"/>
                <w:szCs w:val="18"/>
                <w:lang w:bidi="ar"/>
              </w:rPr>
              <w:t>4</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应急值守与物资保障要求</w:t>
            </w:r>
            <w:r>
              <w:rPr>
                <w:rFonts w:hint="eastAsia" w:ascii="Calibri" w:hAnsi="微软雅黑" w:eastAsia="微软雅黑" w:cs="宋体"/>
                <w:color w:val="000000" w:themeColor="text1"/>
                <w:sz w:val="18"/>
                <w:szCs w:val="18"/>
                <w:lang w:bidi="ar"/>
              </w:rPr>
              <w:t>：</w:t>
            </w:r>
            <w:r>
              <w:rPr>
                <w:rFonts w:ascii="Calibri" w:hAnsi="微软雅黑" w:eastAsia="微软雅黑" w:cs="宋体"/>
                <w:color w:val="000000" w:themeColor="text1"/>
                <w:sz w:val="18"/>
                <w:szCs w:val="18"/>
                <w:lang w:bidi="ar"/>
              </w:rPr>
              <w:t>中标供应商须建立常态化应急值守制度，极端天气、节假日等特殊时段安排专人在岗，随时配合采购人开展各类应急保障工作。全程备</w:t>
            </w:r>
            <w:r>
              <w:rPr>
                <w:rFonts w:hint="eastAsia" w:ascii="Calibri" w:hAnsi="微软雅黑" w:eastAsia="微软雅黑" w:cs="宋体"/>
                <w:color w:val="000000" w:themeColor="text1"/>
                <w:sz w:val="18"/>
                <w:szCs w:val="18"/>
                <w:lang w:bidi="ar"/>
              </w:rPr>
              <w:t>足</w:t>
            </w:r>
            <w:r>
              <w:rPr>
                <w:rFonts w:ascii="Calibri" w:hAnsi="微软雅黑" w:eastAsia="微软雅黑" w:cs="宋体"/>
                <w:color w:val="000000" w:themeColor="text1"/>
                <w:sz w:val="18"/>
                <w:szCs w:val="18"/>
                <w:lang w:bidi="ar"/>
              </w:rPr>
              <w:t>足额储备防汛、除雪、防滑、应急清洁等各类物资，定期盘点更新，确保应急物资充足可用，不得因物资短缺、人员缺位、响应滞后影响校园应急保障工作</w:t>
            </w:r>
            <w:r>
              <w:rPr>
                <w:rFonts w:hint="eastAsia" w:ascii="Calibri" w:hAnsi="微软雅黑" w:eastAsia="微软雅黑" w:cs="宋体"/>
                <w:color w:val="000000" w:themeColor="text1"/>
                <w:sz w:val="18"/>
                <w:szCs w:val="18"/>
                <w:lang w:bidi="ar"/>
              </w:rPr>
              <w:t>。</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垃圾</w:t>
            </w:r>
          </w:p>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处理</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1.在指定位置摆放分类垃圾桶和垃圾台，并在显著处张贴垃圾分类标识。垃圾分类台要置于各楼宇外，合同到期后不能拆卸、搬离、损毁、带走。垃圾桶摆放数量满足师生日常生活工作要求。</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2.桶身表面干净无污渍，每日开展至少1次清洁作业。桶外清洁、无污物，保证无乱涂乱画、水渍，桶内垃圾不超过垃圾桶的2/3。</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3.垃圾中转房保持整洁，无明显异味，每日至少开展1次清洁作业。</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4.每个工作日内要对楼层产生的垃圾，进行清理分类，并运至垃圾集中堆放点。</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5.垃圾装袋，日产日清</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6.建立垃圾清运台账，负责联系分类垃圾车进校清运，将垃圾清运至指定压缩站和末端去向等工作。</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垃圾处理</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7.做好垃圾分类管理的宣传工作，督促并引导全员参与垃圾分类投放。</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垃圾</w:t>
            </w:r>
          </w:p>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处理</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8.校园生活垃圾分类及每日清运工作（每日至少两次）。负责垃圾堆放区域日常管护、清理、场地冲洗作业及消毒工作；做好校园现有室外垃圾桶的日常维修及破损更换工作。</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未达到要求的发现一次扣0.5分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restart"/>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人员</w:t>
            </w:r>
          </w:p>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考核</w:t>
            </w:r>
          </w:p>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bCs/>
                <w:color w:val="000000" w:themeColor="text1"/>
                <w:sz w:val="18"/>
                <w:szCs w:val="18"/>
              </w:rPr>
            </w:pPr>
            <w:r>
              <w:rPr>
                <w:rFonts w:hint="eastAsia" w:ascii="Calibri" w:hAnsi="微软雅黑" w:eastAsia="微软雅黑" w:cs="宋体"/>
                <w:color w:val="000000" w:themeColor="text1"/>
                <w:sz w:val="18"/>
                <w:szCs w:val="18"/>
              </w:rPr>
              <w:t>1.项目经理：年龄不超过55周岁、</w:t>
            </w:r>
            <w:r>
              <w:rPr>
                <w:rFonts w:hint="eastAsia" w:ascii="Calibri" w:hAnsi="微软雅黑" w:eastAsia="微软雅黑" w:cs="宋体"/>
                <w:bCs/>
                <w:color w:val="000000" w:themeColor="text1"/>
                <w:sz w:val="18"/>
                <w:szCs w:val="18"/>
              </w:rPr>
              <w:t>具有全日制本科及以上学历，5年及以上物业管理经验。持有物业管理师或项目经理资格证书（不限颁发机构）。1人</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1项未达到要求扣1分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2.主管：年龄不超过55周岁、具有专科及以上学历，有物业管理相关工作经历3年及以上。4人（各校区个1人）</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1项未达到要求扣1分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3.保洁员：年龄不超过60岁，身心健康，无不良嗜好，上岗前持有健康证，工作认真负责。</w:t>
            </w:r>
            <w:r>
              <w:rPr>
                <w:rFonts w:hint="eastAsia" w:ascii="Calibri" w:hAnsi="微软雅黑" w:eastAsia="微软雅黑" w:cs="宋体"/>
                <w:bCs/>
                <w:color w:val="000000" w:themeColor="text1"/>
                <w:sz w:val="18"/>
                <w:szCs w:val="18"/>
              </w:rPr>
              <w:t>其中，浴池管理员每校区2人、综合公寓管理员1人。83</w:t>
            </w:r>
            <w:r>
              <w:rPr>
                <w:rFonts w:hint="eastAsia" w:ascii="Calibri" w:hAnsi="微软雅黑" w:eastAsia="微软雅黑" w:cs="宋体"/>
                <w:color w:val="000000" w:themeColor="text1"/>
                <w:sz w:val="18"/>
                <w:szCs w:val="18"/>
              </w:rPr>
              <w:t>人</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2</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1项未达到要求扣1分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4.管道工：年龄不超过55周岁，有相关工作经历，持有管道工或水工证书（不限颁发机构），上岗前持有健康证，技术熟练，工作责任心强。管道工负责洗手池、便池的疏通工作。4人（各校区个1人）</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4</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1项未达到要求扣1分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vMerge w:val="continue"/>
            <w:shd w:val="clear" w:color="auto" w:fill="auto"/>
            <w:vAlign w:val="center"/>
          </w:tcPr>
          <w:p>
            <w:pPr>
              <w:spacing w:line="320" w:lineRule="exact"/>
              <w:jc w:val="both"/>
              <w:rPr>
                <w:rFonts w:ascii="Calibri" w:hAnsi="微软雅黑" w:eastAsia="微软雅黑" w:cs="宋体"/>
                <w:b/>
                <w:bCs/>
                <w:color w:val="000000" w:themeColor="text1"/>
                <w:sz w:val="18"/>
                <w:szCs w:val="18"/>
              </w:rPr>
            </w:pP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5.中型扫地车驾驶员：年龄不超过60周岁，持有《机动车驾驶证》（B2证）,上岗前持有健康证，技术熟练，工作责任心强。1人</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3</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1项未达到要求扣1分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050" w:type="dxa"/>
            <w:shd w:val="clear" w:color="auto" w:fill="auto"/>
            <w:vAlign w:val="center"/>
          </w:tcPr>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设备</w:t>
            </w:r>
          </w:p>
          <w:p>
            <w:pPr>
              <w:spacing w:line="320" w:lineRule="exact"/>
              <w:jc w:val="both"/>
              <w:rPr>
                <w:rFonts w:ascii="Calibri" w:hAnsi="微软雅黑" w:eastAsia="微软雅黑" w:cs="宋体"/>
                <w:b/>
                <w:bCs/>
                <w:color w:val="000000" w:themeColor="text1"/>
                <w:sz w:val="18"/>
                <w:szCs w:val="18"/>
              </w:rPr>
            </w:pPr>
            <w:r>
              <w:rPr>
                <w:rFonts w:hint="eastAsia" w:ascii="Calibri" w:hAnsi="微软雅黑" w:eastAsia="微软雅黑" w:cs="宋体"/>
                <w:b/>
                <w:bCs/>
                <w:color w:val="000000" w:themeColor="text1"/>
                <w:sz w:val="18"/>
                <w:szCs w:val="18"/>
              </w:rPr>
              <w:t>考核</w:t>
            </w:r>
          </w:p>
        </w:tc>
        <w:tc>
          <w:tcPr>
            <w:tcW w:w="4580"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中型扫地车1辆（整车质量≥5吨），小型扫地机不少于4台（整车质量≥1.吨），球类场地洗地机5台（整车质量≥480kg），电动尘推车1台，干湿两用吸尘器1台（4200W以上），高压洒水冲洗车1辆（空载质量≥1吨，满载质量≥4吨），</w:t>
            </w:r>
            <w:r>
              <w:rPr>
                <w:rFonts w:hint="eastAsia" w:ascii="Calibri" w:hAnsi="微软雅黑" w:eastAsia="微软雅黑" w:cs="Arial"/>
                <w:color w:val="000000" w:themeColor="text1"/>
                <w:sz w:val="18"/>
                <w:szCs w:val="18"/>
              </w:rPr>
              <w:t>室内商业清洁机器人1台，室外商业巡扫机机器人1台。</w:t>
            </w:r>
          </w:p>
        </w:tc>
        <w:tc>
          <w:tcPr>
            <w:tcW w:w="534"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8</w:t>
            </w:r>
          </w:p>
        </w:tc>
        <w:tc>
          <w:tcPr>
            <w:tcW w:w="1843" w:type="dxa"/>
            <w:shd w:val="clear" w:color="auto" w:fill="auto"/>
            <w:vAlign w:val="center"/>
          </w:tcPr>
          <w:p>
            <w:pPr>
              <w:spacing w:line="320" w:lineRule="exact"/>
              <w:jc w:val="both"/>
              <w:rPr>
                <w:rFonts w:ascii="Calibri" w:hAnsi="微软雅黑" w:eastAsia="微软雅黑" w:cs="宋体"/>
                <w:color w:val="000000" w:themeColor="text1"/>
                <w:sz w:val="18"/>
                <w:szCs w:val="18"/>
              </w:rPr>
            </w:pPr>
            <w:r>
              <w:rPr>
                <w:rFonts w:hint="eastAsia" w:ascii="Calibri" w:hAnsi="微软雅黑" w:eastAsia="微软雅黑" w:cs="宋体"/>
                <w:color w:val="000000" w:themeColor="text1"/>
                <w:sz w:val="18"/>
                <w:szCs w:val="18"/>
              </w:rPr>
              <w:t>未按要求少提供1台车辆扣除0.5分</w:t>
            </w:r>
          </w:p>
        </w:tc>
        <w:tc>
          <w:tcPr>
            <w:tcW w:w="425"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c>
          <w:tcPr>
            <w:tcW w:w="491" w:type="dxa"/>
            <w:shd w:val="clear" w:color="auto" w:fill="auto"/>
            <w:vAlign w:val="center"/>
          </w:tcPr>
          <w:p>
            <w:pPr>
              <w:spacing w:line="320" w:lineRule="exact"/>
              <w:jc w:val="both"/>
              <w:rPr>
                <w:rFonts w:ascii="Calibri" w:hAnsi="微软雅黑" w:eastAsia="微软雅黑" w:cs="宋体"/>
                <w:color w:val="000000" w:themeColor="text1"/>
                <w:sz w:val="18"/>
                <w:szCs w:val="18"/>
              </w:rPr>
            </w:pPr>
          </w:p>
        </w:tc>
      </w:tr>
    </w:tbl>
    <w:p>
      <w:pPr>
        <w:pStyle w:val="81"/>
        <w:ind w:firstLine="0" w:firstLineChars="0"/>
      </w:pPr>
    </w:p>
    <w:p>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bookmarkStart w:id="11" w:name="_Toc148453731"/>
      <w:bookmarkStart w:id="12" w:name="_Toc233120442"/>
      <w:r>
        <w:rPr>
          <w:rFonts w:hint="eastAsia"/>
        </w:rPr>
        <w:t>第四章　合同</w:t>
      </w:r>
      <w:bookmarkEnd w:id="11"/>
      <w:r>
        <w:rPr>
          <w:rFonts w:hint="eastAsia"/>
        </w:rPr>
        <w:t>文本</w:t>
      </w:r>
      <w:bookmarkEnd w:id="12"/>
    </w:p>
    <w:p>
      <w:pPr>
        <w:jc w:val="center"/>
        <w:rPr>
          <w:color w:val="C00000"/>
        </w:rPr>
      </w:pPr>
      <w:r>
        <w:rPr>
          <w:color w:val="C00000"/>
        </w:rPr>
        <w:t>（本合同为中小企业预留合同）</w:t>
      </w:r>
    </w:p>
    <w:p>
      <w:pPr>
        <w:spacing w:before="230" w:beforeLines="50"/>
        <w:ind w:firstLine="480" w:firstLineChars="200"/>
        <w:jc w:val="both"/>
        <w:rPr>
          <w:b/>
        </w:rPr>
      </w:pPr>
      <w:r>
        <w:rPr>
          <w:b/>
        </w:rPr>
        <w:t>甲方（采购人）：</w:t>
      </w:r>
      <w:r>
        <w:rPr>
          <w:color w:val="C00000"/>
        </w:rPr>
        <w:t>_____________</w:t>
      </w:r>
    </w:p>
    <w:p>
      <w:pPr>
        <w:ind w:firstLine="480" w:firstLineChars="200"/>
        <w:jc w:val="both"/>
        <w:rPr>
          <w:b/>
        </w:rPr>
      </w:pPr>
      <w:r>
        <w:rPr>
          <w:b/>
        </w:rPr>
        <w:t>乙方（</w:t>
      </w:r>
      <w:r>
        <w:rPr>
          <w:rFonts w:hint="eastAsia"/>
          <w:b/>
        </w:rPr>
        <w:t>供应商</w:t>
      </w:r>
      <w:r>
        <w:rPr>
          <w:b/>
        </w:rPr>
        <w:t>）：</w:t>
      </w:r>
      <w:r>
        <w:rPr>
          <w:color w:val="C00000"/>
        </w:rPr>
        <w:t>_____________</w:t>
      </w:r>
    </w:p>
    <w:p>
      <w:pPr>
        <w:spacing w:before="230" w:beforeLines="50"/>
        <w:jc w:val="both"/>
        <w:rPr>
          <w:rFonts w:cs="Calibri Light"/>
          <w:b/>
        </w:rPr>
      </w:pPr>
      <w:r>
        <w:rPr>
          <w:rFonts w:cs="Calibri Light"/>
          <w:b/>
        </w:rPr>
        <w:t>一、服务条件：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pPr>
        <w:spacing w:before="230" w:beforeLines="50"/>
        <w:jc w:val="both"/>
        <w:rPr>
          <w:rFonts w:cs="Calibri Light"/>
          <w:b/>
        </w:rPr>
      </w:pPr>
      <w:r>
        <w:rPr>
          <w:rFonts w:cs="Calibri Light"/>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jc w:val="both"/>
      </w:pPr>
      <w:r>
        <w:t>（二）</w:t>
      </w:r>
      <w:r>
        <w:rPr>
          <w:rFonts w:hint="eastAsia"/>
        </w:rPr>
        <w:t>合同总价款</w:t>
      </w:r>
      <w:r>
        <w:t>包括完成本项目所需的人员工资、社会保险及按规定提取的福利费、行政办公费用、企业固定资产折旧、临时性加班的加班费用、法定税费</w:t>
      </w:r>
      <w:r>
        <w:rPr>
          <w:rFonts w:hint="eastAsia"/>
        </w:rPr>
        <w:t>、</w:t>
      </w:r>
      <w:r>
        <w:t>耗材购买费</w:t>
      </w:r>
      <w:r>
        <w:rPr>
          <w:rFonts w:hint="eastAsia"/>
        </w:rPr>
        <w:t>及</w:t>
      </w:r>
      <w:r>
        <w:t>合理利润等全部费用。采购人不再额外承担其他任何费用。</w:t>
      </w:r>
    </w:p>
    <w:p>
      <w:pPr>
        <w:spacing w:before="230" w:beforeLines="50"/>
        <w:jc w:val="both"/>
        <w:rPr>
          <w:rFonts w:cs="Calibri Light"/>
          <w:b/>
        </w:rPr>
      </w:pPr>
      <w:r>
        <w:rPr>
          <w:rFonts w:cs="Calibri Light"/>
          <w:b/>
        </w:rPr>
        <w:t>三、款项结算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r>
        <w:rPr>
          <w:rFonts w:hint="eastAsia" w:asciiTheme="minorHAnsi" w:hAnsiTheme="minorHAnsi" w:eastAsiaTheme="minorEastAsia"/>
          <w:sz w:val="24"/>
          <w:szCs w:val="24"/>
        </w:rPr>
        <w:t>合同签订后十个工作日内向乙方支付合同价款的</w:t>
      </w:r>
      <w:r>
        <w:rPr>
          <w:rFonts w:asciiTheme="minorHAnsi" w:hAnsiTheme="minorHAnsi" w:eastAsiaTheme="minorEastAsia"/>
          <w:sz w:val="24"/>
          <w:szCs w:val="24"/>
        </w:rPr>
        <w:t>25</w:t>
      </w:r>
      <w:r>
        <w:rPr>
          <w:rFonts w:hint="eastAsia" w:asciiTheme="minorHAnsi" w:hAnsiTheme="minorHAnsi" w:eastAsiaTheme="minorEastAsia"/>
          <w:sz w:val="24"/>
          <w:szCs w:val="24"/>
        </w:rPr>
        <w:t>%；之后按照月进行付款，每月甲方向乙方支付合同价款的</w:t>
      </w:r>
      <w:r>
        <w:rPr>
          <w:rFonts w:asciiTheme="minorHAnsi" w:hAnsiTheme="minorHAnsi" w:eastAsiaTheme="minorEastAsia"/>
          <w:sz w:val="24"/>
          <w:szCs w:val="24"/>
        </w:rPr>
        <w:t>6.25</w:t>
      </w:r>
      <w:r>
        <w:rPr>
          <w:rFonts w:hint="eastAsia" w:asciiTheme="minorHAnsi" w:hAnsiTheme="minorHAnsi" w:eastAsiaTheme="minorEastAsia"/>
          <w:sz w:val="24"/>
          <w:szCs w:val="24"/>
        </w:rPr>
        <w:t>%减本月的考核扣款。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wordWrap w:val="0"/>
        <w:ind w:firstLine="480" w:firstLineChars="200"/>
        <w:jc w:val="both"/>
      </w:pPr>
      <w:r>
        <w:t>名称：_____________________</w:t>
      </w:r>
    </w:p>
    <w:p>
      <w:pPr>
        <w:wordWrap w:val="0"/>
        <w:ind w:firstLine="480" w:firstLineChars="200"/>
        <w:jc w:val="both"/>
      </w:pPr>
      <w:r>
        <w:t>开户行：___________________</w:t>
      </w:r>
    </w:p>
    <w:p>
      <w:pPr>
        <w:wordWrap w:val="0"/>
        <w:ind w:firstLine="480" w:firstLineChars="200"/>
        <w:jc w:val="both"/>
      </w:pPr>
      <w:r>
        <w:t>账号：_____________________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wordWrap w:val="0"/>
        <w:ind w:firstLine="480" w:firstLineChars="200"/>
        <w:jc w:val="both"/>
      </w:pPr>
      <w:r>
        <w:t>（一）甲方的权利和义务</w:t>
      </w:r>
    </w:p>
    <w:p>
      <w:pPr>
        <w:wordWrap w:val="0"/>
        <w:ind w:firstLine="480" w:firstLineChars="200"/>
        <w:jc w:val="both"/>
      </w:pPr>
      <w:r>
        <w:t>1．对本项目实施监管和指导。</w:t>
      </w:r>
    </w:p>
    <w:p>
      <w:pPr>
        <w:wordWrap w:val="0"/>
        <w:ind w:firstLine="480" w:firstLineChars="200"/>
        <w:jc w:val="both"/>
      </w:pPr>
      <w:r>
        <w:t>2．甲方负责按照本合同约定的指标考核乙方，具体考核的方式及内容由甲方决定。</w:t>
      </w:r>
    </w:p>
    <w:p>
      <w:pPr>
        <w:wordWrap w:val="0"/>
        <w:ind w:firstLine="480" w:firstLineChars="200"/>
        <w:jc w:val="both"/>
      </w:pPr>
      <w:r>
        <w:t>3．乙方进场服务人员上岗前需经过甲方确认，甲方有权对人员提出调整要求，乙方需积极配合。</w:t>
      </w:r>
    </w:p>
    <w:p>
      <w:pPr>
        <w:wordWrap w:val="0"/>
        <w:ind w:firstLine="480" w:firstLineChars="200"/>
        <w:jc w:val="both"/>
      </w:pPr>
      <w:r>
        <w:t>（二）乙方的权利和义务</w:t>
      </w:r>
    </w:p>
    <w:p>
      <w:pPr>
        <w:wordWrap w:val="0"/>
        <w:ind w:firstLine="480" w:firstLineChars="200"/>
        <w:jc w:val="both"/>
      </w:pPr>
      <w:r>
        <w:t>1．要求甲方为本合同标的的服务工作开展提供必要的资料和便利。</w:t>
      </w:r>
    </w:p>
    <w:p>
      <w:pPr>
        <w:wordWrap w:val="0"/>
        <w:ind w:firstLine="480" w:firstLineChars="200"/>
        <w:jc w:val="both"/>
      </w:pPr>
      <w:r>
        <w:t>2．要求甲方按本合同约定支付合同款项。</w:t>
      </w:r>
    </w:p>
    <w:p>
      <w:pPr>
        <w:wordWrap w:val="0"/>
        <w:ind w:firstLine="480" w:firstLineChars="200"/>
        <w:jc w:val="both"/>
      </w:pPr>
      <w:r>
        <w:t>3．乙方不得擅自将本合同委托事项转委托/转包/分包给第三方。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4．乙方负责合同中的从业人员及财产意外伤害、死亡或损失均由乙方自行承担所有费用和相应责任，与甲方无任何法律责任和经济责任。</w:t>
      </w:r>
    </w:p>
    <w:p>
      <w:pPr>
        <w:spacing w:before="230" w:beforeLines="50"/>
        <w:jc w:val="both"/>
        <w:rPr>
          <w:rFonts w:cs="Calibri Light"/>
          <w:b/>
        </w:rPr>
      </w:pPr>
      <w:r>
        <w:rPr>
          <w:rFonts w:cs="Calibri Light"/>
          <w:b/>
        </w:rPr>
        <w:t>五、知识产权及承诺</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（一）乙方保证所提供的服务或其任何一部分均不会侵犯任何第三方的专利权、商标权、著作权或其他合法权益，否则视为乙方违约，由此产生的一切损失由乙方承担。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（二）经甲乙双方协商一致，本项目产生的知识产权归甲方拥有。</w:t>
      </w:r>
    </w:p>
    <w:p>
      <w:pPr>
        <w:spacing w:before="230" w:beforeLines="50"/>
        <w:jc w:val="both"/>
        <w:rPr>
          <w:rFonts w:cs="Calibri Light"/>
          <w:b/>
        </w:rPr>
      </w:pPr>
      <w:r>
        <w:rPr>
          <w:rFonts w:hint="eastAsia" w:cs="Calibri Light"/>
          <w:b/>
        </w:rPr>
        <w:t>六</w:t>
      </w:r>
      <w:r>
        <w:rPr>
          <w:rFonts w:cs="Calibri Light"/>
          <w:b/>
        </w:rPr>
        <w:t>、验收</w:t>
      </w:r>
    </w:p>
    <w:p>
      <w:pPr>
        <w:wordWrap w:val="0"/>
        <w:ind w:firstLine="480" w:firstLineChars="200"/>
        <w:jc w:val="both"/>
      </w:pPr>
      <w:r>
        <w:t>（一）服务期满后，甲方根据招标文件和投标文件及相关文件，进行验收，确认服务标准和服务方式是否达到采购要求。</w:t>
      </w:r>
    </w:p>
    <w:p>
      <w:pPr>
        <w:wordWrap w:val="0"/>
        <w:ind w:firstLine="480" w:firstLineChars="200"/>
        <w:jc w:val="both"/>
      </w:pPr>
      <w:r>
        <w:t>（二）甲方组织乙方（必要时请有关专家）进行验收，验收合格后，填写政府采购项目验收单（一式伍份）作为对项目的最终认可。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七</w:t>
      </w:r>
      <w:r>
        <w:rPr>
          <w:rFonts w:cs="Calibri Light"/>
          <w:b/>
        </w:rPr>
        <w:t>、违约责任</w:t>
      </w:r>
    </w:p>
    <w:p>
      <w:pPr>
        <w:spacing w:line="480" w:lineRule="exact"/>
        <w:ind w:firstLine="480" w:firstLineChars="200"/>
      </w:pPr>
      <w:r>
        <w:rPr>
          <w:rFonts w:hint="eastAsia"/>
        </w:rPr>
        <w:t>（一）违约责任：</w:t>
      </w:r>
    </w:p>
    <w:p>
      <w:pPr>
        <w:spacing w:line="480" w:lineRule="exact"/>
        <w:ind w:firstLine="480" w:firstLineChars="200"/>
      </w:pPr>
      <w:r>
        <w:rPr>
          <w:rFonts w:hint="eastAsia"/>
        </w:rPr>
        <w:t>1．甲方违约责任</w:t>
      </w:r>
    </w:p>
    <w:p>
      <w:pPr>
        <w:spacing w:line="480" w:lineRule="exact"/>
        <w:ind w:firstLine="480" w:firstLineChars="200"/>
      </w:pPr>
      <w:r>
        <w:rPr>
          <w:rFonts w:hint="eastAsia"/>
        </w:rPr>
        <w:t>逾期付款责任：若甲方未按合同约定的期限支付服务费用，每逾期一日，应按当期应付未付金额的万分之三向乙方支付逾期付款违约金。逾期超过30日的，乙方有权暂停提供合同项下的服务，直至甲方付清款项。违约金总额不超过合同总价款的10%。</w:t>
      </w:r>
    </w:p>
    <w:p>
      <w:pPr>
        <w:spacing w:line="480" w:lineRule="exact"/>
        <w:ind w:firstLine="480" w:firstLineChars="200"/>
      </w:pPr>
      <w:r>
        <w:rPr>
          <w:rFonts w:hint="eastAsia"/>
        </w:rPr>
        <w:t>2．乙方违约责任</w:t>
      </w:r>
    </w:p>
    <w:p>
      <w:pPr>
        <w:spacing w:line="480" w:lineRule="exact"/>
        <w:ind w:firstLine="480" w:firstLineChars="200"/>
      </w:pPr>
      <w:r>
        <w:rPr>
          <w:rFonts w:hint="eastAsia"/>
        </w:rPr>
        <w:t>（1）服务不达标责任：若乙方的保洁服务质量未达到合同约定的服务标准，甲方有权要求乙方限期整改，乙方应在收到甲方整改通知后1日内完成整改，如乙方未按期完成整改，或同一区域同一问题累计出现2次以上，甲方有权扣除当期服务费的15% 作为违约金，违约金总额不超过合同总价款的10%。</w:t>
      </w:r>
    </w:p>
    <w:p>
      <w:pPr>
        <w:spacing w:line="480" w:lineRule="exact"/>
        <w:ind w:firstLine="480" w:firstLineChars="200"/>
      </w:pPr>
      <w:r>
        <w:rPr>
          <w:rFonts w:hint="eastAsia"/>
        </w:rPr>
        <w:t>（2）人员配置责任：乙方应确保派驻人员符合合同中约定的资质、年龄、健康等要求。若乙方派驻的人员不符合约定，甲方有权要求乙方在2个工作日内更换。逾期未更换的，甲方可按每缺岗一人每日扣除500元的标准从当期服务费中扣减。</w:t>
      </w:r>
    </w:p>
    <w:p>
      <w:pPr>
        <w:spacing w:line="480" w:lineRule="exact"/>
        <w:ind w:firstLine="480" w:firstLineChars="200"/>
      </w:pPr>
      <w:r>
        <w:rPr>
          <w:rFonts w:hint="eastAsia"/>
        </w:rPr>
        <w:t>（3）物资配备责任：乙方应按约定配备合同所列的保洁设备及耗材。若乙方未配备或配备不齐，经甲方书面通知后2日内仍未补齐的，甲方有权自行采购，所需费用从乙方服务费中扣除。</w:t>
      </w:r>
    </w:p>
    <w:p>
      <w:pPr>
        <w:spacing w:line="480" w:lineRule="exact"/>
        <w:ind w:firstLine="480" w:firstLineChars="200"/>
        <w:rPr>
          <w:rFonts w:ascii="Calibri" w:hAnsi="Calibri" w:eastAsia="宋体"/>
        </w:rPr>
      </w:pPr>
      <w:r>
        <w:rPr>
          <w:rFonts w:hint="eastAsia"/>
        </w:rPr>
        <w:t>（4）安全责任：乙方应加强员工安全教育与管理。乙方员工在服务过程中因自身过错导致自身或第三方人身、财产损害的，由乙方承担相应责任。因甲方设施设备本身存在安全隐患或甲方人员过错导致的损害，由甲方承担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（二）其他违约责任由双方平等协商后补充。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（三）未按合同要求提供</w:t>
      </w:r>
      <w:r>
        <w:rPr>
          <w:rFonts w:hint="eastAsia" w:asciiTheme="minorHAnsi" w:hAnsiTheme="minorHAnsi" w:eastAsiaTheme="minorEastAsia"/>
          <w:sz w:val="24"/>
          <w:szCs w:val="24"/>
        </w:rPr>
        <w:t>服务</w:t>
      </w:r>
      <w:r>
        <w:rPr>
          <w:rFonts w:asciiTheme="minorHAnsi" w:hAnsiTheme="minorHAnsi" w:eastAsiaTheme="minorEastAsia"/>
          <w:sz w:val="24"/>
          <w:szCs w:val="24"/>
        </w:rPr>
        <w:t>或</w:t>
      </w:r>
      <w:r>
        <w:rPr>
          <w:rFonts w:hint="eastAsia" w:asciiTheme="minorHAnsi" w:hAnsiTheme="minorHAnsi" w:eastAsiaTheme="minorEastAsia"/>
          <w:sz w:val="24"/>
          <w:szCs w:val="24"/>
        </w:rPr>
        <w:t>服务</w:t>
      </w:r>
      <w:r>
        <w:rPr>
          <w:rFonts w:asciiTheme="minorHAnsi" w:hAnsiTheme="minorHAnsi" w:eastAsiaTheme="minorEastAsia"/>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spacing w:before="230" w:beforeLines="50"/>
        <w:jc w:val="both"/>
        <w:rPr>
          <w:rFonts w:cs="Calibri Light"/>
          <w:b/>
        </w:rPr>
      </w:pPr>
      <w:r>
        <w:rPr>
          <w:rFonts w:hint="eastAsia" w:cs="Calibri Light"/>
          <w:b/>
        </w:rPr>
        <w:t>八</w:t>
      </w:r>
      <w:r>
        <w:rPr>
          <w:rFonts w:cs="Calibri Light"/>
          <w:b/>
        </w:rPr>
        <w:t>、合同的变更和修改、中止和终止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九</w:t>
      </w:r>
      <w:r>
        <w:rPr>
          <w:rFonts w:cs="Calibri Light"/>
          <w:b/>
        </w:rPr>
        <w:t>、保密条款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（二）凡与本合同有关的一切争议，双方应通过友好协商解决。如协商后仍不能达成协议时，按下列第___种方式解决。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十二、合同生效及其他</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hint="eastAsia" w:asciiTheme="minorHAnsi" w:hAnsiTheme="minorHAnsi" w:eastAsiaTheme="minorEastAsia"/>
          <w:sz w:val="24"/>
          <w:szCs w:val="24"/>
        </w:rPr>
        <w:t>7</w:t>
      </w:r>
      <w:r>
        <w:rPr>
          <w:rFonts w:asciiTheme="minorHAnsi" w:hAnsiTheme="minorHAnsi" w:eastAsiaTheme="minorEastAsia"/>
          <w:sz w:val="24"/>
          <w:szCs w:val="24"/>
        </w:rPr>
        <w:t>份，甲方执</w:t>
      </w:r>
      <w:r>
        <w:rPr>
          <w:rFonts w:hint="eastAsia" w:asciiTheme="minorHAnsi" w:hAnsiTheme="minorHAnsi" w:eastAsiaTheme="minorEastAsia"/>
          <w:sz w:val="24"/>
          <w:szCs w:val="24"/>
        </w:rPr>
        <w:t>5</w:t>
      </w:r>
      <w:r>
        <w:rPr>
          <w:rFonts w:asciiTheme="minorHAnsi" w:hAnsiTheme="minorHAnsi" w:eastAsiaTheme="minorEastAsia"/>
          <w:sz w:val="24"/>
          <w:szCs w:val="24"/>
        </w:rPr>
        <w:t>份、乙方执</w:t>
      </w:r>
      <w:r>
        <w:rPr>
          <w:rFonts w:hint="eastAsia" w:asciiTheme="minorHAnsi" w:hAnsiTheme="minorHAnsi" w:eastAsiaTheme="minorEastAsia"/>
          <w:sz w:val="24"/>
          <w:szCs w:val="24"/>
        </w:rPr>
        <w:t>2</w:t>
      </w:r>
      <w:r>
        <w:rPr>
          <w:rFonts w:asciiTheme="minorHAnsi" w:hAnsiTheme="minorHAnsi" w:eastAsiaTheme="minorEastAsia"/>
          <w:sz w:val="24"/>
          <w:szCs w:val="24"/>
        </w:rPr>
        <w:t>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13" w:name="_Toc233120443"/>
      <w:r>
        <w:rPr>
          <w:rFonts w:hint="eastAsia"/>
        </w:rPr>
        <w:t>第五章　投标文件构成及格式</w:t>
      </w:r>
      <w:bookmarkEnd w:id="13"/>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p>
    <w:p>
      <w:pPr>
        <w:pStyle w:val="40"/>
        <w:jc w:val="both"/>
        <w:rPr>
          <w:rFonts w:hAnsi="华文仿宋"/>
        </w:rPr>
      </w:pPr>
    </w:p>
    <w:p>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pPr>
        <w:jc w:val="both"/>
        <w:rPr>
          <w:rFonts w:cs="Calibri Light"/>
          <w:b/>
          <w:color w:val="000000"/>
        </w:rPr>
      </w:pPr>
      <w:r>
        <w:rPr>
          <w:rFonts w:hint="eastAsia" w:cstheme="minorHAnsi"/>
          <w:color w:val="C00000"/>
        </w:rPr>
        <w:t>采购包</w:t>
      </w:r>
      <w:r>
        <w:rPr>
          <w:rFonts w:cstheme="minorHAnsi"/>
          <w:color w:val="C00000"/>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说明：1．此表各项费用由供应商自行列支；</w:t>
      </w:r>
    </w:p>
    <w:p>
      <w:pPr>
        <w:tabs>
          <w:tab w:val="right" w:pos="9070"/>
        </w:tabs>
        <w:spacing w:line="440" w:lineRule="exact"/>
        <w:ind w:firstLine="720" w:firstLineChars="300"/>
      </w:pPr>
      <w:r>
        <w:t>2．表格空间不足时，可以自行扩展。</w:t>
      </w:r>
    </w:p>
    <w:p>
      <w:pPr>
        <w:jc w:val="both"/>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5A5A5" w:themeColor="background1" w:themeShade="A6"/>
              </w:rPr>
            </w:pPr>
            <w:r>
              <w:rPr>
                <w:rFonts w:ascii="黑体" w:hAnsi="黑体" w:eastAsia="黑体" w:cstheme="minorHAnsi"/>
                <w:color w:val="A5A5A5"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5A5A5" w:themeColor="background1" w:themeShade="A6"/>
                <w:sz w:val="12"/>
              </w:rPr>
            </w:pPr>
            <w:r>
              <w:rPr>
                <w:rFonts w:ascii="黑体" w:hAnsi="黑体" w:eastAsia="黑体" w:cstheme="minorHAnsi"/>
                <w:color w:val="A5A5A5"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5A5A5" w:themeColor="background1" w:themeShade="A6"/>
                <w:sz w:val="36"/>
                <w:szCs w:val="44"/>
              </w:rPr>
            </w:pPr>
            <w:r>
              <w:rPr>
                <w:rFonts w:ascii="黑体" w:hAnsi="黑体" w:eastAsia="黑体" w:cstheme="minorHAnsi"/>
                <w:color w:val="A5A5A5"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pPr>
        <w:ind w:firstLine="480" w:firstLineChars="200"/>
        <w:jc w:val="both"/>
      </w:pPr>
      <w:r>
        <w:t>中标供应商的声明函\证明函将随中标结果一同公布，接受社会监督。</w:t>
      </w:r>
    </w:p>
    <w:p>
      <w:pPr>
        <w:keepNext/>
        <w:spacing w:before="120" w:after="60"/>
        <w:jc w:val="both"/>
        <w:outlineLvl w:val="3"/>
        <w:rPr>
          <w:b/>
          <w:kern w:val="28"/>
        </w:rPr>
      </w:pPr>
      <w:r>
        <w:rPr>
          <w:rFonts w:hint="eastAsia"/>
          <w:b/>
          <w:kern w:val="28"/>
        </w:rPr>
        <w:t>1．中小企业声明函</w:t>
      </w:r>
    </w:p>
    <w:p>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240" w:lineRule="auto"/>
        <w:ind w:firstLine="480" w:firstLineChars="200"/>
        <w:jc w:val="both"/>
      </w:pPr>
      <w:r>
        <w:rPr>
          <w:rFonts w:asciiTheme="minorEastAsia" w:hAnsiTheme="minorEastAsia" w:eastAsiaTheme="minorEastAsia"/>
          <w:color w:val="7030A0"/>
          <w:sz w:val="24"/>
          <w:szCs w:val="24"/>
        </w:rPr>
        <w:t>③</w:t>
      </w:r>
      <w:r>
        <w:rPr>
          <w:rFonts w:asciiTheme="minorHAnsi" w:hAnsiTheme="minorHAnsi" w:eastAsiaTheme="minorEastAsia"/>
          <w:i/>
          <w:color w:val="7030A0"/>
          <w:sz w:val="24"/>
          <w:szCs w:val="24"/>
        </w:rPr>
        <w:t>本项目采购标的对应的中小企业划分标准所属行业：见第二章「前附表」。</w:t>
      </w:r>
    </w:p>
    <w:p>
      <w:pPr>
        <w:tabs>
          <w:tab w:val="left" w:pos="5670"/>
        </w:tabs>
        <w:jc w:val="center"/>
        <w:rPr>
          <w:rFonts w:cs="Calibri Light"/>
          <w:b/>
          <w:color w:val="1F4E79"/>
          <w:sz w:val="28"/>
        </w:rPr>
      </w:pPr>
      <w:r>
        <w:rPr>
          <w:rFonts w:cs="Calibri Light"/>
          <w:b/>
          <w:color w:val="1F4E79"/>
          <w:sz w:val="28"/>
        </w:rPr>
        <w:t>『中小企业声明函』（服务类格式）</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rPr>
          <w:rFonts w:cs="Calibri Light"/>
          <w:color w:val="000000"/>
        </w:rPr>
      </w:pPr>
      <w:r>
        <w:rPr>
          <w:rFonts w:cs="Calibri Light"/>
          <w:color w:val="000000"/>
        </w:rPr>
        <w:br w:type="page"/>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本单位郑重声明，根据《财政部民政部中国残疾人联合会关于促进残疾人就业政府采购政策的通知》（财库〔2017〕141号）的规定，本单位为符合条件的残疾人福利性单位，且本单位参加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pPr>
        <w:rPr>
          <w:rFonts w:cstheme="minorHAnsi"/>
          <w:color w:val="000000"/>
        </w:rPr>
      </w:pPr>
      <w:r>
        <w:rPr>
          <w:rFonts w:cstheme="minorHAnsi"/>
          <w:color w:val="000000"/>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②因单元格空间有限，不足以容纳响应内容（如用于证明产品性能、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③“响应说明”应根据实际响应程度填写“优于”、“符合”、“负偏离”，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jc w:val="center"/>
        <w:rPr>
          <w:rFonts w:cstheme="minorHAnsi"/>
          <w:b/>
        </w:rPr>
      </w:pPr>
      <w:r>
        <w:rPr>
          <w:rFonts w:hint="eastAsia" w:cstheme="minorHAnsi"/>
          <w:b/>
        </w:rPr>
        <w:t>技术（服务）响应方案</w:t>
      </w:r>
    </w:p>
    <w:p>
      <w:pPr>
        <w:ind w:firstLine="480" w:firstLineChars="200"/>
      </w:pPr>
      <w:r>
        <w:rPr>
          <w:rFonts w:hint="eastAsia"/>
        </w:rPr>
        <w:t>供应商结合第三章《招标内容及要求》相关要求及第二章《评审要素及分值一览表》暗标部分中各评审要素逐项编写方案。</w:t>
      </w:r>
    </w:p>
    <w:p>
      <w:pPr>
        <w:rPr>
          <w:i/>
          <w:color w:val="C00000"/>
        </w:rPr>
      </w:pPr>
    </w:p>
    <w:p>
      <w:r>
        <w:rPr>
          <w:rFonts w:hint="eastAsia"/>
        </w:rPr>
        <w:t>示例：</w:t>
      </w:r>
    </w:p>
    <w:p>
      <w:pPr>
        <w:rPr>
          <w:rFonts w:asciiTheme="minorEastAsia" w:hAnsiTheme="minorEastAsia"/>
        </w:rPr>
      </w:pPr>
      <w:r>
        <w:rPr>
          <w:rFonts w:hint="eastAsia" w:asciiTheme="minorEastAsia" w:hAnsiTheme="minorEastAsia"/>
        </w:rPr>
        <w:t>1．总体服务方案</w:t>
      </w:r>
    </w:p>
    <w:p>
      <w:pPr>
        <w:rPr>
          <w:rFonts w:asciiTheme="minorEastAsia" w:hAnsiTheme="minorEastAsia"/>
        </w:rPr>
      </w:pPr>
    </w:p>
    <w:p>
      <w:pPr>
        <w:rPr>
          <w:rFonts w:asciiTheme="minorEastAsia" w:hAnsiTheme="minorEastAsia"/>
        </w:rPr>
      </w:pPr>
      <w:r>
        <w:rPr>
          <w:rFonts w:asciiTheme="minorEastAsia" w:hAnsiTheme="minorEastAsia"/>
        </w:rPr>
        <w:t>2</w:t>
      </w:r>
      <w:r>
        <w:rPr>
          <w:rFonts w:hint="eastAsia" w:asciiTheme="minorEastAsia" w:hAnsiTheme="minorEastAsia"/>
        </w:rPr>
        <w:t>．管理制度</w:t>
      </w:r>
    </w:p>
    <w:p>
      <w:pPr>
        <w:rPr>
          <w:rFonts w:asciiTheme="minorEastAsia" w:hAnsiTheme="minorEastAsia"/>
        </w:rPr>
      </w:pPr>
    </w:p>
    <w:p>
      <w:pPr>
        <w:rPr>
          <w:rFonts w:asciiTheme="minorEastAsia" w:hAnsiTheme="minorEastAsia"/>
        </w:rPr>
      </w:pPr>
      <w:r>
        <w:rPr>
          <w:rFonts w:hint="eastAsia" w:asciiTheme="minorEastAsia" w:hAnsiTheme="minorEastAsia"/>
        </w:rPr>
        <w:t>3．培训考核方案</w:t>
      </w:r>
    </w:p>
    <w:p>
      <w:pPr>
        <w:rPr>
          <w:rFonts w:asciiTheme="minorEastAsia" w:hAnsiTheme="minorEastAsia"/>
        </w:rPr>
      </w:pP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.商务评审部分响应方案</w:t>
      </w:r>
    </w:p>
    <w:p>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pPr>
        <w:tabs>
          <w:tab w:val="center" w:pos="4395"/>
        </w:tabs>
        <w:rPr>
          <w:i/>
          <w:color w:val="C00000"/>
        </w:rPr>
      </w:pPr>
    </w:p>
    <w:p>
      <w:pPr>
        <w:rPr>
          <w:i/>
          <w:color w:val="C00000"/>
        </w:rPr>
      </w:pPr>
      <w:r>
        <w:rPr>
          <w:rFonts w:hint="eastAsia"/>
          <w:i/>
          <w:color w:val="C00000"/>
        </w:rPr>
        <w:t>示例：</w:t>
      </w:r>
    </w:p>
    <w:p>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．物业保洁服务方案</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．人员配备方案</w:t>
      </w:r>
    </w:p>
    <w:p>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b/>
          <w:color w:val="000000"/>
          <w:kern w:val="24"/>
        </w:rPr>
      </w:pP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rPr>
                <w:rFonts w:asciiTheme="minorEastAsia" w:hAnsiTheme="minorEastAsia" w:cstheme="minorHAnsi"/>
                <w:b/>
                <w:color w:val="000000"/>
                <w:kern w:val="24"/>
              </w:rPr>
            </w:pPr>
            <w:r>
              <w:rPr>
                <w:rFonts w:hint="eastAsia" w:asciiTheme="minorEastAsia" w:hAnsiTheme="minorEastAsia" w:cstheme="minorHAnsi"/>
                <w:b/>
                <w:color w:val="000000"/>
                <w:kern w:val="24"/>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姓名</w:t>
            </w:r>
          </w:p>
        </w:tc>
        <w:tc>
          <w:tcPr>
            <w:tcW w:w="709" w:type="dxa"/>
            <w:tcBorders>
              <w:top w:val="single" w:color="auto" w:sz="2" w:space="0"/>
              <w:bottom w:val="single" w:color="auto" w:sz="2" w:space="0"/>
            </w:tcBorders>
            <w:shd w:val="clear" w:color="auto" w:fill="F1F1F1" w:themeFill="background1" w:themeFillShade="F2"/>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年龄</w:t>
            </w:r>
          </w:p>
        </w:tc>
        <w:tc>
          <w:tcPr>
            <w:tcW w:w="709" w:type="dxa"/>
            <w:tcBorders>
              <w:top w:val="single" w:color="auto" w:sz="2" w:space="0"/>
              <w:bottom w:val="single" w:color="auto" w:sz="2" w:space="0"/>
            </w:tcBorders>
            <w:shd w:val="clear" w:color="auto" w:fill="F1F1F1" w:themeFill="background1" w:themeFillShade="F2"/>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性别</w:t>
            </w:r>
          </w:p>
        </w:tc>
        <w:tc>
          <w:tcPr>
            <w:tcW w:w="1701" w:type="dxa"/>
            <w:tcBorders>
              <w:top w:val="single" w:color="auto" w:sz="2" w:space="0"/>
              <w:bottom w:val="single" w:color="auto" w:sz="2" w:space="0"/>
            </w:tcBorders>
            <w:shd w:val="clear" w:color="auto" w:fill="F1F1F1" w:themeFill="background1" w:themeFillShade="F2"/>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p>
        </w:tc>
        <w:tc>
          <w:tcPr>
            <w:tcW w:w="1273" w:type="dxa"/>
            <w:tcBorders>
              <w:top w:val="single" w:color="auto" w:sz="2" w:space="0"/>
              <w:left w:val="single" w:color="auto" w:sz="6"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709"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701" w:type="dxa"/>
            <w:tcBorders>
              <w:top w:val="single" w:color="auto" w:sz="2" w:space="0"/>
              <w:bottom w:val="single" w:color="auto" w:sz="2" w:space="0"/>
            </w:tcBorders>
            <w:shd w:val="clear" w:color="auto" w:fill="auto"/>
            <w:vAlign w:val="center"/>
          </w:tcPr>
          <w:p>
            <w:pPr>
              <w:rPr>
                <w:rFonts w:asciiTheme="minorEastAsia" w:hAnsiTheme="minorEastAsia" w:cstheme="minorHAnsi"/>
                <w:b/>
                <w:color w:val="000000"/>
                <w:kern w:val="24"/>
              </w:rPr>
            </w:pPr>
          </w:p>
        </w:tc>
        <w:tc>
          <w:tcPr>
            <w:tcW w:w="1417" w:type="dxa"/>
            <w:tcBorders>
              <w:top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rPr>
                <w:rFonts w:asciiTheme="minorEastAsia" w:hAnsiTheme="minorEastAsia" w:cstheme="minorHAnsi"/>
                <w:b/>
                <w:color w:val="000000"/>
                <w:kern w:val="24"/>
              </w:rPr>
            </w:pPr>
            <w:r>
              <w:rPr>
                <w:rFonts w:asciiTheme="minorEastAsia" w:hAnsiTheme="minorEastAsia" w:cstheme="minorHAnsi"/>
                <w:b/>
                <w:color w:val="000000"/>
                <w:kern w:val="24"/>
              </w:rPr>
              <w:t>① 表格行数不足时请自行扩展。</w:t>
            </w:r>
          </w:p>
          <w:p>
            <w:pPr>
              <w:rPr>
                <w:rFonts w:asciiTheme="minorEastAsia" w:hAnsiTheme="minorEastAsia" w:cstheme="minorHAnsi"/>
                <w:b/>
                <w:color w:val="000000"/>
                <w:kern w:val="24"/>
              </w:rPr>
            </w:pPr>
            <w:r>
              <w:rPr>
                <w:rFonts w:asciiTheme="minorEastAsia" w:hAnsiTheme="minorEastAsia" w:cstheme="minorHAnsi"/>
                <w:b/>
                <w:color w:val="000000"/>
                <w:kern w:val="24"/>
              </w:rPr>
              <w:t>② 招标文件对人员“资格\学历\职称”提出要求的，应在本表下方附相应的“资格证\学历证\职称证”等证明材料。</w:t>
            </w:r>
          </w:p>
        </w:tc>
      </w:tr>
    </w:tbl>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3．</w:t>
      </w:r>
      <w:r>
        <w:rPr>
          <w:rFonts w:hint="eastAsia" w:asciiTheme="minorEastAsia" w:hAnsiTheme="minorEastAsia" w:cstheme="minorHAnsi"/>
          <w:b/>
          <w:bCs/>
          <w:color w:val="000000"/>
          <w:kern w:val="24"/>
        </w:rPr>
        <w:t>物资装备及耗材</w:t>
      </w:r>
    </w:p>
    <w:tbl>
      <w:tblPr>
        <w:tblStyle w:val="24"/>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表格行数不足时请自行扩展。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hint="eastAsia" w:asciiTheme="minorEastAsia" w:hAnsiTheme="minorEastAsia" w:cstheme="minorHAnsi"/>
          <w:b/>
          <w:color w:val="000000"/>
          <w:kern w:val="24"/>
        </w:rPr>
        <w:t>业绩</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5．体系认证</w:t>
      </w:r>
    </w:p>
    <w:p>
      <w:pPr>
        <w:rPr>
          <w:rFonts w:asciiTheme="minorEastAsia" w:hAnsiTheme="minorEastAsia" w:cstheme="minorHAnsi"/>
          <w:b/>
          <w:color w:val="000000"/>
          <w:kern w:val="24"/>
        </w:rPr>
      </w:pPr>
    </w:p>
    <w:p>
      <w:pPr>
        <w:rPr>
          <w:rFonts w:asciiTheme="minorEastAsia" w:hAnsiTheme="minorEastAsia" w:cstheme="minorHAnsi"/>
          <w:b/>
        </w:rPr>
      </w:pP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1"/>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）不与其他供应商恶意串通，采取“围标、串标、陪标”等商业欺诈手段谋取中标、成交；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）不提供虚假或无效证明文件（包括但不限于资格证明文件、合同及验收文件、检验检测报告、从业人员资格证书、机构或所投产品的各类认证证书等）或虚假材料谋取中标、成交；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东文宋体">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45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西安铁路职业技术学院物业保洁服务项目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西安铁路职业技术学院物业保洁服务项目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西安铁路职业技术学院物业保洁服务项目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07AE"/>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0DC8"/>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46604"/>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23CD"/>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D71FD"/>
    <w:rsid w:val="001E0376"/>
    <w:rsid w:val="001E0768"/>
    <w:rsid w:val="001E0C4B"/>
    <w:rsid w:val="001E1249"/>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06FD"/>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C8C"/>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3FA"/>
    <w:rsid w:val="002C6405"/>
    <w:rsid w:val="002C6442"/>
    <w:rsid w:val="002C6B7D"/>
    <w:rsid w:val="002C6F4A"/>
    <w:rsid w:val="002D1AEB"/>
    <w:rsid w:val="002D2B5F"/>
    <w:rsid w:val="002D327B"/>
    <w:rsid w:val="002D38D5"/>
    <w:rsid w:val="002D41DD"/>
    <w:rsid w:val="002D5205"/>
    <w:rsid w:val="002D6418"/>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394E"/>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6174"/>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3A96"/>
    <w:rsid w:val="004F411F"/>
    <w:rsid w:val="004F60D3"/>
    <w:rsid w:val="004F6E7E"/>
    <w:rsid w:val="004F7234"/>
    <w:rsid w:val="004F7D8F"/>
    <w:rsid w:val="00500B15"/>
    <w:rsid w:val="0050182A"/>
    <w:rsid w:val="00501CED"/>
    <w:rsid w:val="00501F56"/>
    <w:rsid w:val="0050264E"/>
    <w:rsid w:val="00502DB5"/>
    <w:rsid w:val="0050431E"/>
    <w:rsid w:val="005053C1"/>
    <w:rsid w:val="00506EB5"/>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E2"/>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4DC"/>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5B96"/>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3EB"/>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3E44"/>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D508C"/>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62A"/>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928"/>
    <w:rsid w:val="007240F9"/>
    <w:rsid w:val="00724763"/>
    <w:rsid w:val="00725648"/>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A57"/>
    <w:rsid w:val="00772BFA"/>
    <w:rsid w:val="007732E5"/>
    <w:rsid w:val="007735B7"/>
    <w:rsid w:val="00773A1F"/>
    <w:rsid w:val="00773D80"/>
    <w:rsid w:val="007747FE"/>
    <w:rsid w:val="007750D4"/>
    <w:rsid w:val="00775725"/>
    <w:rsid w:val="00775864"/>
    <w:rsid w:val="00776046"/>
    <w:rsid w:val="00776280"/>
    <w:rsid w:val="0078129F"/>
    <w:rsid w:val="00781798"/>
    <w:rsid w:val="00781A2A"/>
    <w:rsid w:val="0079003B"/>
    <w:rsid w:val="00791F35"/>
    <w:rsid w:val="00793212"/>
    <w:rsid w:val="0079398D"/>
    <w:rsid w:val="0079592A"/>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6D69"/>
    <w:rsid w:val="007B7795"/>
    <w:rsid w:val="007C1E2E"/>
    <w:rsid w:val="007C1FAF"/>
    <w:rsid w:val="007C2121"/>
    <w:rsid w:val="007C2428"/>
    <w:rsid w:val="007C2A5B"/>
    <w:rsid w:val="007C2F2F"/>
    <w:rsid w:val="007C32E6"/>
    <w:rsid w:val="007C4071"/>
    <w:rsid w:val="007C551E"/>
    <w:rsid w:val="007C6103"/>
    <w:rsid w:val="007C7079"/>
    <w:rsid w:val="007C745E"/>
    <w:rsid w:val="007C7E4A"/>
    <w:rsid w:val="007D0D52"/>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1CA"/>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6E50"/>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91A"/>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39A5"/>
    <w:rsid w:val="009453D0"/>
    <w:rsid w:val="0094638E"/>
    <w:rsid w:val="00946A82"/>
    <w:rsid w:val="0095071A"/>
    <w:rsid w:val="00950CC9"/>
    <w:rsid w:val="00951071"/>
    <w:rsid w:val="0095158B"/>
    <w:rsid w:val="00953291"/>
    <w:rsid w:val="0095333C"/>
    <w:rsid w:val="00953610"/>
    <w:rsid w:val="009544D9"/>
    <w:rsid w:val="00955186"/>
    <w:rsid w:val="00955282"/>
    <w:rsid w:val="00955E75"/>
    <w:rsid w:val="00956990"/>
    <w:rsid w:val="00956EE8"/>
    <w:rsid w:val="00956F8B"/>
    <w:rsid w:val="009570F6"/>
    <w:rsid w:val="00961028"/>
    <w:rsid w:val="0096331A"/>
    <w:rsid w:val="0096484B"/>
    <w:rsid w:val="00965C09"/>
    <w:rsid w:val="00966B06"/>
    <w:rsid w:val="00966B6A"/>
    <w:rsid w:val="00966CC7"/>
    <w:rsid w:val="0097057C"/>
    <w:rsid w:val="00970C2C"/>
    <w:rsid w:val="00971419"/>
    <w:rsid w:val="009715C5"/>
    <w:rsid w:val="00971AF2"/>
    <w:rsid w:val="009723B8"/>
    <w:rsid w:val="00972647"/>
    <w:rsid w:val="00973264"/>
    <w:rsid w:val="00975CD0"/>
    <w:rsid w:val="00976502"/>
    <w:rsid w:val="009801AA"/>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6DF8"/>
    <w:rsid w:val="00997850"/>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103D"/>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48D"/>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1E3"/>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933"/>
    <w:rsid w:val="00A77D74"/>
    <w:rsid w:val="00A81335"/>
    <w:rsid w:val="00A816A1"/>
    <w:rsid w:val="00A816E2"/>
    <w:rsid w:val="00A81ADF"/>
    <w:rsid w:val="00A82026"/>
    <w:rsid w:val="00A82952"/>
    <w:rsid w:val="00A82ABC"/>
    <w:rsid w:val="00A83B44"/>
    <w:rsid w:val="00A84563"/>
    <w:rsid w:val="00A86383"/>
    <w:rsid w:val="00A86960"/>
    <w:rsid w:val="00A869B7"/>
    <w:rsid w:val="00A86B01"/>
    <w:rsid w:val="00A91267"/>
    <w:rsid w:val="00A91A54"/>
    <w:rsid w:val="00A91B7E"/>
    <w:rsid w:val="00A94247"/>
    <w:rsid w:val="00A96F13"/>
    <w:rsid w:val="00A97C1D"/>
    <w:rsid w:val="00AA00E5"/>
    <w:rsid w:val="00AA1080"/>
    <w:rsid w:val="00AA16D3"/>
    <w:rsid w:val="00AA18CA"/>
    <w:rsid w:val="00AA1D98"/>
    <w:rsid w:val="00AA3063"/>
    <w:rsid w:val="00AA3BFA"/>
    <w:rsid w:val="00AA4BCE"/>
    <w:rsid w:val="00AA5A0A"/>
    <w:rsid w:val="00AA5E84"/>
    <w:rsid w:val="00AA725C"/>
    <w:rsid w:val="00AA7339"/>
    <w:rsid w:val="00AB02D5"/>
    <w:rsid w:val="00AB0F02"/>
    <w:rsid w:val="00AB18DF"/>
    <w:rsid w:val="00AB25B5"/>
    <w:rsid w:val="00AB3274"/>
    <w:rsid w:val="00AB3E05"/>
    <w:rsid w:val="00AB4B22"/>
    <w:rsid w:val="00AB6831"/>
    <w:rsid w:val="00AB7A0E"/>
    <w:rsid w:val="00AC0409"/>
    <w:rsid w:val="00AC041F"/>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416"/>
    <w:rsid w:val="00AF78B2"/>
    <w:rsid w:val="00B005A5"/>
    <w:rsid w:val="00B00CD6"/>
    <w:rsid w:val="00B01470"/>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415"/>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1740"/>
    <w:rsid w:val="00BA25DB"/>
    <w:rsid w:val="00BA271F"/>
    <w:rsid w:val="00BA38E0"/>
    <w:rsid w:val="00BA4649"/>
    <w:rsid w:val="00BA51C2"/>
    <w:rsid w:val="00BA619F"/>
    <w:rsid w:val="00BA6D10"/>
    <w:rsid w:val="00BA7D43"/>
    <w:rsid w:val="00BB02EB"/>
    <w:rsid w:val="00BB08FA"/>
    <w:rsid w:val="00BB0940"/>
    <w:rsid w:val="00BB096F"/>
    <w:rsid w:val="00BB0A6C"/>
    <w:rsid w:val="00BB0D04"/>
    <w:rsid w:val="00BB17F3"/>
    <w:rsid w:val="00BB1C67"/>
    <w:rsid w:val="00BB2DBC"/>
    <w:rsid w:val="00BB4AC7"/>
    <w:rsid w:val="00BB4CD0"/>
    <w:rsid w:val="00BB4F92"/>
    <w:rsid w:val="00BB5320"/>
    <w:rsid w:val="00BB61C1"/>
    <w:rsid w:val="00BB6B4A"/>
    <w:rsid w:val="00BB7024"/>
    <w:rsid w:val="00BB70CE"/>
    <w:rsid w:val="00BB7BD4"/>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50A"/>
    <w:rsid w:val="00BF16C2"/>
    <w:rsid w:val="00BF30A5"/>
    <w:rsid w:val="00BF3210"/>
    <w:rsid w:val="00BF3B09"/>
    <w:rsid w:val="00BF449C"/>
    <w:rsid w:val="00BF47BB"/>
    <w:rsid w:val="00BF4A06"/>
    <w:rsid w:val="00BF4B27"/>
    <w:rsid w:val="00BF6317"/>
    <w:rsid w:val="00BF641C"/>
    <w:rsid w:val="00BF6721"/>
    <w:rsid w:val="00BF7C5A"/>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5F"/>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DF"/>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106"/>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67F20"/>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06D"/>
    <w:rsid w:val="00F473AB"/>
    <w:rsid w:val="00F474AB"/>
    <w:rsid w:val="00F476F6"/>
    <w:rsid w:val="00F47930"/>
    <w:rsid w:val="00F47A28"/>
    <w:rsid w:val="00F5050C"/>
    <w:rsid w:val="00F5134E"/>
    <w:rsid w:val="00F528DD"/>
    <w:rsid w:val="00F52A18"/>
    <w:rsid w:val="00F52C68"/>
    <w:rsid w:val="00F53CC6"/>
    <w:rsid w:val="00F564CD"/>
    <w:rsid w:val="00F61702"/>
    <w:rsid w:val="00F62211"/>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68C"/>
    <w:rsid w:val="00FB2935"/>
    <w:rsid w:val="00FB3D8E"/>
    <w:rsid w:val="00FB4CB0"/>
    <w:rsid w:val="00FB608E"/>
    <w:rsid w:val="00FB6392"/>
    <w:rsid w:val="00FB63A7"/>
    <w:rsid w:val="00FB6B49"/>
    <w:rsid w:val="00FC0A59"/>
    <w:rsid w:val="00FC149A"/>
    <w:rsid w:val="00FC2EA4"/>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 w:val="27654CBA"/>
    <w:rsid w:val="3D3877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Lines="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unhideWhenUsed/>
    <w:qFormat/>
    <w:uiPriority w:val="39"/>
    <w:pPr>
      <w:spacing w:beforeLines="100" w:afterLines="100"/>
    </w:pPr>
    <w:rPr>
      <w:rFonts w:ascii="Calibri" w:hAnsi="Calibri" w:eastAsia="宋体"/>
      <w:kern w:val="32"/>
      <w:sz w:val="32"/>
    </w:rPr>
  </w:style>
  <w:style w:type="paragraph" w:styleId="20">
    <w:name w:val="Subtitle"/>
    <w:basedOn w:val="1"/>
    <w:next w:val="1"/>
    <w:link w:val="66"/>
    <w:qFormat/>
    <w:uiPriority w:val="11"/>
    <w:pPr>
      <w:keepNext/>
      <w:spacing w:beforeLines="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1F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5"/>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Lines="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85858" w:themeColor="text1" w:themeTint="A6"/>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0">
    <w:name w:val="Revision"/>
    <w:hidden/>
    <w:semiHidden/>
    <w:qFormat/>
    <w:uiPriority w:val="99"/>
    <w:rPr>
      <w:rFonts w:cs="Times New Roman" w:asciiTheme="minorHAnsi" w:hAnsiTheme="minorHAnsi" w:eastAsiaTheme="minorEastAsi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footer" Target="footer1.xml"/><Relationship Id="rId49" Type="http://schemas.openxmlformats.org/officeDocument/2006/relationships/customXml" Target="../customXml/item1.xml"/><Relationship Id="rId48" Type="http://schemas.openxmlformats.org/officeDocument/2006/relationships/customXml" Target="ink/ink10.xml"/><Relationship Id="rId47" Type="http://schemas.openxmlformats.org/officeDocument/2006/relationships/image" Target="media/image5.png"/><Relationship Id="rId46" Type="http://schemas.openxmlformats.org/officeDocument/2006/relationships/customXml" Target="ink/ink9.xml"/><Relationship Id="rId45" Type="http://schemas.openxmlformats.org/officeDocument/2006/relationships/image" Target="media/image4.png"/><Relationship Id="rId44" Type="http://schemas.openxmlformats.org/officeDocument/2006/relationships/customXml" Target="ink/ink8.xml"/><Relationship Id="rId43" Type="http://schemas.openxmlformats.org/officeDocument/2006/relationships/customXml" Target="ink/ink7.xml"/><Relationship Id="rId42" Type="http://schemas.openxmlformats.org/officeDocument/2006/relationships/customXml" Target="ink/ink6.xml"/><Relationship Id="rId41" Type="http://schemas.openxmlformats.org/officeDocument/2006/relationships/image" Target="media/image3.png"/><Relationship Id="rId40" Type="http://schemas.openxmlformats.org/officeDocument/2006/relationships/customXml" Target="ink/ink5.xml"/><Relationship Id="rId4" Type="http://schemas.openxmlformats.org/officeDocument/2006/relationships/header" Target="header2.xml"/><Relationship Id="rId39" Type="http://schemas.openxmlformats.org/officeDocument/2006/relationships/customXml" Target="ink/ink4.xml"/><Relationship Id="rId38" Type="http://schemas.openxmlformats.org/officeDocument/2006/relationships/customXml" Target="ink/ink3.xml"/><Relationship Id="rId37" Type="http://schemas.openxmlformats.org/officeDocument/2006/relationships/image" Target="media/image2.png"/><Relationship Id="rId36" Type="http://schemas.openxmlformats.org/officeDocument/2006/relationships/customXml" Target="ink/ink2.xml"/><Relationship Id="rId35" Type="http://schemas.openxmlformats.org/officeDocument/2006/relationships/image" Target="media/image1.png"/><Relationship Id="rId34" Type="http://schemas.openxmlformats.org/officeDocument/2006/relationships/customXml" Target="ink/ink1.xml"/><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ink/ink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15915 731619,'0'0</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16605 732849,'0'0</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16005 732909,'0'0</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13560 750690,'0'0</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16710 750867,'80'-27</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15780 750795,'0'0</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15570 750795,'0'0</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16410 750210,'0'0</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15990 750315,'0'0</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6-07-24T17:53:28"/>
    </inkml:context>
    <inkml:brush xml:id="br0">
      <inkml:brushProperty name="width" value="0.0352779998779297" units="cm"/>
      <inkml:brushProperty name="height" value="0.0352779998779297" units="cm"/>
      <inkml:brushProperty name="color" value="#f80600"/>
    </inkml:brush>
  </inkml:definitions>
  <inkml:trace contextRef="#ctx0" brushRef="#br0">15990 750315,'0'0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991BF4-EEF9-4E33-B4B3-C70DCCEF6733}">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Company>Lenovo</Company>
  <Pages>75</Pages>
  <Words>3923</Words>
  <Characters>4408</Characters>
  <Lines>341</Lines>
  <Paragraphs>96</Paragraphs>
  <TotalTime>11163</TotalTime>
  <ScaleCrop>false</ScaleCrop>
  <LinksUpToDate>false</LinksUpToDate>
  <CharactersWithSpaces>4439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趋之若鹜</cp:lastModifiedBy>
  <cp:lastPrinted>2026-06-29T01:22:00Z</cp:lastPrinted>
  <dcterms:modified xsi:type="dcterms:W3CDTF">2026-07-24T09:53:27Z</dcterms:modified>
  <cp:revision>730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eyJoZGlkIjoiYWQ2ZTg4ZjJjNDI0YzRiNDdhOGYzM2JlZDAzMWU5MWUiLCJ1c2VySWQiOiIzMDM3ODYwODcifQ==</vt:lpwstr>
  </property>
  <property fmtid="{D5CDD505-2E9C-101B-9397-08002B2CF9AE}" pid="3" name="KSOProductBuildVer">
    <vt:lpwstr>2052-11.8.2.12265</vt:lpwstr>
  </property>
  <property fmtid="{D5CDD505-2E9C-101B-9397-08002B2CF9AE}" pid="4" name="ICV">
    <vt:lpwstr>27ED3A955F4746EAACD05136B1A24C70</vt:lpwstr>
  </property>
</Properties>
</file>