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97D22">
      <w:pPr>
        <w:widowControl w:val="0"/>
        <w:numPr>
          <w:numId w:val="0"/>
        </w:numPr>
        <w:spacing w:line="500" w:lineRule="exact"/>
        <w:jc w:val="center"/>
        <w:rPr>
          <w:rFonts w:ascii="仿宋_GB2312" w:hAnsi="仿宋_GB2312" w:eastAsia="仿宋_GB2312" w:cs="仿宋_GB2312"/>
          <w:b/>
          <w:kern w:val="2"/>
          <w:sz w:val="28"/>
          <w:szCs w:val="28"/>
        </w:rPr>
      </w:pPr>
      <w:bookmarkStart w:id="0" w:name="_Toc10476_WPSOffice_Level1"/>
      <w:bookmarkStart w:id="1" w:name="_Toc6345"/>
      <w:bookmarkStart w:id="2" w:name="_Toc2772"/>
      <w:bookmarkStart w:id="3" w:name="_Toc31517"/>
      <w:bookmarkStart w:id="4" w:name="_Toc22915"/>
      <w:bookmarkStart w:id="5" w:name="heading_0"/>
      <w:r>
        <w:rPr>
          <w:rFonts w:hint="eastAsia" w:ascii="黑体" w:hAnsi="黑体" w:eastAsia="黑体" w:cs="黑体"/>
          <w:b w:val="0"/>
          <w:bCs/>
          <w:color w:val="auto"/>
          <w:sz w:val="32"/>
          <w:szCs w:val="40"/>
        </w:rPr>
        <w:t>第三章  磋商内容及采</w:t>
      </w:r>
      <w:bookmarkEnd w:id="0"/>
      <w:r>
        <w:rPr>
          <w:rFonts w:hint="eastAsia" w:ascii="黑体" w:hAnsi="黑体" w:eastAsia="黑体" w:cs="黑体"/>
          <w:b w:val="0"/>
          <w:bCs/>
          <w:color w:val="auto"/>
          <w:sz w:val="32"/>
          <w:szCs w:val="40"/>
        </w:rPr>
        <w:t>购要求</w:t>
      </w:r>
      <w:bookmarkEnd w:id="1"/>
      <w:bookmarkEnd w:id="2"/>
      <w:bookmarkEnd w:id="3"/>
      <w:bookmarkEnd w:id="4"/>
    </w:p>
    <w:p w14:paraId="5B69FFE6">
      <w:pPr>
        <w:widowControl w:val="0"/>
        <w:numPr>
          <w:ilvl w:val="0"/>
          <w:numId w:val="1"/>
        </w:numPr>
        <w:spacing w:line="500" w:lineRule="exact"/>
        <w:rPr>
          <w:rFonts w:ascii="仿宋_GB2312" w:hAnsi="仿宋_GB2312" w:eastAsia="仿宋_GB2312" w:cs="仿宋_GB2312"/>
          <w:b/>
          <w:kern w:val="2"/>
          <w:sz w:val="28"/>
          <w:szCs w:val="28"/>
        </w:rPr>
      </w:pPr>
      <w:r>
        <w:rPr>
          <w:rFonts w:ascii="仿宋_GB2312" w:hAnsi="仿宋_GB2312" w:eastAsia="仿宋_GB2312" w:cs="仿宋_GB2312"/>
          <w:b/>
          <w:kern w:val="2"/>
          <w:sz w:val="28"/>
          <w:szCs w:val="28"/>
        </w:rPr>
        <w:t>项目基本信息</w:t>
      </w:r>
      <w:bookmarkEnd w:id="5"/>
    </w:p>
    <w:p w14:paraId="48F9C61B">
      <w:pPr>
        <w:widowControl w:val="0"/>
        <w:spacing w:line="500" w:lineRule="exact"/>
        <w:rPr>
          <w:rFonts w:ascii="仿宋_GB2312" w:hAnsi="仿宋_GB2312" w:eastAsia="仿宋_GB2312" w:cs="仿宋_GB2312"/>
          <w:kern w:val="2"/>
          <w:sz w:val="28"/>
          <w:szCs w:val="28"/>
        </w:rPr>
      </w:pPr>
      <w:r>
        <w:rPr>
          <w:rFonts w:ascii="仿宋_GB2312" w:hAnsi="仿宋_GB2312" w:eastAsia="仿宋_GB2312" w:cs="仿宋_GB2312"/>
          <w:b/>
          <w:kern w:val="2"/>
          <w:sz w:val="28"/>
          <w:szCs w:val="28"/>
        </w:rPr>
        <w:t>1.项目名称：</w:t>
      </w:r>
      <w:r>
        <w:rPr>
          <w:rFonts w:ascii="仿宋_GB2312" w:hAnsi="仿宋_GB2312" w:eastAsia="仿宋_GB2312" w:cs="仿宋_GB2312"/>
          <w:kern w:val="2"/>
          <w:sz w:val="28"/>
          <w:szCs w:val="28"/>
        </w:rPr>
        <w:t>汉中市第一医院安</w:t>
      </w:r>
      <w:bookmarkStart w:id="32" w:name="_GoBack"/>
      <w:bookmarkEnd w:id="32"/>
      <w:r>
        <w:rPr>
          <w:rFonts w:ascii="仿宋_GB2312" w:hAnsi="仿宋_GB2312" w:eastAsia="仿宋_GB2312" w:cs="仿宋_GB2312"/>
          <w:kern w:val="2"/>
          <w:sz w:val="28"/>
          <w:szCs w:val="28"/>
        </w:rPr>
        <w:t>保及消防控制室服务采购项目</w:t>
      </w:r>
    </w:p>
    <w:p w14:paraId="5802EFA7">
      <w:pPr>
        <w:widowControl w:val="0"/>
        <w:spacing w:line="500" w:lineRule="exact"/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</w:rPr>
        <w:t>预</w:t>
      </w:r>
      <w:r>
        <w:rPr>
          <w:rFonts w:hint="eastAsia" w:ascii="仿宋_GB2312" w:hAnsi="仿宋_GB2312" w:eastAsia="仿宋_GB2312" w:cs="仿宋_GB2312"/>
          <w:b/>
          <w:kern w:val="2"/>
          <w:sz w:val="28"/>
          <w:szCs w:val="28"/>
        </w:rPr>
        <w:t>算金额：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highlight w:val="none"/>
          <w:lang w:val="en-US" w:eastAsia="zh-CN"/>
        </w:rPr>
        <w:t>1060000.00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val="en-US" w:eastAsia="zh-CN"/>
        </w:rPr>
        <w:t>元</w:t>
      </w:r>
    </w:p>
    <w:p w14:paraId="4A47D708">
      <w:pPr>
        <w:widowControl w:val="0"/>
        <w:spacing w:line="500" w:lineRule="exact"/>
        <w:rPr>
          <w:rFonts w:ascii="仿宋_GB2312" w:hAnsi="仿宋_GB2312" w:eastAsia="仿宋_GB2312" w:cs="仿宋_GB2312"/>
          <w:kern w:val="2"/>
          <w:sz w:val="28"/>
          <w:szCs w:val="28"/>
        </w:rPr>
      </w:pPr>
      <w:r>
        <w:rPr>
          <w:rFonts w:ascii="仿宋_GB2312" w:hAnsi="仿宋_GB2312" w:eastAsia="仿宋_GB2312" w:cs="仿宋_GB2312"/>
          <w:b/>
          <w:kern w:val="2"/>
          <w:sz w:val="28"/>
          <w:szCs w:val="28"/>
        </w:rPr>
        <w:t>3.服务地点：</w:t>
      </w:r>
      <w:r>
        <w:rPr>
          <w:rFonts w:ascii="仿宋_GB2312" w:hAnsi="仿宋_GB2312" w:eastAsia="仿宋_GB2312" w:cs="仿宋_GB2312"/>
          <w:kern w:val="2"/>
          <w:sz w:val="28"/>
          <w:szCs w:val="28"/>
        </w:rPr>
        <w:t>汉中市第一医院主院区、丰辉社区卫生服务中心全域范围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。</w:t>
      </w:r>
    </w:p>
    <w:p w14:paraId="39794DEB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u w:val="none"/>
          <w:lang w:val="en-US" w:eastAsia="zh-CN"/>
        </w:rPr>
      </w:pPr>
      <w:r>
        <w:rPr>
          <w:rFonts w:ascii="仿宋_GB2312" w:hAnsi="仿宋_GB2312" w:eastAsia="仿宋_GB2312" w:cs="仿宋_GB2312"/>
          <w:b/>
          <w:kern w:val="2"/>
          <w:sz w:val="28"/>
          <w:szCs w:val="28"/>
        </w:rPr>
        <w:t>4.服务期限</w:t>
      </w:r>
      <w:r>
        <w:rPr>
          <w:rFonts w:hint="eastAsia" w:ascii="仿宋_GB2312" w:hAnsi="仿宋_GB2312" w:eastAsia="仿宋_GB2312" w:cs="仿宋_GB2312"/>
          <w:b/>
          <w:kern w:val="2"/>
          <w:sz w:val="28"/>
          <w:szCs w:val="28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u w:val="none"/>
          <w:lang w:val="en-US" w:eastAsia="zh-CN"/>
        </w:rPr>
        <w:t>一年。本项目采用一次采购沿用三年，实行一年一考核一签合同的办法。服务期满后，在预算有保障，政府采购管理部门同意的前提下，由中标供应商提出申请，经采购人考核合格后，可以续签合同。</w:t>
      </w:r>
    </w:p>
    <w:p w14:paraId="09E45BC7">
      <w:pPr>
        <w:widowControl w:val="0"/>
        <w:spacing w:line="500" w:lineRule="exact"/>
        <w:rPr>
          <w:rFonts w:ascii="仿宋_GB2312" w:hAnsi="仿宋_GB2312" w:eastAsia="仿宋_GB2312" w:cs="仿宋_GB2312"/>
          <w:kern w:val="2"/>
          <w:sz w:val="28"/>
          <w:szCs w:val="28"/>
        </w:rPr>
      </w:pPr>
      <w:r>
        <w:rPr>
          <w:rFonts w:ascii="仿宋_GB2312" w:hAnsi="仿宋_GB2312" w:eastAsia="仿宋_GB2312" w:cs="仿宋_GB2312"/>
          <w:b/>
          <w:kern w:val="2"/>
          <w:sz w:val="28"/>
          <w:szCs w:val="28"/>
        </w:rPr>
        <w:t>5.服务总体目标：</w:t>
      </w:r>
      <w:r>
        <w:rPr>
          <w:rFonts w:ascii="仿宋_GB2312" w:hAnsi="仿宋_GB2312" w:eastAsia="仿宋_GB2312" w:cs="仿宋_GB2312"/>
          <w:kern w:val="2"/>
          <w:sz w:val="28"/>
          <w:szCs w:val="28"/>
        </w:rPr>
        <w:t>全面保障院区正常诊疗工作秩序，有效防范火灾、盗窃、破坏、意外伤害、自然灾害等安全事故，快速处置医患纠纷、突发治安事件、消防隐患等各类应急情况，全方位保护医院公共财物、医务人员及患者、家属人身财产安全，维护医院良好公众形象，保障院区安全、稳定、有序运营。</w:t>
      </w:r>
    </w:p>
    <w:p w14:paraId="3A03001F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1"/>
          <w:szCs w:val="22"/>
        </w:rPr>
      </w:pPr>
      <w:bookmarkStart w:id="6" w:name="heading_1"/>
      <w:r>
        <w:rPr>
          <w:rFonts w:hint="eastAsia" w:ascii="仿宋_GB2312" w:hAnsi="Arial" w:eastAsia="仿宋_GB2312" w:cs="Arial"/>
          <w:b/>
          <w:kern w:val="0"/>
          <w:sz w:val="32"/>
          <w:szCs w:val="22"/>
        </w:rPr>
        <w:t>二、项目服务概况</w:t>
      </w:r>
      <w:bookmarkEnd w:id="6"/>
    </w:p>
    <w:p w14:paraId="0070F81B">
      <w:pPr>
        <w:widowControl w:val="0"/>
        <w:spacing w:before="120" w:after="120" w:line="288" w:lineRule="auto"/>
        <w:jc w:val="left"/>
        <w:rPr>
          <w:rFonts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本项目为汉中市第一医院及丰辉社区卫生服务中心提供专业化、标准化、全天候安保执勤、秩序维护、车辆管理、视频监控值守、消防控制室专项值守及各类突发事件应急处置服务。项目配置固定服务人员共计32名，含安保管理、门岗值守、院区巡逻、停车收费、视频监控、消防中控、社区点位值守等全部岗位，全面覆盖双院区安全保障工作。</w:t>
      </w:r>
    </w:p>
    <w:p w14:paraId="0A6A8D66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7" w:name="heading_2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三、岗位设置、人员配置及岗位职责</w:t>
      </w:r>
      <w:bookmarkEnd w:id="7"/>
    </w:p>
    <w:p w14:paraId="0F9D07CA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本项目总计配置32名专职服务人员，所有岗位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（除</w:t>
      </w:r>
      <w:r>
        <w:rPr>
          <w:rFonts w:hint="eastAsia" w:ascii="仿宋_GB2312" w:hAnsi="Arial" w:eastAsia="仿宋_GB2312" w:cs="Arial"/>
          <w:b w:val="0"/>
          <w:bCs/>
          <w:kern w:val="0"/>
          <w:sz w:val="28"/>
          <w:szCs w:val="28"/>
        </w:rPr>
        <w:t>丰辉社区卫生服务中心</w:t>
      </w:r>
      <w:r>
        <w:rPr>
          <w:rFonts w:hint="eastAsia" w:ascii="仿宋_GB2312" w:hAnsi="Arial" w:eastAsia="仿宋_GB2312" w:cs="Arial"/>
          <w:b w:val="0"/>
          <w:bCs/>
          <w:kern w:val="0"/>
          <w:sz w:val="28"/>
          <w:szCs w:val="28"/>
          <w:lang w:eastAsia="zh-CN"/>
        </w:rPr>
        <w:t>）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实行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24小时全天候无缝值守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，采用三班倒工作制，规范落实交接班台账、在岗执勤记录，无空岗、脱岗、漏岗情况，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  <w:highlight w:val="none"/>
          <w:lang w:eastAsia="zh-CN"/>
        </w:rPr>
        <w:t>安保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  <w:highlight w:val="none"/>
        </w:rPr>
        <w:t>队长和班长实行轮岗制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  <w:lang w:val="en-US" w:eastAsia="zh-CN"/>
        </w:rPr>
        <w:t>,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</w:rPr>
        <w:t>具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体岗位配置及职责如下：</w:t>
      </w:r>
    </w:p>
    <w:p w14:paraId="771BE059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8" w:name="heading_3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（一）安保队长1名</w:t>
      </w:r>
      <w:bookmarkEnd w:id="8"/>
    </w:p>
    <w:p w14:paraId="4A89386C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1.全面主持项目安保队伍日常管理工作，统筹落实采购人保卫科各项工作部署，全权负责服务质量管控、人员调度、岗位督查、工作考核等工作。</w:t>
      </w:r>
    </w:p>
    <w:p w14:paraId="0C8E5305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2.每日巡查各岗点人员到岗、履职、纪律情况，及时纠正违规执勤行为，做好巡查记录存档备查。</w:t>
      </w:r>
    </w:p>
    <w:p w14:paraId="1FFCBAD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3.定期组织全体安保人员开展业务培训、应急演练、纪律作风教育，提升队伍执勤、应急处置、服务保障能力。</w:t>
      </w:r>
    </w:p>
    <w:p w14:paraId="76613CC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4.牵头负责医院大型诊疗活动、会议活动、专项检查的安保执勤部署与现场秩序保障工作。</w:t>
      </w:r>
    </w:p>
    <w:p w14:paraId="1652934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5. 统筹处置院区各类突发治安、安全、纠纷事件，做好上报、协调、闭环处置工作，完成采购人交办的各类临时性安保任务。</w:t>
      </w:r>
    </w:p>
    <w:p w14:paraId="345EAD5B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1"/>
          <w:szCs w:val="22"/>
        </w:rPr>
      </w:pPr>
      <w:bookmarkStart w:id="9" w:name="heading_4"/>
      <w:r>
        <w:rPr>
          <w:rFonts w:hint="eastAsia" w:ascii="仿宋_GB2312" w:hAnsi="Arial" w:eastAsia="仿宋_GB2312" w:cs="Arial"/>
          <w:b/>
          <w:kern w:val="0"/>
          <w:sz w:val="30"/>
          <w:szCs w:val="22"/>
        </w:rPr>
        <w:t>（二）安保班长2名</w:t>
      </w:r>
      <w:bookmarkEnd w:id="9"/>
    </w:p>
    <w:p w14:paraId="2FCF6A7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1.协助队长开展班组日常管理工作，带领本班人员严格落实各项安保、消防管理制度，督导全员规范履职。</w:t>
      </w:r>
    </w:p>
    <w:p w14:paraId="01D0FAFA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2.负责本班次各岗点人员调度、交接班衔接、执勤台账审核，及时排查岗位安全隐患、整改执勤问题。</w:t>
      </w:r>
    </w:p>
    <w:p w14:paraId="2BB6F76A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3.常态化巡查院区治安秩序、消防设施、车辆停放、人员流动情况，发现问题第一时间处置、上报。</w:t>
      </w:r>
    </w:p>
    <w:p w14:paraId="3B80430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4.参与突发事件、应急事件的现场处置、秩序维护工作，配合队长完成各类专项执勤及临时任务。</w:t>
      </w:r>
    </w:p>
    <w:p w14:paraId="66A7A111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0" w:name="heading_5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（三）医院门岗8名</w:t>
      </w:r>
      <w:bookmarkEnd w:id="10"/>
    </w:p>
    <w:p w14:paraId="248252E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1.严格执行医院门禁管理制度，落实来访人员、外来车辆问询、登记、核验制度，严禁无关人员、闲散人员随意进入院区。</w:t>
      </w:r>
    </w:p>
    <w:p w14:paraId="30A943FF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2.严格管控出入院区物资，对外来物资入院进行安全检查，严禁易燃易爆、管制器具等危险物品带入院区；院内设备、物资、物品出院，须凭保卫科正规证明材料，登记备案后方可放行。</w:t>
      </w:r>
    </w:p>
    <w:p w14:paraId="47F573EE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3.维护医院大门内外交通、治安秩序，疏导进出车辆及行人，保障出入口通行畅通有序，杜绝拥堵、占道、无序停放等问题。</w:t>
      </w:r>
    </w:p>
    <w:p w14:paraId="5B79C37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4.规范落实门岗执勤纪律，着装规范、文明执勤、耐心服务，杜绝态度蛮横、推诿扯皮、脱岗离岗等违规行为。</w:t>
      </w:r>
    </w:p>
    <w:p w14:paraId="0A21B3F5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1" w:name="heading_6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（四）院区巡逻、机动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  <w:lang w:eastAsia="zh-CN"/>
        </w:rPr>
        <w:t>岗位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8名</w:t>
      </w:r>
      <w:bookmarkEnd w:id="11"/>
    </w:p>
    <w:p w14:paraId="4B4A0227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1.实行全天候动态巡逻，覆盖院区全部楼栋、通道、楼道、停车场、边角区域，及时发现、制止院区各类违法违规、扰乱秩序行为，全方位保护医患人员人身及财产安全。</w:t>
      </w:r>
    </w:p>
    <w:p w14:paraId="4BAC3C34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2.常态化清理院区内外乱摆摊点、违规散发广告、滞留闲杂人员，维护院区整洁有序的诊疗环境。</w:t>
      </w:r>
    </w:p>
    <w:p w14:paraId="19E3B2F7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3.规范院内交通秩序，劝阻、制止违规行车、乱停乱放、占用消防通道等行为，引导车辆规范停放、有序通行。</w:t>
      </w:r>
    </w:p>
    <w:p w14:paraId="07D3B8C2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4.对院区可疑人员、可疑行为进行礼貌盘问、核查，发现异常情况、安全隐患立即上报保卫科并现场管控处置。</w:t>
      </w:r>
    </w:p>
    <w:p w14:paraId="4B909AF2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5.及时制止院内违法犯罪行为，固定现场、保护证据，将涉案人员移交保卫科或公安机关处理。</w:t>
      </w:r>
    </w:p>
    <w:p w14:paraId="3CF516A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6.遇火灾、自然灾害、突发伤病、治安事件等突发事件，第一时间上报并开展现场救护、秩序维护、人员疏散等处置工作。</w:t>
      </w:r>
    </w:p>
    <w:p w14:paraId="4F60D5D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7.承担医院大型活动现场安保执勤工作，同时负责各岗位人员轮休顶岗、机动备勤任务，保障全员在岗在位。</w:t>
      </w:r>
    </w:p>
    <w:p w14:paraId="54336DFD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1"/>
          <w:szCs w:val="22"/>
        </w:rPr>
      </w:pPr>
      <w:bookmarkStart w:id="12" w:name="heading_7"/>
      <w:r>
        <w:rPr>
          <w:rFonts w:hint="eastAsia" w:ascii="仿宋_GB2312" w:hAnsi="Arial" w:eastAsia="仿宋_GB2312" w:cs="Arial"/>
          <w:b/>
          <w:kern w:val="0"/>
          <w:sz w:val="30"/>
          <w:szCs w:val="22"/>
        </w:rPr>
        <w:t>（五）停车场管理4名、机动车收费2名</w:t>
      </w:r>
      <w:bookmarkEnd w:id="12"/>
    </w:p>
    <w:p w14:paraId="1AA836D4">
      <w:pPr>
        <w:widowControl w:val="0"/>
        <w:spacing w:before="120" w:after="120" w:line="288" w:lineRule="auto"/>
        <w:jc w:val="left"/>
        <w:rPr>
          <w:rFonts w:ascii="仿宋_GB2312" w:hAnsi="Arial" w:eastAsia="仿宋_GB2312" w:cs="Arial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1.严格执行医院机动车停放及收费管理制度，规范管控院区停车场秩序，引导车辆有序停放、出入，杜绝占道、堵路、占用消防通道等问题。</w:t>
      </w:r>
    </w:p>
    <w:p w14:paraId="0B012EBF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2.收费岗位人员严格按照收费标准合规收费，做到日清日结、账实相符，规范保管收费票据、台账资料。</w:t>
      </w:r>
    </w:p>
    <w:p w14:paraId="6601F94E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3.建立每日对账、双人核对、钱款交接签字制度，所有停车收费账目、钱款差错、流失问题由成交供应商全权承担责任，杜绝财务风险。</w:t>
      </w:r>
    </w:p>
    <w:p w14:paraId="3B65EA84">
      <w:pPr>
        <w:widowControl w:val="0"/>
        <w:spacing w:before="120" w:after="120" w:line="288" w:lineRule="auto"/>
        <w:jc w:val="left"/>
        <w:rPr>
          <w:rFonts w:ascii="Calibri" w:hAnsi="Calibri" w:eastAsia="宋体" w:cs="Times New Roman"/>
          <w:kern w:val="0"/>
          <w:sz w:val="21"/>
          <w:szCs w:val="22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4.耐心解答车主咨询，文明执勤、规范服务，妥善处置停车纠纷、收费纠纷等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问题</w:t>
      </w:r>
      <w:r>
        <w:rPr>
          <w:rFonts w:ascii="Arial" w:hAnsi="Arial" w:eastAsia="等线" w:cs="Arial"/>
          <w:kern w:val="0"/>
          <w:sz w:val="22"/>
          <w:szCs w:val="22"/>
        </w:rPr>
        <w:t>。</w:t>
      </w:r>
    </w:p>
    <w:p w14:paraId="1B4CB91F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3" w:name="heading_8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（六）丰辉社区卫生服务中心值守1名</w:t>
      </w:r>
      <w:bookmarkEnd w:id="13"/>
    </w:p>
    <w:p w14:paraId="5EB8146E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1.负责丰辉社区卫生服务中心全域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</w:rPr>
        <w:t>夜间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值守工作，全面维护区域内治安秩序、诊疗秩序、消防安全。</w:t>
      </w:r>
    </w:p>
    <w:p w14:paraId="6E22C3A5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2.常态化巡查区域内设施设备、消防器材、门窗水电，及时排查安全隐患并上报处置。</w:t>
      </w:r>
    </w:p>
    <w:p w14:paraId="5283524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3.做好来访人员登记、车辆管控、物资出入管理，处置辖区内各类突发小型安全事件，保障社区卫生服务中心正常运营。</w:t>
      </w:r>
    </w:p>
    <w:p w14:paraId="4CC9013A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4" w:name="heading_9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（七）视频监控岗位（纳入消防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  <w:lang w:eastAsia="zh-CN"/>
        </w:rPr>
        <w:t>控制岗位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统筹管理）</w:t>
      </w:r>
      <w:bookmarkEnd w:id="14"/>
    </w:p>
    <w:p w14:paraId="394466E7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1.实行24小时不间断双人值守，全程监看院区视频监控、报警系统，实时排查画面异常、人员异常、区域异常情况。</w:t>
      </w:r>
    </w:p>
    <w:p w14:paraId="08E4B70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2.负责监控系统日常操作、视频调取、资料存储、归档备份，严格落实监控资料保密管理、留存管理要求。</w:t>
      </w:r>
    </w:p>
    <w:p w14:paraId="2C340956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3.熟悉全院监控点位布局、设备运行状态，发现设备故障、画面缺失、系统异常立即上报并对接维修。</w:t>
      </w:r>
    </w:p>
    <w:p w14:paraId="6A0F2B08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4.接到火警、突发事件、群众求助、治安异常报警后，第一时间上传下达、联动处置、跟踪闭环。</w:t>
      </w:r>
    </w:p>
    <w:p w14:paraId="0178771F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5.保持监控室环境卫生整洁，规范摆放设备、台账资料，落实机房安全管理制度。</w:t>
      </w:r>
    </w:p>
    <w:p w14:paraId="4AF59309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5" w:name="heading_10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（八）消防控制室岗位6名</w:t>
      </w:r>
      <w:bookmarkEnd w:id="15"/>
    </w:p>
    <w:p w14:paraId="6062D67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1.严格落实24小时持证在岗值守制度，专人专岗、人证合一，全程监看消防火灾自动报警系统、联动控制系统，实时监测院区消防设备运行状态。</w:t>
      </w:r>
    </w:p>
    <w:p w14:paraId="1CDA527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2.熟练操作各类消防控制系统，精准处置火警报警、故障报警、联动信号，区分误报、火警、设备故障，严格按照消防规范完成上报、排查、复位、处置全流程工作。</w:t>
      </w:r>
    </w:p>
    <w:p w14:paraId="048605B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3.全面熟悉院区消防管网、消防点位、消防设施、疏散通道布局，具备独立处置初期火灾、组织人员疏散的能力。</w:t>
      </w:r>
    </w:p>
    <w:p w14:paraId="37937BCE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4.每日做好消防设备巡检、运行台账、报警处置记录，定期配合医院开展消防演练、隐患排查工作，规范归档消防资料。</w:t>
      </w:r>
    </w:p>
    <w:p w14:paraId="4A5A06DF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5.负责消防控制室环境卫生、设备日常维护保养，杜绝机房杂物堆积、违规用电等隐患，完成主管部门交办的各项消防安保工作。</w:t>
      </w:r>
    </w:p>
    <w:p w14:paraId="5601F0A3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6" w:name="heading_11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四、人员资质及素质硬性要求</w:t>
      </w:r>
      <w:bookmarkEnd w:id="16"/>
    </w:p>
    <w:p w14:paraId="2D88E34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所有上岗人员必须符合以下硬性标准，采购人全程核查资质、在岗状态、人员信息，不符合标准人员一律无条件更换。</w:t>
      </w:r>
    </w:p>
    <w:p w14:paraId="5DDA4F94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1.通用基础要求</w:t>
      </w:r>
    </w:p>
    <w:p w14:paraId="228D204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（1）政治可靠、作风正派、无违法犯罪记录、无失信记录，未被原单位辞退、无重大违纪违规记录；</w:t>
      </w:r>
    </w:p>
    <w:p w14:paraId="0CABE1BE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（2）身体健康、无传染性疾病、无精神类疾病、无肢体缺陷，能够胜任全天候执勤、巡逻、应急处置工作；</w:t>
      </w:r>
    </w:p>
    <w:p w14:paraId="2C63111D">
      <w:pPr>
        <w:widowControl w:val="0"/>
        <w:spacing w:before="120" w:after="120" w:line="288" w:lineRule="auto"/>
        <w:jc w:val="left"/>
        <w:rPr>
          <w:rFonts w:hint="eastAsia" w:ascii="仿宋_GB2312" w:hAnsi="Calibri" w:eastAsia="仿宋_GB2312" w:cs="Times New Roman"/>
          <w:color w:val="FF0000"/>
          <w:kern w:val="0"/>
          <w:sz w:val="28"/>
          <w:szCs w:val="28"/>
          <w:lang w:eastAsia="zh-CN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（3）身高1.70米及以上，初中及以上文化程度，持有有效保安员证</w:t>
      </w:r>
    </w:p>
    <w:p w14:paraId="498ADC67">
      <w:pPr>
        <w:widowControl w:val="0"/>
        <w:spacing w:before="120" w:after="120" w:line="288" w:lineRule="auto"/>
        <w:jc w:val="left"/>
        <w:rPr>
          <w:rFonts w:hint="eastAsia" w:ascii="仿宋_GB2312" w:hAnsi="Arial" w:eastAsia="仿宋_GB2312" w:cs="Arial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（4）年龄严格控制在18</w:t>
      </w:r>
      <w:r>
        <w:rPr>
          <w:rFonts w:hint="eastAsia" w:ascii="宋体" w:hAnsi="宋体" w:eastAsia="宋体" w:cs="宋体"/>
          <w:kern w:val="0"/>
          <w:sz w:val="28"/>
          <w:szCs w:val="28"/>
        </w:rPr>
        <w:t>–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55周岁，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院区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</w:rPr>
        <w:t>巡逻、机动岗位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  <w:lang w:eastAsia="zh-CN"/>
        </w:rPr>
        <w:t>要求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</w:rPr>
        <w:t>18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–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</w:rPr>
        <w:t>50周岁，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无特殊放宽情形；</w:t>
      </w:r>
    </w:p>
    <w:p w14:paraId="1189FA1F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响应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时须提供拟派人员满足上述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四项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要求的承诺函加盖公章，格式不限，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成交后提供拟派人员的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身份证、无犯罪记录证明、</w:t>
      </w:r>
      <w:r>
        <w:rPr>
          <w:rFonts w:hint="eastAsia" w:ascii="仿宋_GB2312" w:hAnsi="Arial" w:eastAsia="仿宋_GB2312" w:cs="Arial"/>
          <w:color w:val="auto"/>
          <w:kern w:val="0"/>
          <w:sz w:val="28"/>
          <w:szCs w:val="28"/>
        </w:rPr>
        <w:t>保安员证、健康证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资料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，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由供应商审查存档，并向采购人保卫科报送复印件备案。</w:t>
      </w:r>
    </w:p>
    <w:p w14:paraId="12D62A47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2.管理岗位专项要求</w:t>
      </w:r>
    </w:p>
    <w:p w14:paraId="75600971">
      <w:pPr>
        <w:widowControl w:val="0"/>
        <w:spacing w:before="120" w:after="120" w:line="288" w:lineRule="auto"/>
        <w:jc w:val="left"/>
        <w:rPr>
          <w:rFonts w:hint="eastAsia" w:ascii="仿宋_GB2312" w:hAnsi="Arial" w:eastAsia="仿宋_GB2312" w:cs="Arial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（1）安保队长：高中及以上学历，具备2年及以上专业安保队伍管理经验，或部队班长及以上任职经历，具备较强的统筹管理、沟通协调、突发事件应急处置能力；</w:t>
      </w:r>
    </w:p>
    <w:p w14:paraId="14692B5E">
      <w:pPr>
        <w:widowControl w:val="0"/>
        <w:spacing w:before="120" w:after="120" w:line="288" w:lineRule="auto"/>
        <w:jc w:val="left"/>
        <w:rPr>
          <w:rFonts w:hint="eastAsia" w:ascii="仿宋_GB2312" w:hAnsi="Arial" w:eastAsia="仿宋_GB2312" w:cs="Arial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（2）安保班长：具备1年及以上安保执勤管理经验，熟悉医院安保、消防基础工作，纪律性强、执行力强。</w:t>
      </w:r>
    </w:p>
    <w:p w14:paraId="394D8A14">
      <w:pPr>
        <w:widowControl w:val="0"/>
        <w:spacing w:before="120" w:after="120" w:line="288" w:lineRule="auto"/>
        <w:jc w:val="left"/>
        <w:rPr>
          <w:rFonts w:hint="eastAsia" w:ascii="仿宋_GB2312" w:hAnsi="仿宋_GB2312" w:eastAsia="仿宋_GB2312" w:cs="仿宋_GB2312"/>
          <w:b w:val="0"/>
          <w:bCs/>
          <w:color w:val="auto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0"/>
          <w:sz w:val="28"/>
          <w:szCs w:val="28"/>
          <w:lang w:eastAsia="zh-CN"/>
        </w:rPr>
        <w:t>响应时须提供安保队长和安保班长满足上述要求的承诺函加盖公章，格式不限，成交后提供上述要求的证件及证明材料。</w:t>
      </w:r>
    </w:p>
    <w:p w14:paraId="1588BF5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3.视频监控岗位要求</w:t>
      </w:r>
    </w:p>
    <w:p w14:paraId="3FD5B11A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具备熟练的计算机操作能力，能够熟练使用监控管理软件、完成视频调取、资料保全、台账录入工作；语言表达清晰、反应敏捷、责任心强，具备良好的应急处置和沟通协调能力。</w:t>
      </w:r>
    </w:p>
    <w:p w14:paraId="3AB9181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4.消防控制室岗位专项硬性要求</w:t>
      </w:r>
    </w:p>
    <w:p w14:paraId="7CD38559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（1）所有人员必须持有</w:t>
      </w:r>
      <w:r>
        <w:rPr>
          <w:rFonts w:hint="eastAsia" w:ascii="仿宋_GB2312" w:hAnsi="Arial" w:eastAsia="仿宋_GB2312" w:cs="Arial"/>
          <w:b w:val="0"/>
          <w:bCs/>
          <w:kern w:val="0"/>
          <w:sz w:val="28"/>
          <w:szCs w:val="28"/>
        </w:rPr>
        <w:t>有效消防设施操作员（中级）证书</w:t>
      </w:r>
      <w:r>
        <w:rPr>
          <w:rFonts w:hint="eastAsia" w:ascii="仿宋_GB2312" w:hAnsi="Arial" w:eastAsia="仿宋_GB2312" w:cs="Arial"/>
          <w:b w:val="0"/>
          <w:bCs/>
          <w:kern w:val="0"/>
          <w:sz w:val="28"/>
          <w:szCs w:val="28"/>
          <w:lang w:eastAsia="zh-CN"/>
        </w:rPr>
        <w:t>，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证书在有效期内</w:t>
      </w:r>
      <w:r>
        <w:rPr>
          <w:rFonts w:hint="eastAsia" w:ascii="仿宋_GB2312" w:hAnsi="Arial" w:eastAsia="仿宋_GB2312" w:cs="Arial"/>
          <w:b w:val="0"/>
          <w:bCs/>
          <w:kern w:val="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响应时须提供拟派人员满足上述要求的承诺函加盖公章，格式不限，成交后提供上述要求的证件）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。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严格落实人证合一、在岗可查，严禁证书挂靠、无证顶岗、人证不符；</w:t>
      </w:r>
    </w:p>
    <w:p w14:paraId="097CD01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（2）熟练掌握火灾自动报警系统、消防联动设备操作，熟知各类消防设施功能、应急处置流程，具备独立处置初期火情、排查消防故障的能力；</w:t>
      </w:r>
    </w:p>
    <w:p w14:paraId="0DF6C62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（3）责任心强、细致严谨，具备快速应急响应、现场协调处置能力，严格遵守消防值守各项规章制度。</w:t>
      </w:r>
    </w:p>
    <w:p w14:paraId="51673E2C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7" w:name="heading_12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五、服务规范与标准化管理要求</w:t>
      </w:r>
      <w:bookmarkEnd w:id="17"/>
    </w:p>
    <w:p w14:paraId="38A0A1B9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1.仪容礼仪规范</w:t>
      </w:r>
    </w:p>
    <w:p w14:paraId="4C3680E9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全员上岗统一制式服装、佩戴工牌、仪容整洁、举止文明，上岗期间严禁玩手机、脱岗、闲聊、睡岗、态度蛮横、与医患人员发生争执，严格遵守医院服务礼仪规范，维护医院良好形象。</w:t>
      </w:r>
    </w:p>
    <w:p w14:paraId="1B70647D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2.人员稳定性管理</w:t>
      </w:r>
    </w:p>
    <w:p w14:paraId="76340DBC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项目岗位人员未经采购人同意，不得随意更换、调岗，确保服务连续性、稳定性。</w:t>
      </w:r>
    </w:p>
    <w:p w14:paraId="20E4C1F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3.台账资料管理</w:t>
      </w:r>
    </w:p>
    <w:p w14:paraId="452DC331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供应商须建立全套标准化台账，包含交接班记录、巡逻台账、报警处置台账、人员考勤台账、培训演练台账等，做到每日记录、每月归档、随时可查。</w:t>
      </w:r>
    </w:p>
    <w:p w14:paraId="418DD7A6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4.培训与应急演练</w:t>
      </w:r>
    </w:p>
    <w:p w14:paraId="0F2DFE49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每月组织1次岗位业务培训，每季度组织1次消防应急、最小应急单元突发事件处置演练，留存培训照片、签到表、演练方案及总结资料，接受采购人核查。</w:t>
      </w:r>
    </w:p>
    <w:p w14:paraId="6E4A851F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5.保密管理要求</w:t>
      </w:r>
    </w:p>
    <w:p w14:paraId="3825127E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全员严禁泄露院区监控视频、患者隐私信息、院区布局、安防设施、消防资料等涉密信息，严禁私自拷贝、传播、外泄院内各类涉密资料。</w:t>
      </w:r>
    </w:p>
    <w:p w14:paraId="35402EC1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8" w:name="heading_13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六、应急处置工作要求</w:t>
      </w:r>
      <w:bookmarkEnd w:id="18"/>
    </w:p>
    <w:p w14:paraId="1F35CE51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供应商须建立完善的应急处置机制，针对医院高频突发事件制定标准化处置流程，实现快速响应、规范处置、闭环管理：</w:t>
      </w:r>
    </w:p>
    <w:p w14:paraId="13011A9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1.医患纠纷、医闹事件：第一时间到场劝阻、隔离疏导、维护现场秩序，安抚情绪、控制事态，及时上报保卫科，配合做好调解处置工作，防止事态扩大；</w:t>
      </w:r>
    </w:p>
    <w:p w14:paraId="77704CD1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2.治安、暴力突发事件：快速到场管控现场、疏散围观人员、保护医患安全，及时上报并联动公安机关处置；</w:t>
      </w:r>
    </w:p>
    <w:p w14:paraId="06EED92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3.火灾及消防隐患：精准识别火情、快速上报、启动初期火情处置，疏导人员、阻断火源，配合消防部门开展救援工作；</w:t>
      </w:r>
    </w:p>
    <w:p w14:paraId="0DF16841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4.自然灾害、极端天气：提前排查隐患、做好防护准备，及时疏导人员、清理隐患，保障院区设施及人员安全；</w:t>
      </w:r>
    </w:p>
    <w:p w14:paraId="62B95F2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5.所有突发事件必须做到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3分钟响应、第一时间上报、全程跟进处置、事后台账归档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。</w:t>
      </w:r>
    </w:p>
    <w:p w14:paraId="3CD0A75D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19" w:name="heading_14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七、用工及保险保障要求</w:t>
      </w:r>
      <w:bookmarkEnd w:id="19"/>
    </w:p>
    <w:p w14:paraId="0EF2016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1.供应商须依法与所有上岗员工签订劳动合同，规范落实用工管理制度，按时足额发放工资、缴纳社保，杜绝拖欠工资、违规用工等问题；</w:t>
      </w:r>
    </w:p>
    <w:p w14:paraId="7CD9F0E1">
      <w:pPr>
        <w:widowControl w:val="0"/>
        <w:spacing w:before="120" w:after="120" w:line="288" w:lineRule="auto"/>
        <w:jc w:val="left"/>
        <w:rPr>
          <w:rFonts w:hint="eastAsia" w:ascii="仿宋_GB2312" w:hAnsi="Calibri" w:eastAsia="仿宋_GB2312" w:cs="Times New Roman"/>
          <w:kern w:val="0"/>
          <w:sz w:val="28"/>
          <w:szCs w:val="28"/>
          <w:lang w:eastAsia="zh-CN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2.成交后须为全体在岗人员购买足额工伤保险及商业意外伤害保险，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人身意外险保额不低于50万元/人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，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响应时须提供承诺函加盖公章，成交后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向采购人提交保单复印件备案</w:t>
      </w:r>
      <w:r>
        <w:rPr>
          <w:rFonts w:hint="eastAsia" w:ascii="仿宋_GB2312" w:hAnsi="Arial" w:eastAsia="仿宋_GB2312" w:cs="Arial"/>
          <w:kern w:val="0"/>
          <w:sz w:val="28"/>
          <w:szCs w:val="28"/>
          <w:lang w:eastAsia="zh-CN"/>
        </w:rPr>
        <w:t>。</w:t>
      </w:r>
    </w:p>
    <w:p w14:paraId="0FE50E3E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20" w:name="heading_15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八、考核与违约处罚机制</w:t>
      </w:r>
      <w:bookmarkEnd w:id="20"/>
    </w:p>
    <w:p w14:paraId="3EAE04B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1.考核机制</w:t>
      </w:r>
    </w:p>
    <w:p w14:paraId="2621C665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采购人实行年度总考核制度，采用百分制量化考核，考核内容包含人员在岗、资质合规、执勤规范、台账完善、应急处置、投诉情况、消防安全、秩序维护等，年度考核合格为合同续签的唯一依据，年度考核不合格直接终止合作。</w:t>
      </w:r>
    </w:p>
    <w:p w14:paraId="7A632C77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2.违约处罚条款</w:t>
      </w:r>
    </w:p>
    <w:p w14:paraId="2FE15D95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（1）发现空岗、脱岗、睡岗、无证上岗、人证不符、资质造假等违规行为，每次扣除当月服务费，并限期整改，屡教不改直接终止合同；</w:t>
      </w:r>
    </w:p>
    <w:p w14:paraId="4406F134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（2）因服务不到位、处置不当引发医患投诉、舆情问题、安全隐患、消防违规处罚的，由供应商承担全部责任，并扣除相应服务费；</w:t>
      </w:r>
    </w:p>
    <w:p w14:paraId="425DA288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（3）人员流动率超标、核心岗位擅自换岗、台账缺失、未按要求开展培训演练的，限期整改并扣减考核分值；</w:t>
      </w:r>
    </w:p>
    <w:p w14:paraId="79211096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（4）出现收费账目混乱、钱款缺失、财务纠纷的，由供应商全额赔付损失，并接受采购人处罚；</w:t>
      </w:r>
    </w:p>
    <w:p w14:paraId="74200F2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（5）存在泄密、违规执勤、拒不服从采购人管理等严重违约行为的，采购人有权要求调整人员。</w:t>
      </w:r>
    </w:p>
    <w:p w14:paraId="101D708E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21" w:name="heading_18"/>
      <w:r>
        <w:rPr>
          <w:rFonts w:hint="eastAsia" w:ascii="仿宋_GB2312" w:hAnsi="Arial" w:eastAsia="仿宋_GB2312" w:cs="Arial"/>
          <w:b/>
          <w:kern w:val="0"/>
          <w:sz w:val="28"/>
          <w:szCs w:val="28"/>
          <w:lang w:eastAsia="zh-CN"/>
        </w:rPr>
        <w:t>九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、其他要求</w:t>
      </w:r>
      <w:bookmarkEnd w:id="21"/>
    </w:p>
    <w:p w14:paraId="2D79CAE7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1.成交供应商须在合同签订前，根据本采购需求制定细化、可落地的岗位职责制度、排班制度、管理制度、应急处置预案，报采购人保卫科审核通过后严格执行；</w:t>
      </w:r>
    </w:p>
    <w:p w14:paraId="005038CE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2.本项目为总价包干服务，包含人员薪酬、社保、保险、服装、装备、培训、管理、税费、应急耗材等全部费用，采购人不额外支付任何费用；</w:t>
      </w:r>
    </w:p>
    <w:p w14:paraId="29929C0E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3.服务期内供应商须无条件配合采购人各类检查、督查、专项整治、应急保障工作，全力保障院区安全稳定运营。</w:t>
      </w:r>
    </w:p>
    <w:p w14:paraId="730F81E4">
      <w:pPr>
        <w:widowControl w:val="0"/>
        <w:spacing w:before="320" w:after="120" w:line="288" w:lineRule="auto"/>
        <w:jc w:val="left"/>
        <w:outlineLvl w:val="1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22" w:name="heading_19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十、服务考核标准及年度考核表</w:t>
      </w:r>
      <w:bookmarkEnd w:id="22"/>
    </w:p>
    <w:p w14:paraId="6E207A14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本项目实行</w:t>
      </w: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年度综合百分制考核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，考核结果直接与年度合同续签、违约处罚挂钩，为本项目刚性履约依据，成交供应商须无条件遵照执行。</w:t>
      </w:r>
    </w:p>
    <w:p w14:paraId="388220F6">
      <w:pPr>
        <w:widowControl w:val="0"/>
        <w:spacing w:before="300" w:after="120" w:line="288" w:lineRule="auto"/>
        <w:jc w:val="left"/>
        <w:outlineLvl w:val="2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23" w:name="heading_20"/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（一）通用考核规则</w:t>
      </w:r>
      <w:bookmarkEnd w:id="23"/>
    </w:p>
    <w:p w14:paraId="53960B4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1.年度考核总分100分，由采购人保卫科牵头会同门诊办、丰辉卫生服务中心进行考核。</w:t>
      </w:r>
    </w:p>
    <w:p w14:paraId="0CA5768A">
      <w:pPr>
        <w:widowControl w:val="0"/>
        <w:spacing w:before="120" w:after="120" w:line="288" w:lineRule="auto"/>
        <w:jc w:val="left"/>
        <w:rPr>
          <w:rFonts w:ascii="仿宋_GB2312" w:hAnsi="Arial" w:eastAsia="仿宋_GB2312" w:cs="Arial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2.评分由考核小组根据日常监督检查、台账资料、现场核查及各方反馈综合评定，为最终依据。</w:t>
      </w:r>
    </w:p>
    <w:p w14:paraId="1F0568EB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3.考核等级划分：90分（含）以上为优秀，80（含）-89分为合格，70（含）-79分为基本合格，70分以下为不合格。</w:t>
      </w:r>
    </w:p>
    <w:p w14:paraId="6D270DB2">
      <w:pPr>
        <w:widowControl w:val="0"/>
        <w:spacing w:before="120" w:after="120" w:line="288" w:lineRule="auto"/>
        <w:jc w:val="left"/>
        <w:rPr>
          <w:rFonts w:ascii="仿宋_GB2312" w:hAnsi="Arial" w:eastAsia="仿宋_GB2312" w:cs="Arial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kern w:val="0"/>
          <w:sz w:val="28"/>
          <w:szCs w:val="28"/>
        </w:rPr>
        <w:t>4.年度考核应用：年度平均分80分（含）以上，方可申请合同续签；年度考核低于80分，采购人可终止合同，不予续签。</w:t>
      </w:r>
    </w:p>
    <w:p w14:paraId="02B749FF">
      <w:pPr>
        <w:widowControl w:val="0"/>
        <w:spacing w:before="120" w:after="120" w:line="288" w:lineRule="auto"/>
        <w:jc w:val="left"/>
        <w:rPr>
          <w:rFonts w:ascii="仿宋_GB2312" w:hAnsi="Arial" w:eastAsia="仿宋_GB2312" w:cs="Arial"/>
          <w:b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5.加减分标准</w:t>
      </w:r>
    </w:p>
    <w:p w14:paraId="3A0CFE06">
      <w:pPr>
        <w:widowControl w:val="0"/>
        <w:spacing w:before="120" w:after="120" w:line="288" w:lineRule="auto"/>
        <w:jc w:val="left"/>
        <w:rPr>
          <w:rFonts w:ascii="仿宋_GB2312" w:hAnsi="Arial" w:eastAsia="仿宋_GB2312" w:cs="Arial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加分项：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如协助公安机关抓获嫌疑人、成功防范重大安全事故、获得患者或职工表扬信（锦旗）等突出表现，每项加1-2分，累计不超过5分；</w:t>
      </w:r>
    </w:p>
    <w:p w14:paraId="3A29D5E9">
      <w:pPr>
        <w:widowControl w:val="0"/>
        <w:spacing w:before="120" w:after="120" w:line="288" w:lineRule="auto"/>
        <w:jc w:val="left"/>
        <w:rPr>
          <w:rFonts w:ascii="仿宋_GB2312" w:hAnsi="Arial" w:eastAsia="仿宋_GB2312" w:cs="Arial"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减分项：</w:t>
      </w:r>
      <w:r>
        <w:rPr>
          <w:rFonts w:hint="eastAsia" w:ascii="仿宋_GB2312" w:hAnsi="Arial" w:eastAsia="仿宋_GB2312" w:cs="Arial"/>
          <w:kern w:val="0"/>
          <w:sz w:val="28"/>
          <w:szCs w:val="28"/>
        </w:rPr>
        <w:t>如发生安全责任事故、因脱岗失职造成财产损失、重大投诉属实等情形，每项减1-5分，可累计扣减。</w:t>
      </w:r>
      <w:bookmarkStart w:id="24" w:name="heading_21"/>
    </w:p>
    <w:p w14:paraId="18EEA3A6">
      <w:pPr>
        <w:widowControl w:val="0"/>
        <w:spacing w:before="300" w:after="120" w:line="288" w:lineRule="auto"/>
        <w:jc w:val="left"/>
        <w:outlineLvl w:val="2"/>
        <w:rPr>
          <w:rFonts w:ascii="仿宋_GB2312" w:hAnsi="Arial" w:eastAsia="仿宋_GB2312" w:cs="Arial"/>
          <w:b/>
          <w:kern w:val="0"/>
          <w:sz w:val="28"/>
          <w:szCs w:val="28"/>
        </w:rPr>
      </w:pPr>
      <w:r>
        <w:rPr>
          <w:rFonts w:hint="eastAsia" w:ascii="仿宋_GB2312" w:hAnsi="Arial" w:eastAsia="仿宋_GB2312" w:cs="Arial"/>
          <w:b/>
          <w:kern w:val="0"/>
          <w:sz w:val="28"/>
          <w:szCs w:val="28"/>
        </w:rPr>
        <w:t>（二）年度服务考核评分表（100分）</w:t>
      </w:r>
      <w:bookmarkEnd w:id="24"/>
    </w:p>
    <w:tbl>
      <w:tblPr>
        <w:tblStyle w:val="4"/>
        <w:tblW w:w="9356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2379"/>
        <w:gridCol w:w="1590"/>
        <w:gridCol w:w="709"/>
        <w:gridCol w:w="708"/>
        <w:gridCol w:w="1104"/>
        <w:gridCol w:w="708"/>
        <w:gridCol w:w="567"/>
        <w:gridCol w:w="567"/>
        <w:gridCol w:w="567"/>
      </w:tblGrid>
      <w:tr w14:paraId="1D67C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57" w:type="dxa"/>
            <w:noWrap/>
            <w:vAlign w:val="center"/>
          </w:tcPr>
          <w:p w14:paraId="1709FB3A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bookmarkStart w:id="25" w:name="OLE_LINK32"/>
            <w:bookmarkStart w:id="26" w:name="OLE_LINK31"/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序号</w:t>
            </w:r>
          </w:p>
        </w:tc>
        <w:tc>
          <w:tcPr>
            <w:tcW w:w="2379" w:type="dxa"/>
            <w:noWrap/>
            <w:vAlign w:val="center"/>
          </w:tcPr>
          <w:p w14:paraId="74F7AB38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考核项目</w:t>
            </w:r>
          </w:p>
        </w:tc>
        <w:tc>
          <w:tcPr>
            <w:tcW w:w="4111" w:type="dxa"/>
            <w:gridSpan w:val="4"/>
            <w:noWrap/>
            <w:vAlign w:val="center"/>
          </w:tcPr>
          <w:p w14:paraId="5C708AAA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考核内容及评分标准</w:t>
            </w:r>
          </w:p>
        </w:tc>
        <w:tc>
          <w:tcPr>
            <w:tcW w:w="708" w:type="dxa"/>
            <w:noWrap/>
            <w:vAlign w:val="center"/>
          </w:tcPr>
          <w:p w14:paraId="23EFA4EE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分</w:t>
            </w:r>
          </w:p>
          <w:p w14:paraId="64847765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值</w:t>
            </w:r>
          </w:p>
        </w:tc>
        <w:tc>
          <w:tcPr>
            <w:tcW w:w="567" w:type="dxa"/>
          </w:tcPr>
          <w:p w14:paraId="222F82BE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扣</w:t>
            </w:r>
          </w:p>
          <w:p w14:paraId="009CC978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分</w:t>
            </w:r>
          </w:p>
        </w:tc>
        <w:tc>
          <w:tcPr>
            <w:tcW w:w="567" w:type="dxa"/>
          </w:tcPr>
          <w:p w14:paraId="2AF9FCC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加</w:t>
            </w:r>
          </w:p>
          <w:p w14:paraId="154FC2B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分</w:t>
            </w:r>
          </w:p>
        </w:tc>
        <w:tc>
          <w:tcPr>
            <w:tcW w:w="567" w:type="dxa"/>
            <w:noWrap/>
            <w:vAlign w:val="center"/>
          </w:tcPr>
          <w:p w14:paraId="15C83CA1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评</w:t>
            </w:r>
          </w:p>
          <w:p w14:paraId="48E53D2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分</w:t>
            </w:r>
          </w:p>
        </w:tc>
      </w:tr>
      <w:tr w14:paraId="77053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30E59475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9" w:type="dxa"/>
            <w:noWrap/>
            <w:vAlign w:val="center"/>
          </w:tcPr>
          <w:p w14:paraId="727D107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人员配备与资质管理</w:t>
            </w:r>
          </w:p>
        </w:tc>
        <w:tc>
          <w:tcPr>
            <w:tcW w:w="4111" w:type="dxa"/>
            <w:gridSpan w:val="4"/>
            <w:vAlign w:val="center"/>
          </w:tcPr>
          <w:p w14:paraId="42ED7567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按合同约定足额配备保安人员，持证上岗、人证相符</w:t>
            </w:r>
          </w:p>
        </w:tc>
        <w:tc>
          <w:tcPr>
            <w:tcW w:w="708" w:type="dxa"/>
            <w:noWrap/>
            <w:vAlign w:val="center"/>
          </w:tcPr>
          <w:p w14:paraId="2ABDD80C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36A7FCF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348F0BA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5015FFD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43C5D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1D256433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79" w:type="dxa"/>
            <w:noWrap/>
            <w:vAlign w:val="center"/>
          </w:tcPr>
          <w:p w14:paraId="3E81C87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人员配备与资质管理</w:t>
            </w:r>
          </w:p>
        </w:tc>
        <w:tc>
          <w:tcPr>
            <w:tcW w:w="4111" w:type="dxa"/>
            <w:gridSpan w:val="4"/>
            <w:vAlign w:val="center"/>
          </w:tcPr>
          <w:p w14:paraId="13F4C2E5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队伍相对稳定，人员流动率控制在合理范围，空缺岗位及时补齐</w:t>
            </w:r>
          </w:p>
        </w:tc>
        <w:tc>
          <w:tcPr>
            <w:tcW w:w="708" w:type="dxa"/>
            <w:noWrap/>
            <w:vAlign w:val="center"/>
          </w:tcPr>
          <w:p w14:paraId="2FE5851D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4FEA4DB4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1287304C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13306CAD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1DE7E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17323E61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2379" w:type="dxa"/>
            <w:noWrap/>
            <w:vAlign w:val="center"/>
          </w:tcPr>
          <w:p w14:paraId="7D8FDF09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仪容仪表与纪律作风</w:t>
            </w:r>
          </w:p>
        </w:tc>
        <w:tc>
          <w:tcPr>
            <w:tcW w:w="4111" w:type="dxa"/>
            <w:gridSpan w:val="4"/>
            <w:vAlign w:val="center"/>
          </w:tcPr>
          <w:p w14:paraId="136C4745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统一着装、佩戴工作证件，仪容整洁、精神饱满</w:t>
            </w:r>
          </w:p>
        </w:tc>
        <w:tc>
          <w:tcPr>
            <w:tcW w:w="708" w:type="dxa"/>
            <w:noWrap/>
            <w:vAlign w:val="center"/>
          </w:tcPr>
          <w:p w14:paraId="3BF6E43B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0F1080B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33E884F9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099E6DD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7E741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64D2670E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2379" w:type="dxa"/>
            <w:noWrap/>
            <w:vAlign w:val="center"/>
          </w:tcPr>
          <w:p w14:paraId="76C87680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仪容仪表与纪律作风</w:t>
            </w:r>
          </w:p>
        </w:tc>
        <w:tc>
          <w:tcPr>
            <w:tcW w:w="4111" w:type="dxa"/>
            <w:gridSpan w:val="4"/>
            <w:vAlign w:val="center"/>
          </w:tcPr>
          <w:p w14:paraId="0376F45B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遵守劳动纪律，无脱岗、漏岗、睡岗现象，文明执勤、礼貌用语</w:t>
            </w:r>
          </w:p>
        </w:tc>
        <w:tc>
          <w:tcPr>
            <w:tcW w:w="708" w:type="dxa"/>
            <w:noWrap/>
            <w:vAlign w:val="center"/>
          </w:tcPr>
          <w:p w14:paraId="0588F13F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6C01F7A5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51C586FE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719BBB7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2F3CB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47894F35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2379" w:type="dxa"/>
            <w:noWrap/>
            <w:vAlign w:val="center"/>
          </w:tcPr>
          <w:p w14:paraId="79B085BB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门岗与出入口管理</w:t>
            </w:r>
          </w:p>
        </w:tc>
        <w:tc>
          <w:tcPr>
            <w:tcW w:w="4111" w:type="dxa"/>
            <w:gridSpan w:val="4"/>
            <w:vAlign w:val="center"/>
          </w:tcPr>
          <w:p w14:paraId="04076334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各出入口值守到位，车辆停放规范</w:t>
            </w:r>
          </w:p>
        </w:tc>
        <w:tc>
          <w:tcPr>
            <w:tcW w:w="708" w:type="dxa"/>
            <w:noWrap/>
            <w:vAlign w:val="center"/>
          </w:tcPr>
          <w:p w14:paraId="2A757691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187A3E8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0F054E8E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775266BF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3AD38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4768F9C1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2379" w:type="dxa"/>
            <w:noWrap/>
            <w:vAlign w:val="center"/>
          </w:tcPr>
          <w:p w14:paraId="21424838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门岗与出入口管理</w:t>
            </w:r>
          </w:p>
        </w:tc>
        <w:tc>
          <w:tcPr>
            <w:tcW w:w="4111" w:type="dxa"/>
            <w:gridSpan w:val="4"/>
            <w:vAlign w:val="center"/>
          </w:tcPr>
          <w:p w14:paraId="06D93D6D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落实安检制度，物品进出查验到位</w:t>
            </w:r>
          </w:p>
        </w:tc>
        <w:tc>
          <w:tcPr>
            <w:tcW w:w="708" w:type="dxa"/>
            <w:noWrap/>
            <w:vAlign w:val="center"/>
          </w:tcPr>
          <w:p w14:paraId="57163119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0D91848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67757AFC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09667642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66239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5F83FB55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2379" w:type="dxa"/>
            <w:noWrap/>
            <w:vAlign w:val="center"/>
          </w:tcPr>
          <w:p w14:paraId="654DE569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门岗与出入口管理</w:t>
            </w:r>
          </w:p>
        </w:tc>
        <w:tc>
          <w:tcPr>
            <w:tcW w:w="4111" w:type="dxa"/>
            <w:gridSpan w:val="4"/>
            <w:vAlign w:val="center"/>
          </w:tcPr>
          <w:p w14:paraId="7866DECF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严格执行门禁、夜间值守管理制度</w:t>
            </w:r>
          </w:p>
        </w:tc>
        <w:tc>
          <w:tcPr>
            <w:tcW w:w="708" w:type="dxa"/>
            <w:noWrap/>
            <w:vAlign w:val="center"/>
          </w:tcPr>
          <w:p w14:paraId="1D7E9A18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68C71504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0003CDA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1CEA5DF7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5D958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7F97ADC5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8</w:t>
            </w:r>
          </w:p>
        </w:tc>
        <w:tc>
          <w:tcPr>
            <w:tcW w:w="2379" w:type="dxa"/>
            <w:noWrap/>
            <w:vAlign w:val="center"/>
          </w:tcPr>
          <w:p w14:paraId="78F2588C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治安巡逻与秩序维护</w:t>
            </w:r>
          </w:p>
        </w:tc>
        <w:tc>
          <w:tcPr>
            <w:tcW w:w="4111" w:type="dxa"/>
            <w:gridSpan w:val="4"/>
            <w:vAlign w:val="center"/>
          </w:tcPr>
          <w:p w14:paraId="043BE7F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按规定时间和路线巡逻，巡查记录完整、真实</w:t>
            </w:r>
          </w:p>
        </w:tc>
        <w:tc>
          <w:tcPr>
            <w:tcW w:w="708" w:type="dxa"/>
            <w:noWrap/>
            <w:vAlign w:val="center"/>
          </w:tcPr>
          <w:p w14:paraId="093F11B4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5A6415D1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3C744719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5396DC7D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02B31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4C60FC5A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9</w:t>
            </w:r>
          </w:p>
        </w:tc>
        <w:tc>
          <w:tcPr>
            <w:tcW w:w="2379" w:type="dxa"/>
            <w:noWrap/>
            <w:vAlign w:val="center"/>
          </w:tcPr>
          <w:p w14:paraId="3FBDE409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治安巡逻与秩序维护</w:t>
            </w:r>
          </w:p>
        </w:tc>
        <w:tc>
          <w:tcPr>
            <w:tcW w:w="4111" w:type="dxa"/>
            <w:gridSpan w:val="4"/>
            <w:vAlign w:val="center"/>
          </w:tcPr>
          <w:p w14:paraId="72E1F0D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维护院内就诊秩序，及时处置医患纠纷及突发治安事件</w:t>
            </w:r>
          </w:p>
        </w:tc>
        <w:tc>
          <w:tcPr>
            <w:tcW w:w="708" w:type="dxa"/>
            <w:noWrap/>
            <w:vAlign w:val="center"/>
          </w:tcPr>
          <w:p w14:paraId="60E1D540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1461B6B1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2FC49334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52BEF468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7F7C0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2AE4EDDC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2379" w:type="dxa"/>
            <w:noWrap/>
            <w:vAlign w:val="center"/>
          </w:tcPr>
          <w:p w14:paraId="2B85CAEC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治安巡逻与秩序维护</w:t>
            </w:r>
          </w:p>
        </w:tc>
        <w:tc>
          <w:tcPr>
            <w:tcW w:w="4111" w:type="dxa"/>
            <w:gridSpan w:val="4"/>
            <w:vAlign w:val="center"/>
          </w:tcPr>
          <w:p w14:paraId="46C67A7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加强可疑人员排查，落实防盗、防破坏、防诈骗措施</w:t>
            </w:r>
          </w:p>
        </w:tc>
        <w:tc>
          <w:tcPr>
            <w:tcW w:w="708" w:type="dxa"/>
            <w:noWrap/>
            <w:vAlign w:val="center"/>
          </w:tcPr>
          <w:p w14:paraId="475583BF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38D6A06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4CA6073B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36ABFFAB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09872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5564B293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11</w:t>
            </w:r>
          </w:p>
        </w:tc>
        <w:tc>
          <w:tcPr>
            <w:tcW w:w="2379" w:type="dxa"/>
            <w:noWrap/>
            <w:vAlign w:val="center"/>
          </w:tcPr>
          <w:p w14:paraId="13239FED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消防与安全检查</w:t>
            </w:r>
          </w:p>
        </w:tc>
        <w:tc>
          <w:tcPr>
            <w:tcW w:w="4111" w:type="dxa"/>
            <w:gridSpan w:val="4"/>
            <w:vAlign w:val="center"/>
          </w:tcPr>
          <w:p w14:paraId="58BAF780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每日对消防设施器材进行巡检，台账完整</w:t>
            </w:r>
          </w:p>
        </w:tc>
        <w:tc>
          <w:tcPr>
            <w:tcW w:w="708" w:type="dxa"/>
            <w:noWrap/>
            <w:vAlign w:val="center"/>
          </w:tcPr>
          <w:p w14:paraId="17B5D061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05D1F84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26F2C204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3507DBC7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358F3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1FE98795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12</w:t>
            </w:r>
          </w:p>
        </w:tc>
        <w:tc>
          <w:tcPr>
            <w:tcW w:w="2379" w:type="dxa"/>
            <w:noWrap/>
            <w:vAlign w:val="center"/>
          </w:tcPr>
          <w:p w14:paraId="5D032BEE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消防与安全检查</w:t>
            </w:r>
          </w:p>
        </w:tc>
        <w:tc>
          <w:tcPr>
            <w:tcW w:w="4111" w:type="dxa"/>
            <w:gridSpan w:val="4"/>
            <w:vAlign w:val="center"/>
          </w:tcPr>
          <w:p w14:paraId="54397B91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配合医院消防演练，掌握初期火灾扑救和疏散引导技能</w:t>
            </w:r>
          </w:p>
        </w:tc>
        <w:tc>
          <w:tcPr>
            <w:tcW w:w="708" w:type="dxa"/>
            <w:noWrap/>
            <w:vAlign w:val="center"/>
          </w:tcPr>
          <w:p w14:paraId="2397669F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6E627C4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74FBE04D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0248952B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698B4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523C58E1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13</w:t>
            </w:r>
          </w:p>
        </w:tc>
        <w:tc>
          <w:tcPr>
            <w:tcW w:w="2379" w:type="dxa"/>
            <w:noWrap/>
            <w:vAlign w:val="center"/>
          </w:tcPr>
          <w:p w14:paraId="702A9497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消防与安全检查</w:t>
            </w:r>
          </w:p>
        </w:tc>
        <w:tc>
          <w:tcPr>
            <w:tcW w:w="4111" w:type="dxa"/>
            <w:gridSpan w:val="4"/>
            <w:vAlign w:val="center"/>
          </w:tcPr>
          <w:p w14:paraId="2C93516E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及时排查上报各类安全隐患，防范措施到位</w:t>
            </w:r>
          </w:p>
        </w:tc>
        <w:tc>
          <w:tcPr>
            <w:tcW w:w="708" w:type="dxa"/>
            <w:noWrap/>
            <w:vAlign w:val="center"/>
          </w:tcPr>
          <w:p w14:paraId="2AA7A415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40D35BB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0499DDBD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7C4E792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1DCC7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1E62BE8C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14</w:t>
            </w:r>
          </w:p>
        </w:tc>
        <w:tc>
          <w:tcPr>
            <w:tcW w:w="2379" w:type="dxa"/>
            <w:noWrap/>
            <w:vAlign w:val="center"/>
          </w:tcPr>
          <w:p w14:paraId="4D34C5A5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应急处置能力</w:t>
            </w:r>
          </w:p>
        </w:tc>
        <w:tc>
          <w:tcPr>
            <w:tcW w:w="4111" w:type="dxa"/>
            <w:gridSpan w:val="4"/>
            <w:vAlign w:val="center"/>
          </w:tcPr>
          <w:p w14:paraId="7C8F1B09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熟悉各类应急预案，定期组织应急演练</w:t>
            </w:r>
          </w:p>
        </w:tc>
        <w:tc>
          <w:tcPr>
            <w:tcW w:w="708" w:type="dxa"/>
            <w:noWrap/>
            <w:vAlign w:val="center"/>
          </w:tcPr>
          <w:p w14:paraId="190D2F25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58516365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26E90DFE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29D6501F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7AD43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48507002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2379" w:type="dxa"/>
            <w:noWrap/>
            <w:vAlign w:val="center"/>
          </w:tcPr>
          <w:p w14:paraId="50E5E85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应急处置能力</w:t>
            </w:r>
          </w:p>
        </w:tc>
        <w:tc>
          <w:tcPr>
            <w:tcW w:w="4111" w:type="dxa"/>
            <w:gridSpan w:val="4"/>
            <w:vAlign w:val="center"/>
          </w:tcPr>
          <w:p w14:paraId="1F0E8BB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突发事件响应迅速、处置得当，及时报告</w:t>
            </w:r>
          </w:p>
        </w:tc>
        <w:tc>
          <w:tcPr>
            <w:tcW w:w="708" w:type="dxa"/>
            <w:noWrap/>
            <w:vAlign w:val="center"/>
          </w:tcPr>
          <w:p w14:paraId="0C1219D0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683B485C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58B56EA8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2D74F47D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13D62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39F00612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16</w:t>
            </w:r>
          </w:p>
        </w:tc>
        <w:tc>
          <w:tcPr>
            <w:tcW w:w="2379" w:type="dxa"/>
            <w:noWrap/>
            <w:vAlign w:val="center"/>
          </w:tcPr>
          <w:p w14:paraId="4825B11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应急处置能力</w:t>
            </w:r>
          </w:p>
        </w:tc>
        <w:tc>
          <w:tcPr>
            <w:tcW w:w="4111" w:type="dxa"/>
            <w:gridSpan w:val="4"/>
            <w:vAlign w:val="center"/>
          </w:tcPr>
          <w:p w14:paraId="69077CF2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落实防医闹、防暴力伤医措施，配合公安及医院处置</w:t>
            </w:r>
          </w:p>
        </w:tc>
        <w:tc>
          <w:tcPr>
            <w:tcW w:w="708" w:type="dxa"/>
            <w:noWrap/>
            <w:vAlign w:val="center"/>
          </w:tcPr>
          <w:p w14:paraId="5F513597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3C392909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48777E14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4981CE5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47BFB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1A8E5469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17</w:t>
            </w:r>
          </w:p>
        </w:tc>
        <w:tc>
          <w:tcPr>
            <w:tcW w:w="2379" w:type="dxa"/>
            <w:noWrap/>
            <w:vAlign w:val="center"/>
          </w:tcPr>
          <w:p w14:paraId="6148F890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配合医院管理</w:t>
            </w:r>
          </w:p>
        </w:tc>
        <w:tc>
          <w:tcPr>
            <w:tcW w:w="4111" w:type="dxa"/>
            <w:gridSpan w:val="4"/>
            <w:vAlign w:val="center"/>
          </w:tcPr>
          <w:p w14:paraId="4774A3E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服从医院安保部门统一管理指挥，任务响应及时</w:t>
            </w:r>
          </w:p>
        </w:tc>
        <w:tc>
          <w:tcPr>
            <w:tcW w:w="708" w:type="dxa"/>
            <w:noWrap/>
            <w:vAlign w:val="center"/>
          </w:tcPr>
          <w:p w14:paraId="60C0847F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1E451818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6AE91495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54A7E316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4A03C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203D8308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18</w:t>
            </w:r>
          </w:p>
        </w:tc>
        <w:tc>
          <w:tcPr>
            <w:tcW w:w="2379" w:type="dxa"/>
            <w:noWrap/>
            <w:vAlign w:val="center"/>
          </w:tcPr>
          <w:p w14:paraId="72D88CF7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配合医院管理</w:t>
            </w:r>
          </w:p>
        </w:tc>
        <w:tc>
          <w:tcPr>
            <w:tcW w:w="4111" w:type="dxa"/>
            <w:gridSpan w:val="4"/>
            <w:vAlign w:val="center"/>
          </w:tcPr>
          <w:p w14:paraId="78A4CF5F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台账、值班记录等资料规范齐全，信息报送及时准确</w:t>
            </w:r>
          </w:p>
        </w:tc>
        <w:tc>
          <w:tcPr>
            <w:tcW w:w="708" w:type="dxa"/>
            <w:noWrap/>
            <w:vAlign w:val="center"/>
          </w:tcPr>
          <w:p w14:paraId="65B4623A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0F4789E7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210741DC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54292881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4C248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0E6D6792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19</w:t>
            </w:r>
          </w:p>
        </w:tc>
        <w:tc>
          <w:tcPr>
            <w:tcW w:w="2379" w:type="dxa"/>
            <w:noWrap/>
            <w:vAlign w:val="center"/>
          </w:tcPr>
          <w:p w14:paraId="162B05E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服务满意度与投诉处理</w:t>
            </w:r>
          </w:p>
        </w:tc>
        <w:tc>
          <w:tcPr>
            <w:tcW w:w="4111" w:type="dxa"/>
            <w:gridSpan w:val="4"/>
            <w:vAlign w:val="center"/>
          </w:tcPr>
          <w:p w14:paraId="0B8D91A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患者及职工满意度高，服务对象评价良好</w:t>
            </w:r>
          </w:p>
        </w:tc>
        <w:tc>
          <w:tcPr>
            <w:tcW w:w="708" w:type="dxa"/>
            <w:noWrap/>
            <w:vAlign w:val="center"/>
          </w:tcPr>
          <w:p w14:paraId="5118C838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06D8BB6B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0CE38A4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3EC5FA6A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5B3CF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457" w:type="dxa"/>
            <w:noWrap/>
            <w:vAlign w:val="center"/>
          </w:tcPr>
          <w:p w14:paraId="307BA942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20</w:t>
            </w:r>
          </w:p>
        </w:tc>
        <w:tc>
          <w:tcPr>
            <w:tcW w:w="2379" w:type="dxa"/>
            <w:noWrap/>
            <w:vAlign w:val="center"/>
          </w:tcPr>
          <w:p w14:paraId="13190945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服务满意度与投诉处理</w:t>
            </w:r>
          </w:p>
        </w:tc>
        <w:tc>
          <w:tcPr>
            <w:tcW w:w="4111" w:type="dxa"/>
            <w:gridSpan w:val="4"/>
            <w:vAlign w:val="center"/>
          </w:tcPr>
          <w:p w14:paraId="428549B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投诉处理及时有效，整改落实到位，无重大投诉</w:t>
            </w:r>
          </w:p>
        </w:tc>
        <w:tc>
          <w:tcPr>
            <w:tcW w:w="708" w:type="dxa"/>
            <w:noWrap/>
            <w:vAlign w:val="center"/>
          </w:tcPr>
          <w:p w14:paraId="0E692342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14:paraId="2297A562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0A758BEB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727A5C89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kern w:val="2"/>
                <w:sz w:val="24"/>
                <w:szCs w:val="24"/>
              </w:rPr>
            </w:pPr>
          </w:p>
        </w:tc>
      </w:tr>
      <w:tr w14:paraId="22BD8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6947" w:type="dxa"/>
            <w:gridSpan w:val="6"/>
            <w:noWrap/>
            <w:vAlign w:val="center"/>
          </w:tcPr>
          <w:p w14:paraId="4C098D8C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总分100</w:t>
            </w:r>
          </w:p>
        </w:tc>
        <w:tc>
          <w:tcPr>
            <w:tcW w:w="708" w:type="dxa"/>
            <w:noWrap/>
            <w:vAlign w:val="center"/>
          </w:tcPr>
          <w:p w14:paraId="258809BB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  <w:t>合计</w:t>
            </w:r>
          </w:p>
        </w:tc>
        <w:tc>
          <w:tcPr>
            <w:tcW w:w="567" w:type="dxa"/>
          </w:tcPr>
          <w:p w14:paraId="3DEC910F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</w:p>
        </w:tc>
        <w:tc>
          <w:tcPr>
            <w:tcW w:w="567" w:type="dxa"/>
          </w:tcPr>
          <w:p w14:paraId="4CDB48C0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14:paraId="6EEA048D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</w:p>
        </w:tc>
      </w:tr>
      <w:tr w14:paraId="22773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426" w:type="dxa"/>
            <w:gridSpan w:val="3"/>
            <w:noWrap/>
          </w:tcPr>
          <w:p w14:paraId="5C0752BA">
            <w:pPr>
              <w:widowControl w:val="0"/>
              <w:spacing w:before="120" w:after="120" w:line="288" w:lineRule="auto"/>
              <w:rPr>
                <w:rFonts w:ascii="仿宋_GB2312" w:hAnsi="宋体" w:eastAsia="仿宋_GB2312" w:cs="Arial"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Arial"/>
                <w:kern w:val="2"/>
                <w:sz w:val="24"/>
                <w:szCs w:val="24"/>
              </w:rPr>
              <w:t>年度考核结论：</w:t>
            </w:r>
          </w:p>
          <w:p w14:paraId="26A51FDF">
            <w:pPr>
              <w:widowControl w:val="0"/>
              <w:spacing w:line="240" w:lineRule="auto"/>
              <w:rPr>
                <w:rFonts w:ascii="仿宋_GB2312" w:hAnsi="宋体" w:eastAsia="仿宋_GB2312" w:cs="Arial"/>
                <w:kern w:val="2"/>
                <w:sz w:val="24"/>
                <w:szCs w:val="24"/>
              </w:rPr>
            </w:pPr>
          </w:p>
          <w:p w14:paraId="568AB60F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Arial"/>
                <w:kern w:val="2"/>
                <w:sz w:val="24"/>
                <w:szCs w:val="24"/>
              </w:rPr>
              <w:t>□优秀 □合格 □基本合格 □不合格</w:t>
            </w:r>
          </w:p>
        </w:tc>
        <w:tc>
          <w:tcPr>
            <w:tcW w:w="709" w:type="dxa"/>
          </w:tcPr>
          <w:p w14:paraId="1D8E423E">
            <w:pPr>
              <w:widowControl/>
              <w:spacing w:line="240" w:lineRule="auto"/>
              <w:jc w:val="center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</w:rPr>
            </w:pPr>
          </w:p>
        </w:tc>
        <w:tc>
          <w:tcPr>
            <w:tcW w:w="708" w:type="dxa"/>
          </w:tcPr>
          <w:p w14:paraId="20BBE613">
            <w:pPr>
              <w:widowControl/>
              <w:spacing w:line="240" w:lineRule="auto"/>
              <w:jc w:val="center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</w:rPr>
            </w:pPr>
          </w:p>
        </w:tc>
        <w:tc>
          <w:tcPr>
            <w:tcW w:w="3513" w:type="dxa"/>
            <w:gridSpan w:val="5"/>
            <w:vAlign w:val="center"/>
          </w:tcPr>
          <w:p w14:paraId="0BE5EB02">
            <w:pPr>
              <w:widowControl/>
              <w:spacing w:line="240" w:lineRule="auto"/>
              <w:jc w:val="center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</w:rPr>
            </w:pPr>
          </w:p>
          <w:p w14:paraId="75C30E25">
            <w:pPr>
              <w:widowControl/>
              <w:spacing w:line="240" w:lineRule="auto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  <w:u w:val="single"/>
              </w:rPr>
            </w:pPr>
            <w:r>
              <w:rPr>
                <w:rFonts w:hint="eastAsia" w:ascii="仿宋_GB2312" w:hAnsi="宋体" w:eastAsia="仿宋_GB2312" w:cs="Times New Roman"/>
                <w:bCs/>
                <w:kern w:val="2"/>
                <w:sz w:val="24"/>
                <w:szCs w:val="24"/>
              </w:rPr>
              <w:t>考核人签字：</w:t>
            </w:r>
          </w:p>
          <w:p w14:paraId="757DF8BB">
            <w:pPr>
              <w:widowControl/>
              <w:spacing w:line="240" w:lineRule="auto"/>
              <w:jc w:val="center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  <w:u w:val="single"/>
              </w:rPr>
            </w:pPr>
          </w:p>
          <w:p w14:paraId="0E756E57">
            <w:pPr>
              <w:widowControl/>
              <w:spacing w:line="240" w:lineRule="auto"/>
              <w:jc w:val="center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</w:rPr>
            </w:pPr>
          </w:p>
          <w:p w14:paraId="7CBC18F6">
            <w:pPr>
              <w:widowControl/>
              <w:spacing w:line="240" w:lineRule="auto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Cs/>
                <w:kern w:val="2"/>
                <w:sz w:val="24"/>
                <w:szCs w:val="24"/>
              </w:rPr>
              <w:t>被考核人签字：</w:t>
            </w:r>
          </w:p>
          <w:p w14:paraId="6A507B36">
            <w:pPr>
              <w:widowControl w:val="0"/>
              <w:spacing w:line="240" w:lineRule="auto"/>
              <w:jc w:val="center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</w:rPr>
            </w:pPr>
          </w:p>
          <w:p w14:paraId="01780E23">
            <w:pPr>
              <w:widowControl w:val="0"/>
              <w:spacing w:line="240" w:lineRule="auto"/>
              <w:rPr>
                <w:rFonts w:ascii="仿宋_GB2312" w:hAnsi="宋体" w:eastAsia="仿宋_GB2312" w:cs="Times New Roman"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Cs/>
                <w:kern w:val="2"/>
                <w:sz w:val="24"/>
                <w:szCs w:val="24"/>
              </w:rPr>
              <w:t>日期：</w:t>
            </w:r>
          </w:p>
        </w:tc>
      </w:tr>
      <w:bookmarkEnd w:id="25"/>
      <w:bookmarkEnd w:id="26"/>
    </w:tbl>
    <w:p w14:paraId="26FAAD08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27" w:name="heading_30"/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（四）一票否决终止履约情形</w:t>
      </w:r>
      <w:bookmarkEnd w:id="27"/>
    </w:p>
    <w:p w14:paraId="79CCD795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服务期内出现下列任一情形，采购人有权立即终止合同、扣除相应服务费、不予续签，纳入不良服务商名录：</w:t>
      </w:r>
    </w:p>
    <w:p w14:paraId="42775A8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1.消防岗位无证上岗、人证不符，被消防监管部门通报处罚的；</w:t>
      </w:r>
    </w:p>
    <w:p w14:paraId="77D7C59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2.因值守缺位、处置不当引发火灾、重大治安事件、极端医患事件、重大财产损失的；</w:t>
      </w:r>
    </w:p>
    <w:p w14:paraId="2BC399E1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3.发生涉密信息泄露、私自传播院内监控及隐私资料等严重违规行为；</w:t>
      </w:r>
    </w:p>
    <w:p w14:paraId="09F321C9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4.存在收费舞弊、侵占钱款、私自乱收费等违纪行为；</w:t>
      </w:r>
    </w:p>
    <w:p w14:paraId="4F63D5B7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5.拒不落实整改、拒不服从采购人管理；</w:t>
      </w:r>
    </w:p>
    <w:p w14:paraId="440AA21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6.违规用工、拖欠员工工资造成投诉、仲裁及不良舆情的；</w:t>
      </w:r>
    </w:p>
    <w:p w14:paraId="66F88F83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7.供应商存在政府采购失信、违法违规经营等情形。</w:t>
      </w:r>
    </w:p>
    <w:p w14:paraId="68A681E8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28" w:name="heading_31"/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十</w:t>
      </w:r>
      <w:r>
        <w:rPr>
          <w:rFonts w:hint="eastAsia" w:ascii="仿宋_GB2312" w:hAnsi="Calibri" w:eastAsia="仿宋_GB2312" w:cs="Times New Roman"/>
          <w:b/>
          <w:kern w:val="0"/>
          <w:sz w:val="28"/>
          <w:szCs w:val="28"/>
          <w:lang w:eastAsia="zh-CN"/>
        </w:rPr>
        <w:t>一</w:t>
      </w:r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、其他履约要求</w:t>
      </w:r>
      <w:bookmarkEnd w:id="28"/>
    </w:p>
    <w:p w14:paraId="56D2A202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29" w:name="OLE_LINK5"/>
      <w:bookmarkStart w:id="30" w:name="OLE_LINK4"/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1.成交供应商</w:t>
      </w:r>
      <w:bookmarkEnd w:id="29"/>
      <w:bookmarkEnd w:id="30"/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须在合同签订前，提交细化完善的岗位职责、排班制度、管理制度、应急处置预案，经采购人审核通过后严格执行。</w:t>
      </w:r>
    </w:p>
    <w:p w14:paraId="699E02D0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2.本项目为总价包干服务，包含全部运营成本，采购人不追加任何费用。</w:t>
      </w:r>
    </w:p>
    <w:p w14:paraId="6DDEC877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3.服务期内须无条件配合采购人各类专项检查、安全整治、应急保障、督导整改等工作，全面保障院区安全稳定运行。</w:t>
      </w:r>
    </w:p>
    <w:p w14:paraId="16BD7472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bookmarkStart w:id="31" w:name="heading_32"/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十</w:t>
      </w:r>
      <w:r>
        <w:rPr>
          <w:rFonts w:hint="eastAsia" w:ascii="仿宋_GB2312" w:hAnsi="Calibri" w:eastAsia="仿宋_GB2312" w:cs="Times New Roman"/>
          <w:b/>
          <w:kern w:val="0"/>
          <w:sz w:val="28"/>
          <w:szCs w:val="28"/>
          <w:lang w:eastAsia="zh-CN"/>
        </w:rPr>
        <w:t>二</w:t>
      </w:r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、人员增减调整及费用结算管理办法</w:t>
      </w:r>
      <w:bookmarkEnd w:id="31"/>
    </w:p>
    <w:p w14:paraId="7D28EC96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为适配医院阶段性工作调整、节假日保障、专项活动、突发安保任务及日常岗位优化需要，本项目服务期内允许根据采购人实际工作需求，对在岗安保服务人员数量进行</w:t>
      </w:r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合理增加或核减</w:t>
      </w: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，人员调整遵循“按需调整、按实结算、有据可依、公允核算”原则，调整费用纳入月度结算。所增加的费用不得超过中标金额的10%，为本项目合同刚性结算依据。</w:t>
      </w:r>
    </w:p>
    <w:p w14:paraId="4ADD387A">
      <w:pPr>
        <w:widowControl w:val="0"/>
        <w:spacing w:before="120" w:after="120" w:line="288" w:lineRule="auto"/>
        <w:jc w:val="left"/>
        <w:rPr>
          <w:rFonts w:ascii="仿宋_GB2312" w:hAnsi="Calibri" w:eastAsia="仿宋_GB2312" w:cs="Times New Roman"/>
          <w:kern w:val="0"/>
          <w:sz w:val="28"/>
          <w:szCs w:val="28"/>
        </w:rPr>
      </w:pPr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1.人员增加情形</w:t>
      </w: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：临时性需要增派安保人员时，（如医院重大检查、大型会议、义诊活动、节假日高峰安保、突发安保任务）</w:t>
      </w:r>
      <w:r>
        <w:rPr>
          <w:rFonts w:hint="eastAsia" w:ascii="仿宋_GB2312" w:hAnsi="Calibri" w:eastAsia="仿宋_GB2312" w:cs="Times New Roman"/>
          <w:color w:val="auto"/>
          <w:kern w:val="0"/>
          <w:sz w:val="28"/>
          <w:szCs w:val="28"/>
        </w:rPr>
        <w:t>采购人按实际工作日支付；</w:t>
      </w: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双院区工作量激增、现有人员无法满足24小时无缝值守及应急保障需求时，需要增加固定人员的，</w:t>
      </w:r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必须以采购人书面通知</w:t>
      </w: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为唯一依据。</w:t>
      </w:r>
    </w:p>
    <w:p w14:paraId="6F9FB8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Calibri" w:eastAsia="仿宋_GB2312" w:cs="Times New Roman"/>
          <w:b/>
          <w:kern w:val="0"/>
          <w:sz w:val="28"/>
          <w:szCs w:val="28"/>
          <w:lang w:val="en-US" w:eastAsia="zh-CN"/>
        </w:rPr>
        <w:t>2</w:t>
      </w:r>
      <w:r>
        <w:rPr>
          <w:rFonts w:hint="eastAsia" w:ascii="仿宋_GB2312" w:hAnsi="Calibri" w:eastAsia="仿宋_GB2312" w:cs="Times New Roman"/>
          <w:b/>
          <w:kern w:val="0"/>
          <w:sz w:val="28"/>
          <w:szCs w:val="28"/>
        </w:rPr>
        <w:t>.人员核减情形</w:t>
      </w:r>
      <w:r>
        <w:rPr>
          <w:rFonts w:hint="eastAsia" w:ascii="仿宋_GB2312" w:hAnsi="Calibri" w:eastAsia="仿宋_GB2312" w:cs="Times New Roman"/>
          <w:kern w:val="0"/>
          <w:sz w:val="28"/>
          <w:szCs w:val="28"/>
        </w:rPr>
        <w:t>：岗位职能整合、院区区域封闭停用、服务点位缩减、常态化工作量下调，经采购人核实确认，可依规核减岗位人员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p w14:paraId="2CDB4162">
      <w:pPr>
        <w:widowControl/>
        <w:spacing w:line="400" w:lineRule="exact"/>
        <w:rPr>
          <w:rFonts w:hint="eastAsia" w:ascii="Calibri Light" w:hAnsi="Calibri Light" w:eastAsia="华文仿宋" w:cs="Calibri Light"/>
          <w:sz w:val="28"/>
          <w:szCs w:val="28"/>
        </w:rPr>
      </w:pPr>
    </w:p>
    <w:p w14:paraId="124EF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备注：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以上均是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★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内容，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为实质性要求，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人未逐条响应、有缺漏或负偏离将视为无效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eastAsia="zh-CN"/>
        </w:rPr>
        <w:t>。</w:t>
      </w:r>
    </w:p>
    <w:p w14:paraId="6DBD11FA"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84B1B9"/>
    <w:multiLevelType w:val="singleLevel"/>
    <w:tmpl w:val="2F84B1B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5D20FF"/>
    <w:rsid w:val="225D20FF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网格型2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2026-09-29T05:45:00Z</dcterms:created>
  <dc:creator>莲鹤</dc:creator>
  <cp:lastModifiedBy>莲鹤</cp:lastModifiedBy>
  <dcterms:modified xsi:type="dcterms:W3CDTF">2026-09-29T05:46:44Z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0170231F818D4DAEB10F087DB2132F4A_11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