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版本号：2026-HXCT-17620260806001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陕西省2009-2023年建设用地批文数据清理省级核查项目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2026-HXCT-176</w:t>
      </w:r>
      <w:r>
        <w:br/>
      </w:r>
      <w:r>
        <w:br/>
      </w:r>
      <w:r>
        <w:br/>
      </w:r>
    </w:p>
    <w:p>
      <w:pPr>
        <w:pStyle w:val="null3"/>
        <w:jc w:val="center"/>
        <w:outlineLvl w:val="2"/>
      </w:pPr>
      <w:r>
        <w:rPr>
          <w:rFonts w:ascii="仿宋_GB2312" w:hAnsi="仿宋_GB2312" w:cs="仿宋_GB2312" w:eastAsia="仿宋_GB2312"/>
          <w:sz w:val="28"/>
          <w:b/>
        </w:rPr>
        <w:t>陕西省自然资源信息中心（陕西省地质资料档案馆）</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委托，拟对</w:t>
      </w:r>
      <w:r>
        <w:rPr>
          <w:rFonts w:ascii="仿宋_GB2312" w:hAnsi="仿宋_GB2312" w:cs="仿宋_GB2312" w:eastAsia="仿宋_GB2312"/>
        </w:rPr>
        <w:t>陕西省2009-2023年建设用地批文数据清理省级核查项目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2026-HXCT-176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陕西省2009-2023年建设用地批文数据清理省级核查项目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陕西省2009-2023年建设用地批文数据清理省级核查，具体要求详见招标文件。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资格主体证明：供应商应为具有独立承担民事责任能力的法人或其他组织，提供法人或者其他组织的营业执照等证明文件，自然人的身份证明。供应商需在项目电子化交易系统中按要求提供相关证明材料并进行电子签章。</w:t>
      </w:r>
    </w:p>
    <w:p>
      <w:pPr>
        <w:pStyle w:val="null3"/>
      </w:pPr>
      <w:r>
        <w:rPr>
          <w:rFonts w:ascii="仿宋_GB2312" w:hAnsi="仿宋_GB2312" w:cs="仿宋_GB2312" w:eastAsia="仿宋_GB2312"/>
        </w:rPr>
        <w:t>2、法⼈代表授权委托书：供应商为法人单位的法定代表人亲自参加投标时，须提供本人身份证复印件;法定代表人授权他人参加投标时，须提供法定代表人委托授权书，同时提供被授权代表开标前六月内任意一个月在投标人单位的社保缴纳证明材料。（投标人为非法人单位的）投标文件中凡是需要法定代表人签字或盖章之处，非法人单位的负责人均参照执行。供应商需在项目电子化交易系统中按要求提供相关证明材料并进行电子签章。</w:t>
      </w:r>
    </w:p>
    <w:p>
      <w:pPr>
        <w:pStyle w:val="null3"/>
      </w:pPr>
      <w:r>
        <w:rPr>
          <w:rFonts w:ascii="仿宋_GB2312" w:hAnsi="仿宋_GB2312" w:cs="仿宋_GB2312" w:eastAsia="仿宋_GB2312"/>
        </w:rPr>
        <w:t>3、财务状况报告：提供经审计的2025年度的财务报告或提交投标文件截止时间前六个月内其基本账户开户银行出具的资信证明；其他组织和自然人提供银行出具的资信证明或财务报表；供应商需在项目电子化交易系统中按要求提供相关证明材料并进行电子签章。</w:t>
      </w:r>
    </w:p>
    <w:p>
      <w:pPr>
        <w:pStyle w:val="null3"/>
      </w:pPr>
      <w:r>
        <w:rPr>
          <w:rFonts w:ascii="仿宋_GB2312" w:hAnsi="仿宋_GB2312" w:cs="仿宋_GB2312" w:eastAsia="仿宋_GB2312"/>
        </w:rPr>
        <w:t>4、社会保障资⾦缴纳证明：提供2025年8月至今任意一个月已缴存的社会保障资金缴存单据或社保机构开具的社会保险参保缴费证明，依法不需要缴纳社会保障资金的单位应提供相关证明材料，供应商需在项目电子化交易系统中按要求提供相关证明材料并进行电子签章。</w:t>
      </w:r>
    </w:p>
    <w:p>
      <w:pPr>
        <w:pStyle w:val="null3"/>
      </w:pPr>
      <w:r>
        <w:rPr>
          <w:rFonts w:ascii="仿宋_GB2312" w:hAnsi="仿宋_GB2312" w:cs="仿宋_GB2312" w:eastAsia="仿宋_GB2312"/>
        </w:rPr>
        <w:t>5、税收缴纳证明：提供2025年8月至今任意一个月的纳税证明或税务机关开具的完税证明，依法免税的单位应提供相关证明材料;供应商需在项目电子化交易系统中按要求提供相关证明材料并进行电子签章。</w:t>
      </w:r>
    </w:p>
    <w:p>
      <w:pPr>
        <w:pStyle w:val="null3"/>
      </w:pPr>
      <w:r>
        <w:rPr>
          <w:rFonts w:ascii="仿宋_GB2312" w:hAnsi="仿宋_GB2312" w:cs="仿宋_GB2312" w:eastAsia="仿宋_GB2312"/>
        </w:rPr>
        <w:t>6、企业资质要求：供应商须具有并提供有效期内的乙级及以上测绘资质证书及乙级及以上城乡规划（国土空间规划）资质证书。</w:t>
      </w:r>
    </w:p>
    <w:p>
      <w:pPr>
        <w:pStyle w:val="null3"/>
      </w:pPr>
      <w:r>
        <w:rPr>
          <w:rFonts w:ascii="仿宋_GB2312" w:hAnsi="仿宋_GB2312" w:cs="仿宋_GB2312" w:eastAsia="仿宋_GB2312"/>
        </w:rPr>
        <w:t>7、信⽤记录查询：供应商不得为“信用中国”网站（www.creditchina.gov.cn）被列入“失信被执行人”“重大税收违法案件当事人名单”的供应商，不得为“中国政府采购网”（www.ccgp.gov.cn）被列入“政府采购严重违法失信行为记录名单”的供应商。以代理机构开标当天在相关网站查询结果为准。</w:t>
      </w:r>
    </w:p>
    <w:p>
      <w:pPr>
        <w:pStyle w:val="null3"/>
      </w:pPr>
      <w:r>
        <w:rPr>
          <w:rFonts w:ascii="仿宋_GB2312" w:hAnsi="仿宋_GB2312" w:cs="仿宋_GB2312" w:eastAsia="仿宋_GB2312"/>
        </w:rPr>
        <w:t>8、⽆重⼤违法记录声明：参加政府采购活动前三年内，在经营活动中没有重大违法记录：参加政府采购活动前三年内，在经营活动中没有重大违法记录提供书面声明；供应商需在项目电子化交易系统中按要求提供相关证明材料并进行电子签章。</w:t>
      </w:r>
    </w:p>
    <w:p>
      <w:pPr>
        <w:pStyle w:val="null3"/>
      </w:pPr>
      <w:r>
        <w:rPr>
          <w:rFonts w:ascii="仿宋_GB2312" w:hAnsi="仿宋_GB2312" w:cs="仿宋_GB2312" w:eastAsia="仿宋_GB2312"/>
        </w:rPr>
        <w:t>9、具有履⾏合同所必需的设备和专业技术能⼒：提供书面声明，包括声明具有履行合同所必需的设备和专业技术能力；供应商需在项目电子化交易系统中按要求提供相关证明材料并进行电子签章。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陕西省自然资源信息中心（陕西省地质资料档案馆）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劳动南路180号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029-84333266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房文刚、来昭萌、薛浩、薛梅梅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029-88010607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及《国家发展改革委关于降低部分建设项目收费标准规范收费行为等有关问题的通知》（发改价格〔2011〕534号）规定按标准收取。 开户名称： 华夏城投项目管理有限公司 开户银行： 中国工商银行股份有限公司延安南关支行 银行账号： 2609080309024803489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陕西省自然资源信息中心（陕西省地质资料档案馆）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 产生因第三方提出侵犯其专利权、商标权或其它知识产权而引起的法律和经济纠纷，如因专利权、商标权或其它知识产权而引 起法律和经济纠纷，由供应商承担所 有相关责任。采购人享有本项目实施过程中产生的知识成果及知识产权。 2、供应商将 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 拥有的知识产权，则在报价中必须包括合法使用该知识产权的相关费用。 4、构成本招标文件的各组成部分，未经采购人同意，供应商不得擅自复印或用于非本招标项目所需的其他目的。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联系人：房文刚、薛梅梅</w:t>
      </w:r>
    </w:p>
    <w:p>
      <w:pPr>
        <w:pStyle w:val="null3"/>
      </w:pPr>
      <w:r>
        <w:rPr>
          <w:rFonts w:ascii="仿宋_GB2312" w:hAnsi="仿宋_GB2312" w:cs="仿宋_GB2312" w:eastAsia="仿宋_GB2312"/>
        </w:rPr>
        <w:t>联系电话：029-88010607</w:t>
      </w:r>
    </w:p>
    <w:p>
      <w:pPr>
        <w:pStyle w:val="null3"/>
      </w:pPr>
      <w:r>
        <w:rPr>
          <w:rFonts w:ascii="仿宋_GB2312" w:hAnsi="仿宋_GB2312" w:cs="仿宋_GB2312" w:eastAsia="仿宋_GB2312"/>
        </w:rPr>
        <w:t>地址：西安市经济技术开发区凤城七路长和国际26楼</w:t>
      </w:r>
    </w:p>
    <w:p>
      <w:pPr>
        <w:pStyle w:val="null3"/>
      </w:pPr>
      <w:r>
        <w:rPr>
          <w:rFonts w:ascii="仿宋_GB2312" w:hAnsi="仿宋_GB2312" w:cs="仿宋_GB2312" w:eastAsia="仿宋_GB2312"/>
        </w:rPr>
        <w:t>邮编：710010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陕西省2009-2023年建设用地批文数据清理省级核查，具体内容详见招标文件。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2,900,000.00</w:t>
      </w:r>
    </w:p>
    <w:p>
      <w:pPr>
        <w:pStyle w:val="null3"/>
      </w:pPr>
      <w:r>
        <w:rPr>
          <w:rFonts w:ascii="仿宋_GB2312" w:hAnsi="仿宋_GB2312" w:cs="仿宋_GB2312" w:eastAsia="仿宋_GB2312"/>
        </w:rPr>
        <w:t>采购包最高限价（元）: 2,900,000.00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陕西省2009-2023年建设用地批文数据清理省级核查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标的名称：陕西省2009-2023年建设用地批文数据清理省级核查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outlineLvl w:val="1"/>
            </w:pPr>
            <w:r>
              <w:rPr>
                <w:rFonts w:ascii="仿宋_GB2312" w:hAnsi="仿宋_GB2312" w:cs="仿宋_GB2312" w:eastAsia="仿宋_GB2312"/>
                <w:sz w:val="22"/>
                <w:b/>
              </w:rPr>
              <w:t>一、项目背景</w:t>
            </w:r>
          </w:p>
          <w:p>
            <w:pPr>
              <w:pStyle w:val="null3"/>
              <w:ind w:firstLine="440"/>
            </w:pPr>
            <w:r>
              <w:rPr>
                <w:rFonts w:ascii="仿宋_GB2312" w:hAnsi="仿宋_GB2312" w:cs="仿宋_GB2312" w:eastAsia="仿宋_GB2312"/>
                <w:sz w:val="22"/>
              </w:rPr>
              <w:t>按照</w:t>
            </w:r>
            <w:r>
              <w:rPr>
                <w:rFonts w:ascii="仿宋_GB2312" w:hAnsi="仿宋_GB2312" w:cs="仿宋_GB2312" w:eastAsia="仿宋_GB2312"/>
                <w:sz w:val="22"/>
              </w:rPr>
              <w:t>自然资源</w:t>
            </w:r>
            <w:r>
              <w:rPr>
                <w:rFonts w:ascii="仿宋_GB2312" w:hAnsi="仿宋_GB2312" w:cs="仿宋_GB2312" w:eastAsia="仿宋_GB2312"/>
                <w:sz w:val="22"/>
              </w:rPr>
              <w:t>部相关工作要求，为加强数据治理，促进存量土地盘活利用，</w:t>
            </w:r>
            <w:r>
              <w:rPr>
                <w:rFonts w:ascii="仿宋_GB2312" w:hAnsi="仿宋_GB2312" w:cs="仿宋_GB2312" w:eastAsia="仿宋_GB2312"/>
                <w:sz w:val="22"/>
              </w:rPr>
              <w:t>扎实</w:t>
            </w:r>
            <w:r>
              <w:rPr>
                <w:rFonts w:ascii="仿宋_GB2312" w:hAnsi="仿宋_GB2312" w:cs="仿宋_GB2312" w:eastAsia="仿宋_GB2312"/>
                <w:sz w:val="22"/>
              </w:rPr>
              <w:t>推进陕西省</w:t>
            </w:r>
            <w:r>
              <w:rPr>
                <w:rFonts w:ascii="仿宋_GB2312" w:hAnsi="仿宋_GB2312" w:cs="仿宋_GB2312" w:eastAsia="仿宋_GB2312"/>
                <w:sz w:val="22"/>
              </w:rPr>
              <w:t>建设用地</w:t>
            </w:r>
            <w:r>
              <w:rPr>
                <w:rFonts w:ascii="仿宋_GB2312" w:hAnsi="仿宋_GB2312" w:cs="仿宋_GB2312" w:eastAsia="仿宋_GB2312"/>
                <w:sz w:val="22"/>
              </w:rPr>
              <w:t>批文分类清理工作，全面落实部</w:t>
            </w:r>
            <w:r>
              <w:rPr>
                <w:rFonts w:ascii="仿宋_GB2312" w:hAnsi="仿宋_GB2312" w:cs="仿宋_GB2312" w:eastAsia="仿宋_GB2312"/>
                <w:sz w:val="22"/>
              </w:rPr>
              <w:t>批而未供批文分类清理</w:t>
            </w:r>
            <w:r>
              <w:rPr>
                <w:rFonts w:ascii="仿宋_GB2312" w:hAnsi="仿宋_GB2312" w:cs="仿宋_GB2312" w:eastAsia="仿宋_GB2312"/>
                <w:sz w:val="22"/>
              </w:rPr>
              <w:t>工作部署，开展陕西省</w:t>
            </w:r>
            <w:r>
              <w:rPr>
                <w:rFonts w:ascii="仿宋_GB2312" w:hAnsi="仿宋_GB2312" w:cs="仿宋_GB2312" w:eastAsia="仿宋_GB2312"/>
                <w:sz w:val="22"/>
              </w:rPr>
              <w:t>2009-2023</w:t>
            </w:r>
            <w:r>
              <w:rPr>
                <w:rFonts w:ascii="仿宋_GB2312" w:hAnsi="仿宋_GB2312" w:cs="仿宋_GB2312" w:eastAsia="仿宋_GB2312"/>
                <w:sz w:val="22"/>
              </w:rPr>
              <w:t>年部备案</w:t>
            </w:r>
            <w:r>
              <w:rPr>
                <w:rFonts w:ascii="仿宋_GB2312" w:hAnsi="仿宋_GB2312" w:cs="仿宋_GB2312" w:eastAsia="仿宋_GB2312"/>
                <w:sz w:val="22"/>
              </w:rPr>
              <w:t>批而未供</w:t>
            </w:r>
            <w:r>
              <w:rPr>
                <w:rFonts w:ascii="仿宋_GB2312" w:hAnsi="仿宋_GB2312" w:cs="仿宋_GB2312" w:eastAsia="仿宋_GB2312"/>
                <w:sz w:val="22"/>
              </w:rPr>
              <w:t>批文的分类清理认定省级核查工作，将工作成果纳入</w:t>
            </w:r>
            <w:r>
              <w:rPr>
                <w:rFonts w:ascii="仿宋_GB2312" w:hAnsi="仿宋_GB2312" w:cs="仿宋_GB2312" w:eastAsia="仿宋_GB2312"/>
                <w:sz w:val="22"/>
              </w:rPr>
              <w:t>“一张图”管理、强化用途管制数字化监管，同时完成陕西省</w:t>
            </w:r>
            <w:r>
              <w:rPr>
                <w:rFonts w:ascii="仿宋_GB2312" w:hAnsi="仿宋_GB2312" w:cs="仿宋_GB2312" w:eastAsia="仿宋_GB2312"/>
                <w:sz w:val="22"/>
              </w:rPr>
              <w:t>2026</w:t>
            </w:r>
            <w:r>
              <w:rPr>
                <w:rFonts w:ascii="仿宋_GB2312" w:hAnsi="仿宋_GB2312" w:cs="仿宋_GB2312" w:eastAsia="仿宋_GB2312"/>
                <w:sz w:val="22"/>
              </w:rPr>
              <w:t>年用地批文“双随机、一公开”抽查工作，</w:t>
            </w:r>
            <w:r>
              <w:rPr>
                <w:rFonts w:ascii="仿宋_GB2312" w:hAnsi="仿宋_GB2312" w:cs="仿宋_GB2312" w:eastAsia="仿宋_GB2312"/>
                <w:sz w:val="22"/>
              </w:rPr>
              <w:t>全面提升全省建设用地报批监管水平与土地节约集约利用效能，推动自然资源高质量发展。</w:t>
            </w:r>
          </w:p>
          <w:p>
            <w:pPr>
              <w:pStyle w:val="null3"/>
              <w:jc w:val="both"/>
              <w:outlineLvl w:val="1"/>
            </w:pPr>
            <w:r>
              <w:rPr>
                <w:rFonts w:ascii="仿宋_GB2312" w:hAnsi="仿宋_GB2312" w:cs="仿宋_GB2312" w:eastAsia="仿宋_GB2312"/>
                <w:sz w:val="22"/>
                <w:b/>
              </w:rPr>
              <w:t>二、建设依据</w:t>
            </w:r>
          </w:p>
          <w:p>
            <w:pPr>
              <w:pStyle w:val="null3"/>
              <w:ind w:firstLine="720"/>
              <w:jc w:val="both"/>
            </w:pPr>
            <w:r>
              <w:rPr>
                <w:rFonts w:ascii="仿宋_GB2312" w:hAnsi="仿宋_GB2312" w:cs="仿宋_GB2312" w:eastAsia="仿宋_GB2312"/>
                <w:sz w:val="22"/>
              </w:rPr>
              <w:t>（一）</w:t>
            </w:r>
            <w:r>
              <w:rPr>
                <w:rFonts w:ascii="仿宋_GB2312" w:hAnsi="仿宋_GB2312" w:cs="仿宋_GB2312" w:eastAsia="仿宋_GB2312"/>
                <w:sz w:val="22"/>
              </w:rPr>
              <w:t>法律法规</w:t>
            </w:r>
          </w:p>
          <w:p>
            <w:pPr>
              <w:pStyle w:val="null3"/>
              <w:ind w:firstLine="440"/>
              <w:jc w:val="both"/>
            </w:pPr>
            <w:r>
              <w:rPr>
                <w:rFonts w:ascii="仿宋_GB2312" w:hAnsi="仿宋_GB2312" w:cs="仿宋_GB2312" w:eastAsia="仿宋_GB2312"/>
                <w:sz w:val="22"/>
              </w:rPr>
              <w:t>1、</w:t>
            </w:r>
            <w:r>
              <w:rPr>
                <w:rFonts w:ascii="仿宋_GB2312" w:hAnsi="仿宋_GB2312" w:cs="仿宋_GB2312" w:eastAsia="仿宋_GB2312"/>
                <w:sz w:val="22"/>
              </w:rPr>
              <w:t>《中华人民共和国土地管理法》（</w:t>
            </w:r>
            <w:r>
              <w:rPr>
                <w:rFonts w:ascii="仿宋_GB2312" w:hAnsi="仿宋_GB2312" w:cs="仿宋_GB2312" w:eastAsia="仿宋_GB2312"/>
                <w:sz w:val="22"/>
              </w:rPr>
              <w:t>20</w:t>
            </w:r>
            <w:r>
              <w:rPr>
                <w:rFonts w:ascii="仿宋_GB2312" w:hAnsi="仿宋_GB2312" w:cs="仿宋_GB2312" w:eastAsia="仿宋_GB2312"/>
                <w:sz w:val="22"/>
              </w:rPr>
              <w:t>19</w:t>
            </w:r>
            <w:r>
              <w:rPr>
                <w:rFonts w:ascii="仿宋_GB2312" w:hAnsi="仿宋_GB2312" w:cs="仿宋_GB2312" w:eastAsia="仿宋_GB2312"/>
                <w:sz w:val="22"/>
              </w:rPr>
              <w:t>年修订）</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《中华人民共和国土地管理法实施条例》（中华人民共和国国务院令第</w:t>
            </w:r>
            <w:r>
              <w:rPr>
                <w:rFonts w:ascii="仿宋_GB2312" w:hAnsi="仿宋_GB2312" w:cs="仿宋_GB2312" w:eastAsia="仿宋_GB2312"/>
                <w:sz w:val="22"/>
              </w:rPr>
              <w:t>743号）</w:t>
            </w:r>
          </w:p>
          <w:p>
            <w:pPr>
              <w:pStyle w:val="null3"/>
              <w:ind w:firstLine="440"/>
              <w:jc w:val="both"/>
            </w:pPr>
            <w:r>
              <w:rPr>
                <w:rFonts w:ascii="仿宋_GB2312" w:hAnsi="仿宋_GB2312" w:cs="仿宋_GB2312" w:eastAsia="仿宋_GB2312"/>
                <w:sz w:val="22"/>
              </w:rPr>
              <w:t>3、《中华人民共和国保守国家秘密法》（2024年修订）</w:t>
            </w:r>
          </w:p>
          <w:p>
            <w:pPr>
              <w:pStyle w:val="null3"/>
              <w:ind w:firstLine="440"/>
              <w:jc w:val="both"/>
            </w:pPr>
            <w:r>
              <w:rPr>
                <w:rFonts w:ascii="仿宋_GB2312" w:hAnsi="仿宋_GB2312" w:cs="仿宋_GB2312" w:eastAsia="仿宋_GB2312"/>
                <w:sz w:val="22"/>
              </w:rPr>
              <w:t>4、《中华人民共和国保守国家秘密法实施条例》（中华人民共和国国务院令第786号）</w:t>
            </w:r>
          </w:p>
          <w:p>
            <w:pPr>
              <w:pStyle w:val="null3"/>
              <w:ind w:firstLine="440"/>
              <w:jc w:val="both"/>
            </w:pPr>
            <w:r>
              <w:rPr>
                <w:rFonts w:ascii="仿宋_GB2312" w:hAnsi="仿宋_GB2312" w:cs="仿宋_GB2312" w:eastAsia="仿宋_GB2312"/>
                <w:sz w:val="22"/>
              </w:rPr>
              <w:t>5、《基本农田保护条例》（2011年修订）</w:t>
            </w:r>
          </w:p>
          <w:p>
            <w:pPr>
              <w:pStyle w:val="null3"/>
              <w:ind w:firstLine="440"/>
              <w:jc w:val="both"/>
            </w:pPr>
            <w:r>
              <w:rPr>
                <w:rFonts w:ascii="仿宋_GB2312" w:hAnsi="仿宋_GB2312" w:cs="仿宋_GB2312" w:eastAsia="仿宋_GB2312"/>
                <w:sz w:val="22"/>
              </w:rPr>
              <w:t>6、《永久基本农田保护红线管理办法》（自然资源部、农业农村部令2025年第17号）</w:t>
            </w:r>
          </w:p>
          <w:p>
            <w:pPr>
              <w:pStyle w:val="null3"/>
              <w:ind w:firstLine="440"/>
              <w:jc w:val="both"/>
            </w:pPr>
            <w:r>
              <w:rPr>
                <w:rFonts w:ascii="仿宋_GB2312" w:hAnsi="仿宋_GB2312" w:cs="仿宋_GB2312" w:eastAsia="仿宋_GB2312"/>
                <w:sz w:val="22"/>
              </w:rPr>
              <w:t>7、</w:t>
            </w:r>
            <w:r>
              <w:rPr>
                <w:rFonts w:ascii="仿宋_GB2312" w:hAnsi="仿宋_GB2312" w:cs="仿宋_GB2312" w:eastAsia="仿宋_GB2312"/>
                <w:sz w:val="22"/>
              </w:rPr>
              <w:t>《陕西省实施〈中华人民共和国土地管理法〉办法》</w:t>
            </w:r>
            <w:r>
              <w:rPr>
                <w:rFonts w:ascii="仿宋_GB2312" w:hAnsi="仿宋_GB2312" w:cs="仿宋_GB2312" w:eastAsia="仿宋_GB2312"/>
                <w:sz w:val="22"/>
              </w:rPr>
              <w:t>（</w:t>
            </w:r>
            <w:r>
              <w:rPr>
                <w:rFonts w:ascii="仿宋_GB2312" w:hAnsi="仿宋_GB2312" w:cs="仿宋_GB2312" w:eastAsia="仿宋_GB2312"/>
                <w:sz w:val="22"/>
              </w:rPr>
              <w:t>2022年修订</w:t>
            </w:r>
            <w:r>
              <w:rPr>
                <w:rFonts w:ascii="仿宋_GB2312" w:hAnsi="仿宋_GB2312" w:cs="仿宋_GB2312" w:eastAsia="仿宋_GB2312"/>
                <w:sz w:val="22"/>
              </w:rPr>
              <w:t>）</w:t>
            </w:r>
          </w:p>
          <w:p>
            <w:pPr>
              <w:pStyle w:val="null3"/>
              <w:ind w:firstLine="720"/>
              <w:jc w:val="both"/>
            </w:pPr>
            <w:r>
              <w:rPr>
                <w:rFonts w:ascii="仿宋_GB2312" w:hAnsi="仿宋_GB2312" w:cs="仿宋_GB2312" w:eastAsia="仿宋_GB2312"/>
                <w:sz w:val="22"/>
              </w:rPr>
              <w:t>（二）政策文件</w:t>
            </w:r>
          </w:p>
          <w:p>
            <w:pPr>
              <w:pStyle w:val="null3"/>
              <w:ind w:firstLine="440"/>
              <w:jc w:val="both"/>
            </w:pPr>
            <w:r>
              <w:rPr>
                <w:rFonts w:ascii="仿宋_GB2312" w:hAnsi="仿宋_GB2312" w:cs="仿宋_GB2312" w:eastAsia="仿宋_GB2312"/>
                <w:sz w:val="22"/>
              </w:rPr>
              <w:t>1、《城镇开发边界管理办法（试行）》（自然资规〔2026〕1号）</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《自然资源部</w:t>
            </w:r>
            <w:r>
              <w:rPr>
                <w:rFonts w:ascii="仿宋_GB2312" w:hAnsi="仿宋_GB2312" w:cs="仿宋_GB2312" w:eastAsia="仿宋_GB2312"/>
                <w:sz w:val="22"/>
              </w:rPr>
              <w:t>国家林业和草原局关于进一步做好自然资源要素保障的通知》（自然资发〔</w:t>
            </w:r>
            <w:r>
              <w:rPr>
                <w:rFonts w:ascii="仿宋_GB2312" w:hAnsi="仿宋_GB2312" w:cs="仿宋_GB2312" w:eastAsia="仿宋_GB2312"/>
                <w:sz w:val="22"/>
              </w:rPr>
              <w:t>2026〕38号）</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《自然资源部办公厅关于开展批而未供批文分类清理工作的通知》（自然资办发〔</w:t>
            </w:r>
            <w:r>
              <w:rPr>
                <w:rFonts w:ascii="仿宋_GB2312" w:hAnsi="仿宋_GB2312" w:cs="仿宋_GB2312" w:eastAsia="仿宋_GB2312"/>
                <w:sz w:val="22"/>
              </w:rPr>
              <w:t>2025〕2号）</w:t>
            </w:r>
          </w:p>
          <w:p>
            <w:pPr>
              <w:pStyle w:val="null3"/>
              <w:ind w:firstLine="440"/>
              <w:jc w:val="both"/>
            </w:pPr>
            <w:r>
              <w:rPr>
                <w:rFonts w:ascii="仿宋_GB2312" w:hAnsi="仿宋_GB2312" w:cs="仿宋_GB2312" w:eastAsia="仿宋_GB2312"/>
                <w:sz w:val="22"/>
              </w:rPr>
              <w:t>4、《关于做好2025年建设用地审批“双随机、一公开”抽查有关工作的函》（自然资用途管制函〔2026〕6号）</w:t>
            </w:r>
          </w:p>
          <w:p>
            <w:pPr>
              <w:pStyle w:val="null3"/>
              <w:ind w:firstLine="440"/>
              <w:jc w:val="both"/>
            </w:pPr>
            <w:r>
              <w:rPr>
                <w:rFonts w:ascii="仿宋_GB2312" w:hAnsi="仿宋_GB2312" w:cs="仿宋_GB2312" w:eastAsia="仿宋_GB2312"/>
                <w:sz w:val="22"/>
              </w:rPr>
              <w:t>5、</w:t>
            </w:r>
            <w:r>
              <w:rPr>
                <w:rFonts w:ascii="仿宋_GB2312" w:hAnsi="仿宋_GB2312" w:cs="仿宋_GB2312" w:eastAsia="仿宋_GB2312"/>
                <w:sz w:val="22"/>
              </w:rPr>
              <w:t>《自然资源领域数据安全管理办法》（自然资发〔</w:t>
            </w:r>
            <w:r>
              <w:rPr>
                <w:rFonts w:ascii="仿宋_GB2312" w:hAnsi="仿宋_GB2312" w:cs="仿宋_GB2312" w:eastAsia="仿宋_GB2312"/>
                <w:sz w:val="22"/>
              </w:rPr>
              <w:t>2024〕57号）</w:t>
            </w:r>
          </w:p>
          <w:p>
            <w:pPr>
              <w:pStyle w:val="null3"/>
              <w:jc w:val="both"/>
              <w:outlineLvl w:val="1"/>
            </w:pPr>
            <w:r>
              <w:rPr>
                <w:rFonts w:ascii="仿宋_GB2312" w:hAnsi="仿宋_GB2312" w:cs="仿宋_GB2312" w:eastAsia="仿宋_GB2312"/>
                <w:sz w:val="22"/>
                <w:b/>
              </w:rPr>
              <w:t>三、</w:t>
            </w:r>
            <w:r>
              <w:rPr>
                <w:rFonts w:ascii="仿宋_GB2312" w:hAnsi="仿宋_GB2312" w:cs="仿宋_GB2312" w:eastAsia="仿宋_GB2312"/>
                <w:sz w:val="22"/>
                <w:b/>
              </w:rPr>
              <w:t>主要任务</w:t>
            </w:r>
          </w:p>
          <w:p>
            <w:pPr>
              <w:pStyle w:val="null3"/>
              <w:ind w:firstLine="440"/>
              <w:jc w:val="both"/>
            </w:pPr>
            <w:r>
              <w:rPr>
                <w:rFonts w:ascii="仿宋_GB2312" w:hAnsi="仿宋_GB2312" w:cs="仿宋_GB2312" w:eastAsia="仿宋_GB2312"/>
                <w:sz w:val="22"/>
              </w:rPr>
              <w:t>本项目建设内容主要包括批而未供批文分类清理核查、上图入库及分类处置、建设用地项目组卷报批质量核查三个方面：</w:t>
            </w:r>
          </w:p>
          <w:p>
            <w:pPr>
              <w:pStyle w:val="null3"/>
              <w:ind w:firstLine="440"/>
              <w:jc w:val="both"/>
            </w:pPr>
            <w:r>
              <w:rPr>
                <w:rFonts w:ascii="仿宋_GB2312" w:hAnsi="仿宋_GB2312" w:cs="仿宋_GB2312" w:eastAsia="仿宋_GB2312"/>
                <w:sz w:val="22"/>
              </w:rPr>
              <w:t>（一）</w:t>
            </w:r>
            <w:r>
              <w:rPr>
                <w:rFonts w:ascii="仿宋_GB2312" w:hAnsi="仿宋_GB2312" w:cs="仿宋_GB2312" w:eastAsia="仿宋_GB2312"/>
                <w:sz w:val="22"/>
              </w:rPr>
              <w:t>批而未供批文分类清理核查</w:t>
            </w:r>
          </w:p>
          <w:p>
            <w:pPr>
              <w:pStyle w:val="null3"/>
              <w:ind w:firstLine="440"/>
              <w:jc w:val="both"/>
            </w:pPr>
            <w:r>
              <w:rPr>
                <w:rFonts w:ascii="仿宋_GB2312" w:hAnsi="仿宋_GB2312" w:cs="仿宋_GB2312" w:eastAsia="仿宋_GB2312"/>
                <w:sz w:val="22"/>
              </w:rPr>
              <w:t>按照部下发《批而未供批文分类清理操作指南》，制定</w:t>
            </w:r>
            <w:r>
              <w:rPr>
                <w:rFonts w:ascii="仿宋_GB2312" w:hAnsi="仿宋_GB2312" w:cs="仿宋_GB2312" w:eastAsia="仿宋_GB2312"/>
                <w:sz w:val="22"/>
              </w:rPr>
              <w:t>陕西</w:t>
            </w:r>
            <w:r>
              <w:rPr>
                <w:rFonts w:ascii="仿宋_GB2312" w:hAnsi="仿宋_GB2312" w:cs="仿宋_GB2312" w:eastAsia="仿宋_GB2312"/>
                <w:sz w:val="22"/>
              </w:rPr>
              <w:t>省《批而未供批文分类清理工作方案》，并指导各市</w:t>
            </w:r>
            <w:r>
              <w:rPr>
                <w:rFonts w:ascii="仿宋_GB2312" w:hAnsi="仿宋_GB2312" w:cs="仿宋_GB2312" w:eastAsia="仿宋_GB2312"/>
                <w:sz w:val="22"/>
              </w:rPr>
              <w:t>县</w:t>
            </w:r>
            <w:r>
              <w:rPr>
                <w:rFonts w:ascii="仿宋_GB2312" w:hAnsi="仿宋_GB2312" w:cs="仿宋_GB2312" w:eastAsia="仿宋_GB2312"/>
                <w:sz w:val="22"/>
              </w:rPr>
              <w:t>开展分类清理认定工作</w:t>
            </w:r>
            <w:r>
              <w:rPr>
                <w:rFonts w:ascii="仿宋_GB2312" w:hAnsi="仿宋_GB2312" w:cs="仿宋_GB2312" w:eastAsia="仿宋_GB2312"/>
                <w:sz w:val="22"/>
              </w:rPr>
              <w:t>；</w:t>
            </w:r>
            <w:r>
              <w:rPr>
                <w:rFonts w:ascii="仿宋_GB2312" w:hAnsi="仿宋_GB2312" w:cs="仿宋_GB2312" w:eastAsia="仿宋_GB2312"/>
                <w:sz w:val="22"/>
              </w:rPr>
              <w:t>对各市</w:t>
            </w:r>
            <w:r>
              <w:rPr>
                <w:rFonts w:ascii="仿宋_GB2312" w:hAnsi="仿宋_GB2312" w:cs="仿宋_GB2312" w:eastAsia="仿宋_GB2312"/>
                <w:sz w:val="22"/>
              </w:rPr>
              <w:t>县</w:t>
            </w:r>
            <w:r>
              <w:rPr>
                <w:rFonts w:ascii="仿宋_GB2312" w:hAnsi="仿宋_GB2312" w:cs="仿宋_GB2312" w:eastAsia="仿宋_GB2312"/>
                <w:sz w:val="22"/>
              </w:rPr>
              <w:t>上报的批而未供批文分类清理台账数据、佐证材料和矢量范围进行图属一致性、数据逻辑性、图形拓扑等技术检查</w:t>
            </w:r>
            <w:r>
              <w:rPr>
                <w:rFonts w:ascii="仿宋_GB2312" w:hAnsi="仿宋_GB2312" w:cs="仿宋_GB2312" w:eastAsia="仿宋_GB2312"/>
                <w:sz w:val="22"/>
              </w:rPr>
              <w:t>；配合</w:t>
            </w:r>
            <w:r>
              <w:rPr>
                <w:rFonts w:ascii="仿宋_GB2312" w:hAnsi="仿宋_GB2312" w:cs="仿宋_GB2312" w:eastAsia="仿宋_GB2312"/>
                <w:sz w:val="22"/>
              </w:rPr>
              <w:t>相关处室</w:t>
            </w:r>
            <w:r>
              <w:rPr>
                <w:rFonts w:ascii="仿宋_GB2312" w:hAnsi="仿宋_GB2312" w:cs="仿宋_GB2312" w:eastAsia="仿宋_GB2312"/>
                <w:sz w:val="22"/>
              </w:rPr>
              <w:t>开展数据初审、成果复核等</w:t>
            </w:r>
            <w:r>
              <w:rPr>
                <w:rFonts w:ascii="仿宋_GB2312" w:hAnsi="仿宋_GB2312" w:cs="仿宋_GB2312" w:eastAsia="仿宋_GB2312"/>
                <w:sz w:val="22"/>
              </w:rPr>
              <w:t>会审工作，形成</w:t>
            </w:r>
            <w:r>
              <w:rPr>
                <w:rFonts w:ascii="仿宋_GB2312" w:hAnsi="仿宋_GB2312" w:cs="仿宋_GB2312" w:eastAsia="仿宋_GB2312"/>
                <w:sz w:val="22"/>
              </w:rPr>
              <w:t>陕西</w:t>
            </w:r>
            <w:r>
              <w:rPr>
                <w:rFonts w:ascii="仿宋_GB2312" w:hAnsi="仿宋_GB2312" w:cs="仿宋_GB2312" w:eastAsia="仿宋_GB2312"/>
                <w:sz w:val="22"/>
              </w:rPr>
              <w:t>省批而未供批文分类清理数据成果</w:t>
            </w:r>
            <w:r>
              <w:rPr>
                <w:rFonts w:ascii="仿宋_GB2312" w:hAnsi="仿宋_GB2312" w:cs="仿宋_GB2312" w:eastAsia="仿宋_GB2312"/>
                <w:sz w:val="22"/>
              </w:rPr>
              <w:t>；通过自然资源部</w:t>
            </w:r>
            <w:r>
              <w:rPr>
                <w:rFonts w:ascii="仿宋_GB2312" w:hAnsi="仿宋_GB2312" w:cs="仿宋_GB2312" w:eastAsia="仿宋_GB2312"/>
                <w:sz w:val="22"/>
              </w:rPr>
              <w:t>“一张图”联动审批场景系统的批文清理模块，上报自然资源部质检审核，形成陕西省批而未供批文清理认定工作总结报告及相关成果材料。</w:t>
            </w:r>
          </w:p>
          <w:p>
            <w:pPr>
              <w:pStyle w:val="null3"/>
              <w:ind w:firstLine="440"/>
              <w:jc w:val="both"/>
            </w:pPr>
            <w:r>
              <w:rPr>
                <w:rFonts w:ascii="仿宋_GB2312" w:hAnsi="仿宋_GB2312" w:cs="仿宋_GB2312" w:eastAsia="仿宋_GB2312"/>
                <w:sz w:val="22"/>
              </w:rPr>
              <w:t>（二）</w:t>
            </w:r>
            <w:r>
              <w:rPr>
                <w:rFonts w:ascii="仿宋_GB2312" w:hAnsi="仿宋_GB2312" w:cs="仿宋_GB2312" w:eastAsia="仿宋_GB2312"/>
                <w:sz w:val="22"/>
              </w:rPr>
              <w:t>上图入库及分类处置</w:t>
            </w:r>
          </w:p>
          <w:p>
            <w:pPr>
              <w:pStyle w:val="null3"/>
              <w:ind w:firstLine="440"/>
              <w:jc w:val="both"/>
            </w:pPr>
            <w:r>
              <w:rPr>
                <w:rFonts w:ascii="仿宋_GB2312" w:hAnsi="仿宋_GB2312" w:cs="仿宋_GB2312" w:eastAsia="仿宋_GB2312"/>
                <w:sz w:val="22"/>
              </w:rPr>
              <w:t>依托自然资源管理和国土空间规划</w:t>
            </w:r>
            <w:r>
              <w:rPr>
                <w:rFonts w:ascii="仿宋_GB2312" w:hAnsi="仿宋_GB2312" w:cs="仿宋_GB2312" w:eastAsia="仿宋_GB2312"/>
                <w:sz w:val="22"/>
              </w:rPr>
              <w:t>“一张图”，</w:t>
            </w:r>
            <w:r>
              <w:rPr>
                <w:rFonts w:ascii="仿宋_GB2312" w:hAnsi="仿宋_GB2312" w:cs="仿宋_GB2312" w:eastAsia="仿宋_GB2312"/>
                <w:sz w:val="22"/>
              </w:rPr>
              <w:t>将</w:t>
            </w:r>
            <w:r>
              <w:rPr>
                <w:rFonts w:ascii="仿宋_GB2312" w:hAnsi="仿宋_GB2312" w:cs="仿宋_GB2312" w:eastAsia="仿宋_GB2312"/>
                <w:sz w:val="22"/>
              </w:rPr>
              <w:t>具备供应可能</w:t>
            </w:r>
            <w:r>
              <w:rPr>
                <w:rFonts w:ascii="仿宋_GB2312" w:hAnsi="仿宋_GB2312" w:cs="仿宋_GB2312" w:eastAsia="仿宋_GB2312"/>
                <w:sz w:val="22"/>
              </w:rPr>
              <w:t>和不</w:t>
            </w:r>
            <w:r>
              <w:rPr>
                <w:rFonts w:ascii="仿宋_GB2312" w:hAnsi="仿宋_GB2312" w:cs="仿宋_GB2312" w:eastAsia="仿宋_GB2312"/>
                <w:sz w:val="22"/>
              </w:rPr>
              <w:t>具备供应可能的批文数据上图入库，为</w:t>
            </w:r>
            <w:r>
              <w:rPr>
                <w:rFonts w:ascii="仿宋_GB2312" w:hAnsi="仿宋_GB2312" w:cs="仿宋_GB2312" w:eastAsia="仿宋_GB2312"/>
                <w:sz w:val="22"/>
              </w:rPr>
              <w:t>全省分类处置、</w:t>
            </w:r>
            <w:r>
              <w:rPr>
                <w:rFonts w:ascii="仿宋_GB2312" w:hAnsi="仿宋_GB2312" w:cs="仿宋_GB2312" w:eastAsia="仿宋_GB2312"/>
                <w:sz w:val="22"/>
              </w:rPr>
              <w:t>统一监管提供底图支撑</w:t>
            </w:r>
            <w:r>
              <w:rPr>
                <w:rFonts w:ascii="仿宋_GB2312" w:hAnsi="仿宋_GB2312" w:cs="仿宋_GB2312" w:eastAsia="仿宋_GB2312"/>
                <w:sz w:val="22"/>
              </w:rPr>
              <w:t>；</w:t>
            </w:r>
            <w:r>
              <w:rPr>
                <w:rFonts w:ascii="仿宋_GB2312" w:hAnsi="仿宋_GB2312" w:cs="仿宋_GB2312" w:eastAsia="仿宋_GB2312"/>
                <w:sz w:val="22"/>
              </w:rPr>
              <w:t>按照部工作部署，</w:t>
            </w:r>
            <w:r>
              <w:rPr>
                <w:rFonts w:ascii="仿宋_GB2312" w:hAnsi="仿宋_GB2312" w:cs="仿宋_GB2312" w:eastAsia="仿宋_GB2312"/>
                <w:sz w:val="22"/>
              </w:rPr>
              <w:t>结合</w:t>
            </w:r>
            <w:r>
              <w:rPr>
                <w:rFonts w:ascii="仿宋_GB2312" w:hAnsi="仿宋_GB2312" w:cs="仿宋_GB2312" w:eastAsia="仿宋_GB2312"/>
                <w:sz w:val="22"/>
              </w:rPr>
              <w:t>各地实际情况，为</w:t>
            </w:r>
            <w:r>
              <w:rPr>
                <w:rFonts w:ascii="仿宋_GB2312" w:hAnsi="仿宋_GB2312" w:cs="仿宋_GB2312" w:eastAsia="仿宋_GB2312"/>
                <w:sz w:val="22"/>
              </w:rPr>
              <w:t>不</w:t>
            </w:r>
            <w:r>
              <w:rPr>
                <w:rFonts w:ascii="仿宋_GB2312" w:hAnsi="仿宋_GB2312" w:cs="仿宋_GB2312" w:eastAsia="仿宋_GB2312"/>
                <w:sz w:val="22"/>
              </w:rPr>
              <w:t>具备供应可能批文的分类逐步实施处置政策提供技术服务</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（三）</w:t>
            </w:r>
            <w:r>
              <w:rPr>
                <w:rFonts w:ascii="仿宋_GB2312" w:hAnsi="仿宋_GB2312" w:cs="仿宋_GB2312" w:eastAsia="仿宋_GB2312"/>
                <w:sz w:val="22"/>
              </w:rPr>
              <w:t>建设</w:t>
            </w:r>
            <w:r>
              <w:rPr>
                <w:rFonts w:ascii="仿宋_GB2312" w:hAnsi="仿宋_GB2312" w:cs="仿宋_GB2312" w:eastAsia="仿宋_GB2312"/>
                <w:sz w:val="22"/>
              </w:rPr>
              <w:t>用地</w:t>
            </w:r>
            <w:r>
              <w:rPr>
                <w:rFonts w:ascii="仿宋_GB2312" w:hAnsi="仿宋_GB2312" w:cs="仿宋_GB2312" w:eastAsia="仿宋_GB2312"/>
                <w:sz w:val="22"/>
              </w:rPr>
              <w:t>项目组卷报批质量核查</w:t>
            </w:r>
          </w:p>
          <w:p>
            <w:pPr>
              <w:pStyle w:val="null3"/>
              <w:ind w:firstLine="440"/>
              <w:jc w:val="both"/>
            </w:pPr>
            <w:r>
              <w:rPr>
                <w:rFonts w:ascii="仿宋_GB2312" w:hAnsi="仿宋_GB2312" w:cs="仿宋_GB2312" w:eastAsia="仿宋_GB2312"/>
                <w:sz w:val="22"/>
              </w:rPr>
              <w:t>按</w:t>
            </w:r>
            <w:r>
              <w:rPr>
                <w:rFonts w:ascii="仿宋_GB2312" w:hAnsi="仿宋_GB2312" w:cs="仿宋_GB2312" w:eastAsia="仿宋_GB2312"/>
                <w:sz w:val="22"/>
              </w:rPr>
              <w:t>照自然资源部</w:t>
            </w:r>
            <w:r>
              <w:rPr>
                <w:rFonts w:ascii="仿宋_GB2312" w:hAnsi="仿宋_GB2312" w:cs="仿宋_GB2312" w:eastAsia="仿宋_GB2312"/>
                <w:sz w:val="22"/>
              </w:rPr>
              <w:t>“双随机、一公开”抽查评分细则，</w:t>
            </w:r>
            <w:r>
              <w:rPr>
                <w:rFonts w:ascii="仿宋_GB2312" w:hAnsi="仿宋_GB2312" w:cs="仿宋_GB2312" w:eastAsia="仿宋_GB2312"/>
                <w:sz w:val="22"/>
              </w:rPr>
              <w:t>针</w:t>
            </w:r>
            <w:r>
              <w:rPr>
                <w:rFonts w:ascii="仿宋_GB2312" w:hAnsi="仿宋_GB2312" w:cs="仿宋_GB2312" w:eastAsia="仿宋_GB2312"/>
                <w:sz w:val="22"/>
              </w:rPr>
              <w:t>对</w:t>
            </w:r>
            <w:r>
              <w:rPr>
                <w:rFonts w:ascii="仿宋_GB2312" w:hAnsi="仿宋_GB2312" w:cs="仿宋_GB2312" w:eastAsia="仿宋_GB2312"/>
                <w:sz w:val="22"/>
              </w:rPr>
              <w:t>陕西省</w:t>
            </w:r>
            <w:r>
              <w:rPr>
                <w:rFonts w:ascii="仿宋_GB2312" w:hAnsi="仿宋_GB2312" w:cs="仿宋_GB2312" w:eastAsia="仿宋_GB2312"/>
                <w:sz w:val="22"/>
              </w:rPr>
              <w:t>202</w:t>
            </w:r>
            <w:r>
              <w:rPr>
                <w:rFonts w:ascii="仿宋_GB2312" w:hAnsi="仿宋_GB2312" w:cs="仿宋_GB2312" w:eastAsia="仿宋_GB2312"/>
                <w:sz w:val="22"/>
              </w:rPr>
              <w:t>6</w:t>
            </w:r>
            <w:r>
              <w:rPr>
                <w:rFonts w:ascii="仿宋_GB2312" w:hAnsi="仿宋_GB2312" w:cs="仿宋_GB2312" w:eastAsia="仿宋_GB2312"/>
                <w:sz w:val="22"/>
              </w:rPr>
              <w:t>年</w:t>
            </w:r>
            <w:r>
              <w:rPr>
                <w:rFonts w:ascii="仿宋_GB2312" w:hAnsi="仿宋_GB2312" w:cs="仿宋_GB2312" w:eastAsia="仿宋_GB2312"/>
                <w:sz w:val="22"/>
              </w:rPr>
              <w:t>度</w:t>
            </w:r>
            <w:r>
              <w:rPr>
                <w:rFonts w:ascii="仿宋_GB2312" w:hAnsi="仿宋_GB2312" w:cs="仿宋_GB2312" w:eastAsia="仿宋_GB2312"/>
                <w:sz w:val="22"/>
              </w:rPr>
              <w:t>建设用地</w:t>
            </w:r>
            <w:r>
              <w:rPr>
                <w:rFonts w:ascii="仿宋_GB2312" w:hAnsi="仿宋_GB2312" w:cs="仿宋_GB2312" w:eastAsia="仿宋_GB2312"/>
                <w:sz w:val="22"/>
              </w:rPr>
              <w:t>批文，分阶段开展两次以上的组卷报批质量核查工作，</w:t>
            </w:r>
            <w:r>
              <w:rPr>
                <w:rFonts w:ascii="仿宋_GB2312" w:hAnsi="仿宋_GB2312" w:cs="仿宋_GB2312" w:eastAsia="仿宋_GB2312"/>
                <w:sz w:val="22"/>
              </w:rPr>
              <w:t>形成</w:t>
            </w:r>
            <w:r>
              <w:rPr>
                <w:rFonts w:ascii="仿宋_GB2312" w:hAnsi="仿宋_GB2312" w:cs="仿宋_GB2312" w:eastAsia="仿宋_GB2312"/>
                <w:sz w:val="22"/>
              </w:rPr>
              <w:t>“双随机、一公开”抽查打分表，</w:t>
            </w:r>
            <w:r>
              <w:rPr>
                <w:rFonts w:ascii="仿宋_GB2312" w:hAnsi="仿宋_GB2312" w:cs="仿宋_GB2312" w:eastAsia="仿宋_GB2312"/>
                <w:sz w:val="22"/>
              </w:rPr>
              <w:t>逐项梳理</w:t>
            </w:r>
            <w:r>
              <w:rPr>
                <w:rFonts w:ascii="仿宋_GB2312" w:hAnsi="仿宋_GB2312" w:cs="仿宋_GB2312" w:eastAsia="仿宋_GB2312"/>
                <w:sz w:val="22"/>
              </w:rPr>
              <w:t>符合国土空间规划管控要求情况、符合土地利用计划情况、耕地保护情况、土地征收情况等，建立问题整改台账</w:t>
            </w:r>
            <w:r>
              <w:rPr>
                <w:rFonts w:ascii="仿宋_GB2312" w:hAnsi="仿宋_GB2312" w:cs="仿宋_GB2312" w:eastAsia="仿宋_GB2312"/>
                <w:sz w:val="22"/>
              </w:rPr>
              <w:t>，持续提升全省用地审批标准化、规范化水平</w:t>
            </w:r>
            <w:r>
              <w:rPr>
                <w:rFonts w:ascii="仿宋_GB2312" w:hAnsi="仿宋_GB2312" w:cs="仿宋_GB2312" w:eastAsia="仿宋_GB2312"/>
                <w:sz w:val="22"/>
              </w:rPr>
              <w:t>。</w:t>
            </w:r>
          </w:p>
          <w:p>
            <w:pPr>
              <w:pStyle w:val="null3"/>
              <w:jc w:val="both"/>
              <w:outlineLvl w:val="1"/>
            </w:pPr>
            <w:r>
              <w:rPr>
                <w:rFonts w:ascii="仿宋_GB2312" w:hAnsi="仿宋_GB2312" w:cs="仿宋_GB2312" w:eastAsia="仿宋_GB2312"/>
                <w:sz w:val="22"/>
                <w:b/>
              </w:rPr>
              <w:t>四、技术指标要求</w:t>
            </w:r>
          </w:p>
          <w:p>
            <w:pPr>
              <w:pStyle w:val="null3"/>
              <w:ind w:firstLine="440"/>
              <w:jc w:val="both"/>
            </w:pPr>
            <w:r>
              <w:rPr>
                <w:rFonts w:ascii="仿宋_GB2312" w:hAnsi="仿宋_GB2312" w:cs="仿宋_GB2312" w:eastAsia="仿宋_GB2312"/>
                <w:sz w:val="22"/>
              </w:rPr>
              <w:t>（一）总体要求</w:t>
            </w:r>
          </w:p>
          <w:p>
            <w:pPr>
              <w:pStyle w:val="null3"/>
              <w:ind w:firstLine="440"/>
              <w:jc w:val="both"/>
            </w:pPr>
            <w:r>
              <w:rPr>
                <w:rFonts w:ascii="仿宋_GB2312" w:hAnsi="仿宋_GB2312" w:cs="仿宋_GB2312" w:eastAsia="仿宋_GB2312"/>
                <w:sz w:val="22"/>
              </w:rPr>
              <w:t>本项目</w:t>
            </w:r>
            <w:r>
              <w:rPr>
                <w:rFonts w:ascii="仿宋_GB2312" w:hAnsi="仿宋_GB2312" w:cs="仿宋_GB2312" w:eastAsia="仿宋_GB2312"/>
                <w:sz w:val="22"/>
              </w:rPr>
              <w:t>必须</w:t>
            </w:r>
            <w:r>
              <w:rPr>
                <w:rFonts w:ascii="仿宋_GB2312" w:hAnsi="仿宋_GB2312" w:cs="仿宋_GB2312" w:eastAsia="仿宋_GB2312"/>
                <w:sz w:val="22"/>
              </w:rPr>
              <w:t>符合国家标准和有关规范</w:t>
            </w:r>
            <w:r>
              <w:rPr>
                <w:rFonts w:ascii="仿宋_GB2312" w:hAnsi="仿宋_GB2312" w:cs="仿宋_GB2312" w:eastAsia="仿宋_GB2312"/>
                <w:sz w:val="22"/>
              </w:rPr>
              <w:t>。具体技术规格要求包括如下：</w:t>
            </w:r>
          </w:p>
          <w:p>
            <w:pPr>
              <w:pStyle w:val="null3"/>
              <w:jc w:val="both"/>
            </w:pPr>
            <w:r>
              <w:rPr>
                <w:rFonts w:ascii="仿宋_GB2312" w:hAnsi="仿宋_GB2312" w:cs="仿宋_GB2312" w:eastAsia="仿宋_GB2312"/>
                <w:sz w:val="22"/>
              </w:rPr>
              <w:t xml:space="preserve">    1.对</w:t>
            </w:r>
            <w:r>
              <w:rPr>
                <w:rFonts w:ascii="仿宋_GB2312" w:hAnsi="仿宋_GB2312" w:cs="仿宋_GB2312" w:eastAsia="仿宋_GB2312"/>
                <w:sz w:val="22"/>
              </w:rPr>
              <w:t>市、县清理认定</w:t>
            </w:r>
            <w:r>
              <w:rPr>
                <w:rFonts w:ascii="仿宋_GB2312" w:hAnsi="仿宋_GB2312" w:cs="仿宋_GB2312" w:eastAsia="仿宋_GB2312"/>
                <w:sz w:val="22"/>
              </w:rPr>
              <w:t>成果进行省级核查</w:t>
            </w:r>
            <w:r>
              <w:rPr>
                <w:rFonts w:ascii="仿宋_GB2312" w:hAnsi="仿宋_GB2312" w:cs="仿宋_GB2312" w:eastAsia="仿宋_GB2312"/>
                <w:sz w:val="22"/>
              </w:rPr>
              <w:t>，形成</w:t>
            </w:r>
            <w:r>
              <w:rPr>
                <w:rFonts w:ascii="仿宋_GB2312" w:hAnsi="仿宋_GB2312" w:cs="仿宋_GB2312" w:eastAsia="仿宋_GB2312"/>
                <w:sz w:val="22"/>
              </w:rPr>
              <w:t>陕西省</w:t>
            </w:r>
            <w:r>
              <w:rPr>
                <w:rFonts w:ascii="仿宋_GB2312" w:hAnsi="仿宋_GB2312" w:cs="仿宋_GB2312" w:eastAsia="仿宋_GB2312"/>
                <w:sz w:val="22"/>
              </w:rPr>
              <w:t>建设用地</w:t>
            </w:r>
            <w:r>
              <w:rPr>
                <w:rFonts w:ascii="仿宋_GB2312" w:hAnsi="仿宋_GB2312" w:cs="仿宋_GB2312" w:eastAsia="仿宋_GB2312"/>
                <w:sz w:val="22"/>
              </w:rPr>
              <w:t>批而未供</w:t>
            </w:r>
            <w:r>
              <w:rPr>
                <w:rFonts w:ascii="仿宋_GB2312" w:hAnsi="仿宋_GB2312" w:cs="仿宋_GB2312" w:eastAsia="仿宋_GB2312"/>
                <w:sz w:val="22"/>
              </w:rPr>
              <w:t>批文清单和数据库</w:t>
            </w:r>
            <w:r>
              <w:rPr>
                <w:rFonts w:ascii="仿宋_GB2312" w:hAnsi="仿宋_GB2312" w:cs="仿宋_GB2312" w:eastAsia="仿宋_GB2312"/>
                <w:sz w:val="22"/>
              </w:rPr>
              <w:t>，优化全省批而未供基数范围</w:t>
            </w:r>
            <w:r>
              <w:rPr>
                <w:rFonts w:ascii="仿宋_GB2312" w:hAnsi="仿宋_GB2312" w:cs="仿宋_GB2312" w:eastAsia="仿宋_GB2312"/>
                <w:sz w:val="22"/>
              </w:rPr>
              <w:t>。对不具备供应可能的建设用地批文，</w:t>
            </w:r>
            <w:r>
              <w:rPr>
                <w:rFonts w:ascii="仿宋_GB2312" w:hAnsi="仿宋_GB2312" w:cs="仿宋_GB2312" w:eastAsia="仿宋_GB2312"/>
                <w:sz w:val="22"/>
              </w:rPr>
              <w:t>逐步开展</w:t>
            </w:r>
            <w:r>
              <w:rPr>
                <w:rFonts w:ascii="仿宋_GB2312" w:hAnsi="仿宋_GB2312" w:cs="仿宋_GB2312" w:eastAsia="仿宋_GB2312"/>
                <w:sz w:val="22"/>
              </w:rPr>
              <w:t>分类处置</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    2.及时</w:t>
            </w:r>
            <w:r>
              <w:rPr>
                <w:rFonts w:ascii="仿宋_GB2312" w:hAnsi="仿宋_GB2312" w:cs="仿宋_GB2312" w:eastAsia="仿宋_GB2312"/>
                <w:sz w:val="22"/>
              </w:rPr>
              <w:t>核查建设用地组卷报批质量</w:t>
            </w:r>
            <w:r>
              <w:rPr>
                <w:rFonts w:ascii="仿宋_GB2312" w:hAnsi="仿宋_GB2312" w:cs="仿宋_GB2312" w:eastAsia="仿宋_GB2312"/>
                <w:sz w:val="22"/>
              </w:rPr>
              <w:t>，</w:t>
            </w:r>
            <w:r>
              <w:rPr>
                <w:rFonts w:ascii="仿宋_GB2312" w:hAnsi="仿宋_GB2312" w:cs="仿宋_GB2312" w:eastAsia="仿宋_GB2312"/>
                <w:sz w:val="22"/>
              </w:rPr>
              <w:t>通过核查打分表及问题记录</w:t>
            </w:r>
            <w:r>
              <w:rPr>
                <w:rFonts w:ascii="仿宋_GB2312" w:hAnsi="仿宋_GB2312" w:cs="仿宋_GB2312" w:eastAsia="仿宋_GB2312"/>
                <w:sz w:val="22"/>
              </w:rPr>
              <w:t>，</w:t>
            </w:r>
            <w:r>
              <w:rPr>
                <w:rFonts w:ascii="仿宋_GB2312" w:hAnsi="仿宋_GB2312" w:cs="仿宋_GB2312" w:eastAsia="仿宋_GB2312"/>
                <w:sz w:val="22"/>
              </w:rPr>
              <w:t>精准排查报件问题，</w:t>
            </w:r>
            <w:r>
              <w:rPr>
                <w:rFonts w:ascii="仿宋_GB2312" w:hAnsi="仿宋_GB2312" w:cs="仿宋_GB2312" w:eastAsia="仿宋_GB2312"/>
                <w:sz w:val="22"/>
              </w:rPr>
              <w:t>确保</w:t>
            </w:r>
            <w:r>
              <w:rPr>
                <w:rFonts w:ascii="仿宋_GB2312" w:hAnsi="仿宋_GB2312" w:cs="仿宋_GB2312" w:eastAsia="仿宋_GB2312"/>
                <w:sz w:val="22"/>
              </w:rPr>
              <w:t>我省各建设项目</w:t>
            </w:r>
            <w:r>
              <w:rPr>
                <w:rFonts w:ascii="仿宋_GB2312" w:hAnsi="仿宋_GB2312" w:cs="仿宋_GB2312" w:eastAsia="仿宋_GB2312"/>
                <w:sz w:val="22"/>
              </w:rPr>
              <w:t>审批质量和效率</w:t>
            </w:r>
            <w:r>
              <w:rPr>
                <w:rFonts w:ascii="仿宋_GB2312" w:hAnsi="仿宋_GB2312" w:cs="仿宋_GB2312" w:eastAsia="仿宋_GB2312"/>
                <w:sz w:val="22"/>
              </w:rPr>
              <w:t>显著提升</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        3.</w:t>
            </w:r>
            <w:r>
              <w:rPr>
                <w:rFonts w:ascii="仿宋_GB2312" w:hAnsi="仿宋_GB2312" w:cs="仿宋_GB2312" w:eastAsia="仿宋_GB2312"/>
                <w:sz w:val="22"/>
              </w:rPr>
              <w:t>★</w:t>
            </w:r>
            <w:r>
              <w:rPr>
                <w:rFonts w:ascii="仿宋_GB2312" w:hAnsi="仿宋_GB2312" w:cs="仿宋_GB2312" w:eastAsia="仿宋_GB2312"/>
                <w:sz w:val="22"/>
              </w:rPr>
              <w:t>区分不具备供应条件、具备供应条件的批文范围</w:t>
            </w:r>
            <w:r>
              <w:rPr>
                <w:rFonts w:ascii="仿宋_GB2312" w:hAnsi="仿宋_GB2312" w:cs="仿宋_GB2312" w:eastAsia="仿宋_GB2312"/>
                <w:sz w:val="22"/>
              </w:rPr>
              <w:t>，</w:t>
            </w:r>
            <w:r>
              <w:rPr>
                <w:rFonts w:ascii="仿宋_GB2312" w:hAnsi="仿宋_GB2312" w:cs="仿宋_GB2312" w:eastAsia="仿宋_GB2312"/>
                <w:sz w:val="22"/>
              </w:rPr>
              <w:t>形成</w:t>
            </w:r>
            <w:r>
              <w:rPr>
                <w:rFonts w:ascii="仿宋_GB2312" w:hAnsi="仿宋_GB2312" w:cs="仿宋_GB2312" w:eastAsia="仿宋_GB2312"/>
                <w:sz w:val="22"/>
              </w:rPr>
              <w:t>1</w:t>
            </w:r>
            <w:r>
              <w:rPr>
                <w:rFonts w:ascii="仿宋_GB2312" w:hAnsi="仿宋_GB2312" w:cs="仿宋_GB2312" w:eastAsia="仿宋_GB2312"/>
                <w:sz w:val="22"/>
              </w:rPr>
              <w:t>套</w:t>
            </w:r>
            <w:r>
              <w:rPr>
                <w:rFonts w:ascii="仿宋_GB2312" w:hAnsi="仿宋_GB2312" w:cs="仿宋_GB2312" w:eastAsia="仿宋_GB2312"/>
                <w:sz w:val="22"/>
              </w:rPr>
              <w:t>完整批而未供矢量数据</w:t>
            </w:r>
            <w:r>
              <w:rPr>
                <w:rFonts w:ascii="仿宋_GB2312" w:hAnsi="仿宋_GB2312" w:cs="仿宋_GB2312" w:eastAsia="仿宋_GB2312"/>
                <w:sz w:val="22"/>
              </w:rPr>
              <w:t>及批文清单表，填报用途管制监管系统且通过率</w:t>
            </w:r>
            <w:r>
              <w:rPr>
                <w:rFonts w:ascii="仿宋_GB2312" w:hAnsi="仿宋_GB2312" w:cs="仿宋_GB2312" w:eastAsia="仿宋_GB2312"/>
                <w:sz w:val="22"/>
              </w:rPr>
              <w:t>100%</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        4.</w:t>
            </w:r>
            <w:r>
              <w:rPr>
                <w:rFonts w:ascii="仿宋_GB2312" w:hAnsi="仿宋_GB2312" w:cs="仿宋_GB2312" w:eastAsia="仿宋_GB2312"/>
                <w:sz w:val="22"/>
              </w:rPr>
              <w:t>★</w:t>
            </w:r>
            <w:r>
              <w:rPr>
                <w:rFonts w:ascii="仿宋_GB2312" w:hAnsi="仿宋_GB2312" w:cs="仿宋_GB2312" w:eastAsia="仿宋_GB2312"/>
                <w:sz w:val="22"/>
              </w:rPr>
              <w:t xml:space="preserve">技术服务及时响应，现场服务响应时间 </w:t>
            </w:r>
            <w:r>
              <w:rPr>
                <w:rFonts w:ascii="仿宋_GB2312" w:hAnsi="仿宋_GB2312" w:cs="仿宋_GB2312" w:eastAsia="仿宋_GB2312"/>
                <w:sz w:val="22"/>
              </w:rPr>
              <w:t xml:space="preserve">30 </w:t>
            </w:r>
            <w:r>
              <w:rPr>
                <w:rFonts w:ascii="仿宋_GB2312" w:hAnsi="仿宋_GB2312" w:cs="仿宋_GB2312" w:eastAsia="仿宋_GB2312"/>
                <w:sz w:val="22"/>
              </w:rPr>
              <w:t>分钟内，支持</w:t>
            </w:r>
            <w:r>
              <w:rPr>
                <w:rFonts w:ascii="仿宋_GB2312" w:hAnsi="仿宋_GB2312" w:cs="仿宋_GB2312" w:eastAsia="仿宋_GB2312"/>
                <w:sz w:val="22"/>
              </w:rPr>
              <w:t>7*24</w:t>
            </w:r>
            <w:r>
              <w:rPr>
                <w:rFonts w:ascii="仿宋_GB2312" w:hAnsi="仿宋_GB2312" w:cs="仿宋_GB2312" w:eastAsia="仿宋_GB2312"/>
                <w:sz w:val="22"/>
              </w:rPr>
              <w:t>小时在线服务。</w:t>
            </w:r>
          </w:p>
          <w:p>
            <w:pPr>
              <w:pStyle w:val="null3"/>
              <w:ind w:firstLine="440"/>
              <w:jc w:val="both"/>
            </w:pPr>
            <w:r>
              <w:rPr>
                <w:rFonts w:ascii="仿宋_GB2312" w:hAnsi="仿宋_GB2312" w:cs="仿宋_GB2312" w:eastAsia="仿宋_GB2312"/>
                <w:sz w:val="22"/>
              </w:rPr>
              <w:t>（二）</w:t>
            </w:r>
            <w:r>
              <w:rPr>
                <w:rFonts w:ascii="仿宋_GB2312" w:hAnsi="仿宋_GB2312" w:cs="仿宋_GB2312" w:eastAsia="仿宋_GB2312"/>
                <w:sz w:val="22"/>
              </w:rPr>
              <w:t>分类清理认定</w:t>
            </w:r>
            <w:r>
              <w:rPr>
                <w:rFonts w:ascii="仿宋_GB2312" w:hAnsi="仿宋_GB2312" w:cs="仿宋_GB2312" w:eastAsia="仿宋_GB2312"/>
                <w:sz w:val="22"/>
              </w:rPr>
              <w:t>要求</w:t>
            </w:r>
          </w:p>
          <w:p>
            <w:pPr>
              <w:pStyle w:val="null3"/>
              <w:ind w:firstLine="440"/>
              <w:jc w:val="both"/>
            </w:pPr>
            <w:r>
              <w:rPr>
                <w:rFonts w:ascii="仿宋_GB2312" w:hAnsi="仿宋_GB2312" w:cs="仿宋_GB2312" w:eastAsia="仿宋_GB2312"/>
                <w:sz w:val="22"/>
              </w:rPr>
              <w:t>各市、县</w:t>
            </w:r>
            <w:r>
              <w:rPr>
                <w:rFonts w:ascii="仿宋_GB2312" w:hAnsi="仿宋_GB2312" w:cs="仿宋_GB2312" w:eastAsia="仿宋_GB2312"/>
                <w:sz w:val="22"/>
              </w:rPr>
              <w:t>对</w:t>
            </w:r>
            <w:r>
              <w:rPr>
                <w:rFonts w:ascii="仿宋_GB2312" w:hAnsi="仿宋_GB2312" w:cs="仿宋_GB2312" w:eastAsia="仿宋_GB2312"/>
                <w:sz w:val="22"/>
              </w:rPr>
              <w:t>2009</w:t>
            </w:r>
            <w:r>
              <w:rPr>
                <w:rFonts w:ascii="仿宋_GB2312" w:hAnsi="仿宋_GB2312" w:cs="仿宋_GB2312" w:eastAsia="仿宋_GB2312"/>
                <w:sz w:val="22"/>
              </w:rPr>
              <w:t>年至</w:t>
            </w:r>
            <w:r>
              <w:rPr>
                <w:rFonts w:ascii="仿宋_GB2312" w:hAnsi="仿宋_GB2312" w:cs="仿宋_GB2312" w:eastAsia="仿宋_GB2312"/>
                <w:sz w:val="22"/>
              </w:rPr>
              <w:t>2023</w:t>
            </w:r>
            <w:r>
              <w:rPr>
                <w:rFonts w:ascii="仿宋_GB2312" w:hAnsi="仿宋_GB2312" w:cs="仿宋_GB2312" w:eastAsia="仿宋_GB2312"/>
                <w:sz w:val="22"/>
              </w:rPr>
              <w:t>年部备案的建设用地批文清单和数据</w:t>
            </w:r>
            <w:r>
              <w:rPr>
                <w:rFonts w:ascii="仿宋_GB2312" w:hAnsi="仿宋_GB2312" w:cs="仿宋_GB2312" w:eastAsia="仿宋_GB2312"/>
                <w:sz w:val="22"/>
              </w:rPr>
              <w:t>（</w:t>
            </w:r>
            <w:r>
              <w:rPr>
                <w:rFonts w:ascii="仿宋_GB2312" w:hAnsi="仿宋_GB2312" w:cs="仿宋_GB2312" w:eastAsia="仿宋_GB2312"/>
                <w:sz w:val="22"/>
              </w:rPr>
              <w:t>包括单独选址、城镇村批次和增减挂钩等</w:t>
            </w:r>
            <w:r>
              <w:rPr>
                <w:rFonts w:ascii="仿宋_GB2312" w:hAnsi="仿宋_GB2312" w:cs="仿宋_GB2312" w:eastAsia="仿宋_GB2312"/>
                <w:sz w:val="22"/>
              </w:rPr>
              <w:t>）</w:t>
            </w:r>
            <w:r>
              <w:rPr>
                <w:rFonts w:ascii="仿宋_GB2312" w:hAnsi="仿宋_GB2312" w:cs="仿宋_GB2312" w:eastAsia="仿宋_GB2312"/>
                <w:sz w:val="22"/>
              </w:rPr>
              <w:t>进行分类清理和认定，区分出不具备供应可能、具备供应可能的批文清单和数据</w:t>
            </w:r>
            <w:r>
              <w:rPr>
                <w:rFonts w:ascii="仿宋_GB2312" w:hAnsi="仿宋_GB2312" w:cs="仿宋_GB2312" w:eastAsia="仿宋_GB2312"/>
                <w:sz w:val="22"/>
              </w:rPr>
              <w:t>。</w:t>
            </w:r>
            <w:r>
              <w:rPr>
                <w:rFonts w:ascii="仿宋_GB2312" w:hAnsi="仿宋_GB2312" w:cs="仿宋_GB2312" w:eastAsia="仿宋_GB2312"/>
                <w:sz w:val="22"/>
              </w:rPr>
              <w:t>分类清理认定类型</w:t>
            </w:r>
            <w:r>
              <w:rPr>
                <w:rFonts w:ascii="仿宋_GB2312" w:hAnsi="仿宋_GB2312" w:cs="仿宋_GB2312" w:eastAsia="仿宋_GB2312"/>
                <w:sz w:val="22"/>
              </w:rPr>
              <w:t>及</w:t>
            </w:r>
            <w:r>
              <w:rPr>
                <w:rFonts w:ascii="仿宋_GB2312" w:hAnsi="仿宋_GB2312" w:cs="仿宋_GB2312" w:eastAsia="仿宋_GB2312"/>
                <w:sz w:val="22"/>
              </w:rPr>
              <w:t>代码</w:t>
            </w:r>
            <w:r>
              <w:rPr>
                <w:rFonts w:ascii="仿宋_GB2312" w:hAnsi="仿宋_GB2312" w:cs="仿宋_GB2312" w:eastAsia="仿宋_GB2312"/>
                <w:sz w:val="22"/>
              </w:rPr>
              <w:t>见表</w:t>
            </w:r>
            <w:r>
              <w:rPr>
                <w:rFonts w:ascii="仿宋_GB2312" w:hAnsi="仿宋_GB2312" w:cs="仿宋_GB2312" w:eastAsia="仿宋_GB2312"/>
                <w:sz w:val="22"/>
              </w:rPr>
              <w:t>1</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   1.重复统计和错误备案的批文。一是省级以下地方政府批准农用地转用，国务院、省级政府批准土地征收的项目（</w:t>
            </w:r>
            <w:r>
              <w:rPr>
                <w:rFonts w:ascii="仿宋_GB2312" w:hAnsi="仿宋_GB2312" w:cs="仿宋_GB2312" w:eastAsia="仿宋_GB2312"/>
                <w:sz w:val="22"/>
              </w:rPr>
              <w:t>0101</w:t>
            </w:r>
            <w:r>
              <w:rPr>
                <w:rFonts w:ascii="仿宋_GB2312" w:hAnsi="仿宋_GB2312" w:cs="仿宋_GB2312" w:eastAsia="仿宋_GB2312"/>
                <w:sz w:val="22"/>
              </w:rPr>
              <w:t>）。二是城乡建设用地增减挂钩、工矿废弃地复垦利用等项目涉及的土地征收批文（</w:t>
            </w:r>
            <w:r>
              <w:rPr>
                <w:rFonts w:ascii="仿宋_GB2312" w:hAnsi="仿宋_GB2312" w:cs="仿宋_GB2312" w:eastAsia="仿宋_GB2312"/>
                <w:sz w:val="22"/>
              </w:rPr>
              <w:t>0102</w:t>
            </w:r>
            <w:r>
              <w:rPr>
                <w:rFonts w:ascii="仿宋_GB2312" w:hAnsi="仿宋_GB2312" w:cs="仿宋_GB2312" w:eastAsia="仿宋_GB2312"/>
                <w:sz w:val="22"/>
              </w:rPr>
              <w:t>）。三是单独选址建设项目压占城镇村批次用地范围的（</w:t>
            </w:r>
            <w:r>
              <w:rPr>
                <w:rFonts w:ascii="仿宋_GB2312" w:hAnsi="仿宋_GB2312" w:cs="仿宋_GB2312" w:eastAsia="仿宋_GB2312"/>
                <w:sz w:val="22"/>
              </w:rPr>
              <w:t>0103</w:t>
            </w:r>
            <w:r>
              <w:rPr>
                <w:rFonts w:ascii="仿宋_GB2312" w:hAnsi="仿宋_GB2312" w:cs="仿宋_GB2312" w:eastAsia="仿宋_GB2312"/>
                <w:sz w:val="22"/>
              </w:rPr>
              <w:t>）。四是用地批文再次转发的项目（</w:t>
            </w:r>
            <w:r>
              <w:rPr>
                <w:rFonts w:ascii="仿宋_GB2312" w:hAnsi="仿宋_GB2312" w:cs="仿宋_GB2312" w:eastAsia="仿宋_GB2312"/>
                <w:sz w:val="22"/>
              </w:rPr>
              <w:t>0104</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   2.不具备供应可能的批文。</w:t>
            </w:r>
            <w:r>
              <w:rPr>
                <w:rFonts w:ascii="仿宋_GB2312" w:hAnsi="仿宋_GB2312" w:cs="仿宋_GB2312" w:eastAsia="仿宋_GB2312"/>
                <w:sz w:val="22"/>
              </w:rPr>
              <w:t>一是位于永久基本农田范围内，因不属于可占用永久基本农田情形不能建设的（</w:t>
            </w:r>
            <w:r>
              <w:rPr>
                <w:rFonts w:ascii="仿宋_GB2312" w:hAnsi="仿宋_GB2312" w:cs="仿宋_GB2312" w:eastAsia="仿宋_GB2312"/>
                <w:sz w:val="22"/>
              </w:rPr>
              <w:t>0201</w:t>
            </w:r>
            <w:r>
              <w:rPr>
                <w:rFonts w:ascii="仿宋_GB2312" w:hAnsi="仿宋_GB2312" w:cs="仿宋_GB2312" w:eastAsia="仿宋_GB2312"/>
                <w:sz w:val="22"/>
              </w:rPr>
              <w:t>）。二是位于生态保护红线内，因不符合相关管控规则造成不能建设的（</w:t>
            </w:r>
            <w:r>
              <w:rPr>
                <w:rFonts w:ascii="仿宋_GB2312" w:hAnsi="仿宋_GB2312" w:cs="仿宋_GB2312" w:eastAsia="仿宋_GB2312"/>
                <w:sz w:val="22"/>
              </w:rPr>
              <w:t>0202</w:t>
            </w:r>
            <w:r>
              <w:rPr>
                <w:rFonts w:ascii="仿宋_GB2312" w:hAnsi="仿宋_GB2312" w:cs="仿宋_GB2312" w:eastAsia="仿宋_GB2312"/>
                <w:sz w:val="22"/>
              </w:rPr>
              <w:t>）。三是位于城镇开发边界外，不符合国土空间规划、未建设且核实确认不再利用的（</w:t>
            </w:r>
            <w:r>
              <w:rPr>
                <w:rFonts w:ascii="仿宋_GB2312" w:hAnsi="仿宋_GB2312" w:cs="仿宋_GB2312" w:eastAsia="仿宋_GB2312"/>
                <w:sz w:val="22"/>
              </w:rPr>
              <w:t>0203</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   3.政策原因不进行供应的批文。一是只办理农用地转用、不办理土地征收的农村集体建设用地，包括乡镇企业、乡（镇）村公共设施、公益事业、农村村民住宅用地等（</w:t>
            </w:r>
            <w:r>
              <w:rPr>
                <w:rFonts w:ascii="仿宋_GB2312" w:hAnsi="仿宋_GB2312" w:cs="仿宋_GB2312" w:eastAsia="仿宋_GB2312"/>
                <w:sz w:val="22"/>
              </w:rPr>
              <w:t>0301</w:t>
            </w:r>
            <w:r>
              <w:rPr>
                <w:rFonts w:ascii="仿宋_GB2312" w:hAnsi="仿宋_GB2312" w:cs="仿宋_GB2312" w:eastAsia="仿宋_GB2312"/>
                <w:sz w:val="22"/>
              </w:rPr>
              <w:t>）。二是只办理土地征收、不办理农用地转用的非建设用地，如生态用地、水库水面、农业科研用地、军事用地、国有农牧场、文物遗址等（</w:t>
            </w:r>
            <w:r>
              <w:rPr>
                <w:rFonts w:ascii="仿宋_GB2312" w:hAnsi="仿宋_GB2312" w:cs="仿宋_GB2312" w:eastAsia="仿宋_GB2312"/>
                <w:sz w:val="22"/>
              </w:rPr>
              <w:t>0302</w:t>
            </w:r>
            <w:r>
              <w:rPr>
                <w:rFonts w:ascii="仿宋_GB2312" w:hAnsi="仿宋_GB2312" w:cs="仿宋_GB2312" w:eastAsia="仿宋_GB2312"/>
                <w:sz w:val="22"/>
              </w:rPr>
              <w:t>）。三是规划留白用地，短期内不进行供应的（</w:t>
            </w:r>
            <w:r>
              <w:rPr>
                <w:rFonts w:ascii="仿宋_GB2312" w:hAnsi="仿宋_GB2312" w:cs="仿宋_GB2312" w:eastAsia="仿宋_GB2312"/>
                <w:sz w:val="22"/>
              </w:rPr>
              <w:t>0303</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   4.特殊情况应办但未办供应手续的批文。一是交通、能源、水利、特殊用地等单独选址建设项目用地（</w:t>
            </w:r>
            <w:r>
              <w:rPr>
                <w:rFonts w:ascii="仿宋_GB2312" w:hAnsi="仿宋_GB2312" w:cs="仿宋_GB2312" w:eastAsia="仿宋_GB2312"/>
                <w:sz w:val="22"/>
              </w:rPr>
              <w:t>0401</w:t>
            </w:r>
            <w:r>
              <w:rPr>
                <w:rFonts w:ascii="仿宋_GB2312" w:hAnsi="仿宋_GB2312" w:cs="仿宋_GB2312" w:eastAsia="仿宋_GB2312"/>
                <w:sz w:val="22"/>
              </w:rPr>
              <w:t>）。二是符合国土空间规划，但存在未供即用、实际已建的项目用地（</w:t>
            </w:r>
            <w:r>
              <w:rPr>
                <w:rFonts w:ascii="仿宋_GB2312" w:hAnsi="仿宋_GB2312" w:cs="仿宋_GB2312" w:eastAsia="仿宋_GB2312"/>
                <w:sz w:val="22"/>
              </w:rPr>
              <w:t>0402</w:t>
            </w:r>
            <w:r>
              <w:rPr>
                <w:rFonts w:ascii="仿宋_GB2312" w:hAnsi="仿宋_GB2312" w:cs="仿宋_GB2312" w:eastAsia="仿宋_GB2312"/>
                <w:sz w:val="22"/>
              </w:rPr>
              <w:t>）。三是代征市政道路、绿地以及不能单独利用的边角地、零星用地等（</w:t>
            </w:r>
            <w:r>
              <w:rPr>
                <w:rFonts w:ascii="仿宋_GB2312" w:hAnsi="仿宋_GB2312" w:cs="仿宋_GB2312" w:eastAsia="仿宋_GB2312"/>
                <w:sz w:val="22"/>
              </w:rPr>
              <w:t>0403</w:t>
            </w:r>
            <w:r>
              <w:rPr>
                <w:rFonts w:ascii="仿宋_GB2312" w:hAnsi="仿宋_GB2312" w:cs="仿宋_GB2312" w:eastAsia="仿宋_GB2312"/>
                <w:sz w:val="22"/>
              </w:rPr>
              <w:t>）。四是因行政区划、权属等原因无法供应的（</w:t>
            </w:r>
            <w:r>
              <w:rPr>
                <w:rFonts w:ascii="仿宋_GB2312" w:hAnsi="仿宋_GB2312" w:cs="仿宋_GB2312" w:eastAsia="仿宋_GB2312"/>
                <w:sz w:val="22"/>
              </w:rPr>
              <w:t>0404</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   5.具备供应可能批文。可进行正常供地的批文范围（</w:t>
            </w:r>
            <w:r>
              <w:rPr>
                <w:rFonts w:ascii="仿宋_GB2312" w:hAnsi="仿宋_GB2312" w:cs="仿宋_GB2312" w:eastAsia="仿宋_GB2312"/>
                <w:sz w:val="22"/>
              </w:rPr>
              <w:t>0000</w:t>
            </w:r>
            <w:r>
              <w:rPr>
                <w:rFonts w:ascii="仿宋_GB2312" w:hAnsi="仿宋_GB2312" w:cs="仿宋_GB2312" w:eastAsia="仿宋_GB2312"/>
                <w:sz w:val="22"/>
              </w:rPr>
              <w:t>）。</w:t>
            </w:r>
          </w:p>
          <w:p>
            <w:pPr>
              <w:pStyle w:val="null3"/>
              <w:jc w:val="center"/>
            </w:pPr>
            <w:r>
              <w:rPr>
                <w:rFonts w:ascii="仿宋_GB2312" w:hAnsi="仿宋_GB2312" w:cs="仿宋_GB2312" w:eastAsia="仿宋_GB2312"/>
                <w:sz w:val="22"/>
                <w:b/>
              </w:rPr>
              <w:t>表</w:t>
            </w:r>
            <w:r>
              <w:rPr>
                <w:rFonts w:ascii="仿宋_GB2312" w:hAnsi="仿宋_GB2312" w:cs="仿宋_GB2312" w:eastAsia="仿宋_GB2312"/>
                <w:sz w:val="22"/>
                <w:b/>
              </w:rPr>
              <w:t xml:space="preserve">1  </w:t>
            </w:r>
            <w:r>
              <w:rPr>
                <w:rFonts w:ascii="仿宋_GB2312" w:hAnsi="仿宋_GB2312" w:cs="仿宋_GB2312" w:eastAsia="仿宋_GB2312"/>
                <w:sz w:val="22"/>
                <w:b/>
              </w:rPr>
              <w:t>分类清理认定类型代码</w:t>
            </w:r>
          </w:p>
          <w:tbl>
            <w:tblPr>
              <w:tblBorders>
                <w:top w:val="none" w:color="000000" w:sz="4"/>
                <w:left w:val="none" w:color="000000" w:sz="4"/>
                <w:bottom w:val="none" w:color="000000" w:sz="4"/>
                <w:right w:val="none" w:color="000000" w:sz="4"/>
                <w:insideH w:val="none"/>
                <w:insideV w:val="none"/>
              </w:tblBorders>
            </w:tblPr>
            <w:tblGrid>
              <w:gridCol w:w="392"/>
              <w:gridCol w:w="1879"/>
              <w:gridCol w:w="272"/>
            </w:tblGrid>
            <w:tr>
              <w:tc>
                <w:tcPr>
                  <w:tcW w:type="dxa" w:w="3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一级类</w:t>
                  </w:r>
                </w:p>
              </w:tc>
              <w:tc>
                <w:tcPr>
                  <w:tcW w:type="dxa" w:w="18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二级类</w:t>
                  </w:r>
                </w:p>
              </w:tc>
              <w:tc>
                <w:tcPr>
                  <w:tcW w:type="dxa" w:w="2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代码</w:t>
                  </w:r>
                </w:p>
              </w:tc>
            </w:tr>
            <w:tr>
              <w:tc>
                <w:tcPr>
                  <w:tcW w:type="dxa" w:w="39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重复统</w:t>
                  </w:r>
                  <w:r>
                    <w:rPr>
                      <w:rFonts w:ascii="仿宋_GB2312" w:hAnsi="仿宋_GB2312" w:cs="仿宋_GB2312" w:eastAsia="仿宋_GB2312"/>
                      <w:sz w:val="22"/>
                    </w:rPr>
                    <w:t>计和错</w:t>
                  </w:r>
                  <w:r>
                    <w:rPr>
                      <w:rFonts w:ascii="仿宋_GB2312" w:hAnsi="仿宋_GB2312" w:cs="仿宋_GB2312" w:eastAsia="仿宋_GB2312"/>
                      <w:sz w:val="22"/>
                    </w:rPr>
                    <w:t>误备案的批文</w:t>
                  </w:r>
                </w:p>
              </w:tc>
              <w:tc>
                <w:tcPr>
                  <w:tcW w:type="dxa" w:w="1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pPr>
                  <w:r>
                    <w:rPr>
                      <w:rFonts w:ascii="仿宋_GB2312" w:hAnsi="仿宋_GB2312" w:cs="仿宋_GB2312" w:eastAsia="仿宋_GB2312"/>
                      <w:sz w:val="22"/>
                    </w:rPr>
                    <w:t>省级以下地方政府批准农用地转用，国务院、省级政府批准土</w:t>
                  </w:r>
                  <w:r>
                    <w:rPr>
                      <w:rFonts w:ascii="仿宋_GB2312" w:hAnsi="仿宋_GB2312" w:cs="仿宋_GB2312" w:eastAsia="仿宋_GB2312"/>
                      <w:sz w:val="22"/>
                    </w:rPr>
                    <w:t>地征收项目</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2"/>
                    </w:rPr>
                    <w:t>0101</w:t>
                  </w:r>
                </w:p>
              </w:tc>
            </w:tr>
            <w:tr>
              <w:tc>
                <w:tcPr>
                  <w:tcW w:type="dxa" w:w="392"/>
                  <w:vMerge/>
                  <w:tcBorders>
                    <w:top w:val="none" w:color="000000" w:sz="4"/>
                    <w:left w:val="single" w:color="000000" w:sz="4"/>
                    <w:bottom w:val="none" w:color="000000" w:sz="4"/>
                    <w:right w:val="single" w:color="000000" w:sz="4"/>
                  </w:tcBorders>
                </w:tcPr>
                <w:p/>
              </w:tc>
              <w:tc>
                <w:tcPr>
                  <w:tcW w:type="dxa" w:w="1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45"/>
                  </w:pPr>
                  <w:r>
                    <w:rPr>
                      <w:rFonts w:ascii="仿宋_GB2312" w:hAnsi="仿宋_GB2312" w:cs="仿宋_GB2312" w:eastAsia="仿宋_GB2312"/>
                      <w:sz w:val="22"/>
                    </w:rPr>
                    <w:t>城乡建设用地增减挂钩、工矿废弃地复垦利用等项目涉及的土</w:t>
                  </w:r>
                  <w:r>
                    <w:rPr>
                      <w:rFonts w:ascii="仿宋_GB2312" w:hAnsi="仿宋_GB2312" w:cs="仿宋_GB2312" w:eastAsia="仿宋_GB2312"/>
                      <w:sz w:val="22"/>
                    </w:rPr>
                    <w:t>地征收批文</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2"/>
                    </w:rPr>
                    <w:t>0102</w:t>
                  </w:r>
                </w:p>
              </w:tc>
            </w:tr>
            <w:tr>
              <w:tc>
                <w:tcPr>
                  <w:tcW w:type="dxa" w:w="392"/>
                  <w:vMerge/>
                  <w:tcBorders>
                    <w:top w:val="none" w:color="000000" w:sz="4"/>
                    <w:left w:val="single" w:color="000000" w:sz="4"/>
                    <w:bottom w:val="none" w:color="000000" w:sz="4"/>
                    <w:right w:val="single" w:color="000000" w:sz="4"/>
                  </w:tcBorders>
                </w:tcPr>
                <w:p/>
              </w:tc>
              <w:tc>
                <w:tcPr>
                  <w:tcW w:type="dxa" w:w="1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2"/>
                    </w:rPr>
                    <w:t>单独选址建设项目压占城镇村批次用地范围的</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2"/>
                    </w:rPr>
                    <w:t>0103</w:t>
                  </w:r>
                </w:p>
              </w:tc>
            </w:tr>
            <w:tr>
              <w:tc>
                <w:tcPr>
                  <w:tcW w:type="dxa" w:w="392"/>
                  <w:vMerge/>
                  <w:tcBorders>
                    <w:top w:val="none" w:color="000000" w:sz="4"/>
                    <w:left w:val="single" w:color="000000" w:sz="4"/>
                    <w:bottom w:val="none" w:color="000000" w:sz="4"/>
                    <w:right w:val="single" w:color="000000" w:sz="4"/>
                  </w:tcBorders>
                </w:tcPr>
                <w:p/>
              </w:tc>
              <w:tc>
                <w:tcPr>
                  <w:tcW w:type="dxa" w:w="1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2"/>
                    </w:rPr>
                    <w:t>用地批文再次转发的项目</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2"/>
                    </w:rPr>
                    <w:t>0104</w:t>
                  </w:r>
                </w:p>
              </w:tc>
            </w:tr>
            <w:tr>
              <w:tc>
                <w:tcPr>
                  <w:tcW w:type="dxa" w:w="39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不具备</w:t>
                  </w:r>
                  <w:r>
                    <w:rPr>
                      <w:rFonts w:ascii="仿宋_GB2312" w:hAnsi="仿宋_GB2312" w:cs="仿宋_GB2312" w:eastAsia="仿宋_GB2312"/>
                      <w:sz w:val="22"/>
                    </w:rPr>
                    <w:t>供应可</w:t>
                  </w:r>
                  <w:r>
                    <w:rPr>
                      <w:rFonts w:ascii="仿宋_GB2312" w:hAnsi="仿宋_GB2312" w:cs="仿宋_GB2312" w:eastAsia="仿宋_GB2312"/>
                      <w:sz w:val="22"/>
                    </w:rPr>
                    <w:t>能的批</w:t>
                  </w:r>
                  <w:r>
                    <w:rPr>
                      <w:rFonts w:ascii="仿宋_GB2312" w:hAnsi="仿宋_GB2312" w:cs="仿宋_GB2312" w:eastAsia="仿宋_GB2312"/>
                      <w:sz w:val="22"/>
                    </w:rPr>
                    <w:t>文</w:t>
                  </w:r>
                </w:p>
              </w:tc>
              <w:tc>
                <w:tcPr>
                  <w:tcW w:type="dxa" w:w="1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pPr>
                  <w:r>
                    <w:rPr>
                      <w:rFonts w:ascii="仿宋_GB2312" w:hAnsi="仿宋_GB2312" w:cs="仿宋_GB2312" w:eastAsia="仿宋_GB2312"/>
                      <w:sz w:val="22"/>
                    </w:rPr>
                    <w:t>位于永久基本农田范围内，因不属于可占用永久基本农田情形</w:t>
                  </w:r>
                  <w:r>
                    <w:rPr>
                      <w:rFonts w:ascii="仿宋_GB2312" w:hAnsi="仿宋_GB2312" w:cs="仿宋_GB2312" w:eastAsia="仿宋_GB2312"/>
                    </w:rPr>
                    <w:t xml:space="preserve"> </w:t>
                  </w:r>
                  <w:r>
                    <w:rPr>
                      <w:rFonts w:ascii="仿宋_GB2312" w:hAnsi="仿宋_GB2312" w:cs="仿宋_GB2312" w:eastAsia="仿宋_GB2312"/>
                      <w:sz w:val="22"/>
                    </w:rPr>
                    <w:t>不能建设的</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2"/>
                    </w:rPr>
                    <w:t>0201</w:t>
                  </w:r>
                </w:p>
              </w:tc>
            </w:tr>
            <w:tr>
              <w:tc>
                <w:tcPr>
                  <w:tcW w:type="dxa" w:w="392"/>
                  <w:vMerge/>
                  <w:tcBorders>
                    <w:top w:val="none" w:color="000000" w:sz="4"/>
                    <w:left w:val="single" w:color="000000" w:sz="4"/>
                    <w:bottom w:val="none" w:color="000000" w:sz="4"/>
                    <w:right w:val="single" w:color="000000" w:sz="4"/>
                  </w:tcBorders>
                </w:tcPr>
                <w:p/>
              </w:tc>
              <w:tc>
                <w:tcPr>
                  <w:tcW w:type="dxa" w:w="1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left"/>
                  </w:pPr>
                  <w:r>
                    <w:rPr>
                      <w:rFonts w:ascii="仿宋_GB2312" w:hAnsi="仿宋_GB2312" w:cs="仿宋_GB2312" w:eastAsia="仿宋_GB2312"/>
                      <w:sz w:val="22"/>
                    </w:rPr>
                    <w:t>位于生态保护红线内，因不符合相关管控规则造成不能建设的</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rFonts w:ascii="仿宋_GB2312" w:hAnsi="仿宋_GB2312" w:cs="仿宋_GB2312" w:eastAsia="仿宋_GB2312"/>
                      <w:sz w:val="22"/>
                    </w:rPr>
                    <w:t>0202</w:t>
                  </w:r>
                </w:p>
              </w:tc>
            </w:tr>
            <w:tr>
              <w:tc>
                <w:tcPr>
                  <w:tcW w:type="dxa" w:w="392"/>
                  <w:vMerge/>
                  <w:tcBorders>
                    <w:top w:val="none" w:color="000000" w:sz="4"/>
                    <w:left w:val="single" w:color="000000" w:sz="4"/>
                    <w:bottom w:val="none" w:color="000000" w:sz="4"/>
                    <w:right w:val="single" w:color="000000" w:sz="4"/>
                  </w:tcBorders>
                </w:tcPr>
                <w:p/>
              </w:tc>
              <w:tc>
                <w:tcPr>
                  <w:tcW w:type="dxa" w:w="1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pPr>
                  <w:r>
                    <w:rPr>
                      <w:rFonts w:ascii="仿宋_GB2312" w:hAnsi="仿宋_GB2312" w:cs="仿宋_GB2312" w:eastAsia="仿宋_GB2312"/>
                      <w:sz w:val="22"/>
                    </w:rPr>
                    <w:t>位于城镇开发边界外，不符合国土空间规划、未建设且核实确</w:t>
                  </w:r>
                  <w:r>
                    <w:rPr>
                      <w:rFonts w:ascii="仿宋_GB2312" w:hAnsi="仿宋_GB2312" w:cs="仿宋_GB2312" w:eastAsia="仿宋_GB2312"/>
                      <w:sz w:val="22"/>
                    </w:rPr>
                    <w:t>认不再利用的</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2"/>
                    </w:rPr>
                    <w:t>0203</w:t>
                  </w:r>
                </w:p>
              </w:tc>
            </w:tr>
            <w:tr>
              <w:tc>
                <w:tcPr>
                  <w:tcW w:type="dxa" w:w="39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政策原</w:t>
                  </w:r>
                  <w:r>
                    <w:rPr>
                      <w:rFonts w:ascii="仿宋_GB2312" w:hAnsi="仿宋_GB2312" w:cs="仿宋_GB2312" w:eastAsia="仿宋_GB2312"/>
                      <w:sz w:val="22"/>
                    </w:rPr>
                    <w:t>因不进行供应</w:t>
                  </w:r>
                  <w:r>
                    <w:rPr>
                      <w:rFonts w:ascii="仿宋_GB2312" w:hAnsi="仿宋_GB2312" w:cs="仿宋_GB2312" w:eastAsia="仿宋_GB2312"/>
                      <w:sz w:val="22"/>
                    </w:rPr>
                    <w:t>的批文</w:t>
                  </w:r>
                </w:p>
              </w:tc>
              <w:tc>
                <w:tcPr>
                  <w:tcW w:type="dxa" w:w="1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2"/>
                    </w:rPr>
                    <w:t>只办理农用地转用、不办理土地征收的农村集体建设用地</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2"/>
                    </w:rPr>
                    <w:t>0301</w:t>
                  </w:r>
                </w:p>
              </w:tc>
            </w:tr>
            <w:tr>
              <w:tc>
                <w:tcPr>
                  <w:tcW w:type="dxa" w:w="392"/>
                  <w:vMerge/>
                  <w:tcBorders>
                    <w:top w:val="none" w:color="000000" w:sz="4"/>
                    <w:left w:val="single" w:color="000000" w:sz="4"/>
                    <w:bottom w:val="none" w:color="000000" w:sz="4"/>
                    <w:right w:val="single" w:color="000000" w:sz="4"/>
                  </w:tcBorders>
                </w:tcPr>
                <w:p/>
              </w:tc>
              <w:tc>
                <w:tcPr>
                  <w:tcW w:type="dxa" w:w="1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2"/>
                    </w:rPr>
                    <w:t>只办理土地征收、不办理农用地转用的非建设用地</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2"/>
                    </w:rPr>
                    <w:t>0302</w:t>
                  </w:r>
                </w:p>
              </w:tc>
            </w:tr>
            <w:tr>
              <w:tc>
                <w:tcPr>
                  <w:tcW w:type="dxa" w:w="392"/>
                  <w:vMerge/>
                  <w:tcBorders>
                    <w:top w:val="none" w:color="000000" w:sz="4"/>
                    <w:left w:val="single" w:color="000000" w:sz="4"/>
                    <w:bottom w:val="none" w:color="000000" w:sz="4"/>
                    <w:right w:val="single" w:color="000000" w:sz="4"/>
                  </w:tcBorders>
                </w:tcPr>
                <w:p/>
              </w:tc>
              <w:tc>
                <w:tcPr>
                  <w:tcW w:type="dxa" w:w="1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2"/>
                    </w:rPr>
                    <w:t>规划留白用地，短期内不进行供应的</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2"/>
                    </w:rPr>
                    <w:t>0303</w:t>
                  </w:r>
                </w:p>
              </w:tc>
            </w:tr>
            <w:tr>
              <w:tc>
                <w:tcPr>
                  <w:tcW w:type="dxa" w:w="39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特殊情</w:t>
                  </w:r>
                  <w:r>
                    <w:rPr>
                      <w:rFonts w:ascii="仿宋_GB2312" w:hAnsi="仿宋_GB2312" w:cs="仿宋_GB2312" w:eastAsia="仿宋_GB2312"/>
                      <w:sz w:val="22"/>
                    </w:rPr>
                    <w:t>况应办但未办</w:t>
                  </w:r>
                  <w:r>
                    <w:rPr>
                      <w:rFonts w:ascii="仿宋_GB2312" w:hAnsi="仿宋_GB2312" w:cs="仿宋_GB2312" w:eastAsia="仿宋_GB2312"/>
                      <w:sz w:val="22"/>
                    </w:rPr>
                    <w:t>供应手</w:t>
                  </w:r>
                  <w:r>
                    <w:rPr>
                      <w:rFonts w:ascii="仿宋_GB2312" w:hAnsi="仿宋_GB2312" w:cs="仿宋_GB2312" w:eastAsia="仿宋_GB2312"/>
                      <w:sz w:val="22"/>
                    </w:rPr>
                    <w:t>续的批</w:t>
                  </w:r>
                  <w:r>
                    <w:rPr>
                      <w:rFonts w:ascii="仿宋_GB2312" w:hAnsi="仿宋_GB2312" w:cs="仿宋_GB2312" w:eastAsia="仿宋_GB2312"/>
                      <w:sz w:val="22"/>
                    </w:rPr>
                    <w:t>文</w:t>
                  </w:r>
                </w:p>
              </w:tc>
              <w:tc>
                <w:tcPr>
                  <w:tcW w:type="dxa" w:w="1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2"/>
                    </w:rPr>
                    <w:t>交通、能源、水利、特殊用地等单独选址建设项目</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2"/>
                    </w:rPr>
                    <w:t>0401</w:t>
                  </w:r>
                </w:p>
              </w:tc>
            </w:tr>
            <w:tr>
              <w:tc>
                <w:tcPr>
                  <w:tcW w:type="dxa" w:w="392"/>
                  <w:vMerge/>
                  <w:tcBorders>
                    <w:top w:val="none" w:color="000000" w:sz="4"/>
                    <w:left w:val="single" w:color="000000" w:sz="4"/>
                    <w:bottom w:val="none" w:color="000000" w:sz="4"/>
                    <w:right w:val="single" w:color="000000" w:sz="4"/>
                  </w:tcBorders>
                </w:tcPr>
                <w:p/>
              </w:tc>
              <w:tc>
                <w:tcPr>
                  <w:tcW w:type="dxa" w:w="1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2"/>
                    </w:rPr>
                    <w:t>符合国土空间规划，但存在未供即用、实际已</w:t>
                  </w:r>
                  <w:r>
                    <w:rPr>
                      <w:rFonts w:ascii="仿宋_GB2312" w:hAnsi="仿宋_GB2312" w:cs="仿宋_GB2312" w:eastAsia="仿宋_GB2312"/>
                      <w:sz w:val="22"/>
                    </w:rPr>
                    <w:t>建的项目</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2"/>
                    </w:rPr>
                    <w:t>0402</w:t>
                  </w:r>
                </w:p>
              </w:tc>
            </w:tr>
            <w:tr>
              <w:tc>
                <w:tcPr>
                  <w:tcW w:type="dxa" w:w="392"/>
                  <w:vMerge/>
                  <w:tcBorders>
                    <w:top w:val="none" w:color="000000" w:sz="4"/>
                    <w:left w:val="single" w:color="000000" w:sz="4"/>
                    <w:bottom w:val="none" w:color="000000" w:sz="4"/>
                    <w:right w:val="single" w:color="000000" w:sz="4"/>
                  </w:tcBorders>
                </w:tcPr>
                <w:p/>
              </w:tc>
              <w:tc>
                <w:tcPr>
                  <w:tcW w:type="dxa" w:w="1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2"/>
                    </w:rPr>
                    <w:t>代征市政道路、绿地以及不能单独利用的边角地、零星用地等</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2"/>
                    </w:rPr>
                    <w:t>0403</w:t>
                  </w:r>
                </w:p>
              </w:tc>
            </w:tr>
            <w:tr>
              <w:tc>
                <w:tcPr>
                  <w:tcW w:type="dxa" w:w="392"/>
                  <w:vMerge/>
                  <w:tcBorders>
                    <w:top w:val="none" w:color="000000" w:sz="4"/>
                    <w:left w:val="single" w:color="000000" w:sz="4"/>
                    <w:bottom w:val="none" w:color="000000" w:sz="4"/>
                    <w:right w:val="single" w:color="000000" w:sz="4"/>
                  </w:tcBorders>
                </w:tcPr>
                <w:p/>
              </w:tc>
              <w:tc>
                <w:tcPr>
                  <w:tcW w:type="dxa" w:w="1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2"/>
                    </w:rPr>
                    <w:t>因行政区划、权属等原因无法供应的</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2"/>
                    </w:rPr>
                    <w:t>0404</w:t>
                  </w:r>
                </w:p>
              </w:tc>
            </w:tr>
            <w:tr>
              <w:tc>
                <w:tcPr>
                  <w:tcW w:type="dxa" w:w="3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具备供</w:t>
                  </w:r>
                  <w:r>
                    <w:rPr>
                      <w:rFonts w:ascii="仿宋_GB2312" w:hAnsi="仿宋_GB2312" w:cs="仿宋_GB2312" w:eastAsia="仿宋_GB2312"/>
                      <w:sz w:val="22"/>
                    </w:rPr>
                    <w:t>应可能</w:t>
                  </w:r>
                  <w:r>
                    <w:rPr>
                      <w:rFonts w:ascii="仿宋_GB2312" w:hAnsi="仿宋_GB2312" w:cs="仿宋_GB2312" w:eastAsia="仿宋_GB2312"/>
                      <w:sz w:val="22"/>
                    </w:rPr>
                    <w:t>批文</w:t>
                  </w:r>
                </w:p>
              </w:tc>
              <w:tc>
                <w:tcPr>
                  <w:tcW w:type="dxa" w:w="18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2"/>
                    </w:rPr>
                    <w:t>可进行正常供地的批文范围</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2"/>
                    </w:rPr>
                    <w:t>0000</w:t>
                  </w:r>
                </w:p>
              </w:tc>
            </w:tr>
            <w:tr>
              <w:tc>
                <w:tcPr>
                  <w:tcW w:type="dxa" w:w="2543"/>
                  <w:gridSpan w:val="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975"/>
                  </w:pPr>
                  <w:r>
                    <w:rPr>
                      <w:rFonts w:ascii="仿宋_GB2312" w:hAnsi="仿宋_GB2312" w:cs="仿宋_GB2312" w:eastAsia="仿宋_GB2312"/>
                      <w:sz w:val="22"/>
                    </w:rPr>
                    <w:t>注：</w:t>
                  </w:r>
                  <w:r>
                    <w:rPr>
                      <w:rFonts w:ascii="仿宋_GB2312" w:hAnsi="仿宋_GB2312" w:cs="仿宋_GB2312" w:eastAsia="仿宋_GB2312"/>
                      <w:sz w:val="22"/>
                    </w:rPr>
                    <w:t>1.</w:t>
                  </w:r>
                  <w:r>
                    <w:rPr>
                      <w:rFonts w:ascii="仿宋_GB2312" w:hAnsi="仿宋_GB2312" w:cs="仿宋_GB2312" w:eastAsia="仿宋_GB2312"/>
                      <w:sz w:val="22"/>
                    </w:rPr>
                    <w:t>因不符合地方生态、安全等特殊管控要求，未建设且核实确认不再利用的， 可按类型</w:t>
                  </w:r>
                  <w:r>
                    <w:rPr>
                      <w:rFonts w:ascii="仿宋_GB2312" w:hAnsi="仿宋_GB2312" w:cs="仿宋_GB2312" w:eastAsia="仿宋_GB2312"/>
                      <w:sz w:val="22"/>
                    </w:rPr>
                    <w:t>“0203”</w:t>
                  </w:r>
                  <w:r>
                    <w:rPr>
                      <w:rFonts w:ascii="仿宋_GB2312" w:hAnsi="仿宋_GB2312" w:cs="仿宋_GB2312" w:eastAsia="仿宋_GB2312"/>
                      <w:sz w:val="22"/>
                    </w:rPr>
                    <w:t>认定，并提交佐证材料及相关依据文件。如：位于生态管控区、大运河核心监控区、各类自然保护地等范围。</w:t>
                  </w:r>
                </w:p>
                <w:p>
                  <w:pPr>
                    <w:pStyle w:val="null3"/>
                    <w:ind w:left="1035"/>
                  </w:pPr>
                  <w:r>
                    <w:rPr>
                      <w:rFonts w:ascii="仿宋_GB2312" w:hAnsi="仿宋_GB2312" w:cs="仿宋_GB2312" w:eastAsia="仿宋_GB2312"/>
                      <w:sz w:val="22"/>
                    </w:rPr>
                    <w:t>2.2023</w:t>
                  </w:r>
                  <w:r>
                    <w:rPr>
                      <w:rFonts w:ascii="仿宋_GB2312" w:hAnsi="仿宋_GB2312" w:cs="仿宋_GB2312" w:eastAsia="仿宋_GB2312"/>
                      <w:sz w:val="22"/>
                    </w:rPr>
                    <w:t>年</w:t>
                  </w:r>
                  <w:r>
                    <w:rPr>
                      <w:rFonts w:ascii="仿宋_GB2312" w:hAnsi="仿宋_GB2312" w:cs="仿宋_GB2312" w:eastAsia="仿宋_GB2312"/>
                      <w:sz w:val="22"/>
                    </w:rPr>
                    <w:t>8</w:t>
                  </w:r>
                  <w:r>
                    <w:rPr>
                      <w:rFonts w:ascii="仿宋_GB2312" w:hAnsi="仿宋_GB2312" w:cs="仿宋_GB2312" w:eastAsia="仿宋_GB2312"/>
                      <w:sz w:val="22"/>
                    </w:rPr>
                    <w:t>月前，按建设用地办理报批手续的水利水电工程项目的水库</w:t>
                  </w:r>
                  <w:r>
                    <w:rPr>
                      <w:rFonts w:ascii="仿宋_GB2312" w:hAnsi="仿宋_GB2312" w:cs="仿宋_GB2312" w:eastAsia="仿宋_GB2312"/>
                      <w:sz w:val="22"/>
                    </w:rPr>
                    <w:t>（</w:t>
                  </w:r>
                  <w:r>
                    <w:rPr>
                      <w:rFonts w:ascii="仿宋_GB2312" w:hAnsi="仿宋_GB2312" w:cs="仿宋_GB2312" w:eastAsia="仿宋_GB2312"/>
                      <w:sz w:val="22"/>
                    </w:rPr>
                    <w:t>河流</w:t>
                  </w:r>
                  <w:r>
                    <w:rPr>
                      <w:rFonts w:ascii="仿宋_GB2312" w:hAnsi="仿宋_GB2312" w:cs="仿宋_GB2312" w:eastAsia="仿宋_GB2312"/>
                      <w:sz w:val="22"/>
                    </w:rPr>
                    <w:t>）</w:t>
                  </w:r>
                  <w:r>
                    <w:rPr>
                      <w:rFonts w:ascii="仿宋_GB2312" w:hAnsi="仿宋_GB2312" w:cs="仿宋_GB2312" w:eastAsia="仿宋_GB2312"/>
                      <w:sz w:val="22"/>
                    </w:rPr>
                    <w:t>水面等淹没区用地，未办理供地手续的，可按类型</w:t>
                  </w:r>
                  <w:r>
                    <w:rPr>
                      <w:rFonts w:ascii="仿宋_GB2312" w:hAnsi="仿宋_GB2312" w:cs="仿宋_GB2312" w:eastAsia="仿宋_GB2312"/>
                      <w:sz w:val="22"/>
                    </w:rPr>
                    <w:t>“0401”</w:t>
                  </w:r>
                  <w:r>
                    <w:rPr>
                      <w:rFonts w:ascii="仿宋_GB2312" w:hAnsi="仿宋_GB2312" w:cs="仿宋_GB2312" w:eastAsia="仿宋_GB2312"/>
                      <w:sz w:val="22"/>
                    </w:rPr>
                    <w:t>认定。</w:t>
                  </w:r>
                </w:p>
              </w:tc>
            </w:tr>
          </w:tbl>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三</w:t>
            </w:r>
            <w:r>
              <w:rPr>
                <w:rFonts w:ascii="仿宋_GB2312" w:hAnsi="仿宋_GB2312" w:cs="仿宋_GB2312" w:eastAsia="仿宋_GB2312"/>
                <w:sz w:val="22"/>
              </w:rPr>
              <w:t>）</w:t>
            </w:r>
            <w:r>
              <w:rPr>
                <w:rFonts w:ascii="仿宋_GB2312" w:hAnsi="仿宋_GB2312" w:cs="仿宋_GB2312" w:eastAsia="仿宋_GB2312"/>
                <w:sz w:val="22"/>
              </w:rPr>
              <w:t>分类清理数据</w:t>
            </w:r>
            <w:r>
              <w:rPr>
                <w:rFonts w:ascii="仿宋_GB2312" w:hAnsi="仿宋_GB2312" w:cs="仿宋_GB2312" w:eastAsia="仿宋_GB2312"/>
                <w:sz w:val="22"/>
              </w:rPr>
              <w:t>要求</w:t>
            </w:r>
          </w:p>
          <w:p>
            <w:pPr>
              <w:pStyle w:val="null3"/>
              <w:numPr>
                <w:ilvl w:val="0"/>
                <w:numId w:val="1"/>
              </w:numPr>
              <w:jc w:val="both"/>
            </w:pPr>
            <w:r>
              <w:rPr>
                <w:rFonts w:ascii="仿宋_GB2312" w:hAnsi="仿宋_GB2312" w:cs="仿宋_GB2312" w:eastAsia="仿宋_GB2312"/>
                <w:sz w:val="22"/>
              </w:rPr>
              <w:t>清单数据要求</w:t>
            </w:r>
          </w:p>
          <w:p>
            <w:pPr>
              <w:pStyle w:val="null3"/>
              <w:ind w:firstLine="440"/>
              <w:jc w:val="both"/>
            </w:pPr>
            <w:r>
              <w:rPr>
                <w:rFonts w:ascii="仿宋_GB2312" w:hAnsi="仿宋_GB2312" w:cs="仿宋_GB2312" w:eastAsia="仿宋_GB2312"/>
                <w:sz w:val="22"/>
              </w:rPr>
              <w:t>不具备供应可能的批文按照不同清理认定类型（表</w:t>
            </w:r>
            <w:r>
              <w:rPr>
                <w:rFonts w:ascii="仿宋_GB2312" w:hAnsi="仿宋_GB2312" w:cs="仿宋_GB2312" w:eastAsia="仿宋_GB2312"/>
                <w:sz w:val="22"/>
              </w:rPr>
              <w:t>1</w:t>
            </w:r>
            <w:r>
              <w:rPr>
                <w:rFonts w:ascii="仿宋_GB2312" w:hAnsi="仿宋_GB2312" w:cs="仿宋_GB2312" w:eastAsia="仿宋_GB2312"/>
                <w:sz w:val="22"/>
              </w:rPr>
              <w:t>），形成表格清单，清单结构及数据要求见表</w:t>
            </w:r>
            <w:r>
              <w:rPr>
                <w:rFonts w:ascii="仿宋_GB2312" w:hAnsi="仿宋_GB2312" w:cs="仿宋_GB2312" w:eastAsia="仿宋_GB2312"/>
                <w:sz w:val="22"/>
              </w:rPr>
              <w:t>2-5</w:t>
            </w:r>
            <w:r>
              <w:rPr>
                <w:rFonts w:ascii="仿宋_GB2312" w:hAnsi="仿宋_GB2312" w:cs="仿宋_GB2312" w:eastAsia="仿宋_GB2312"/>
                <w:sz w:val="22"/>
              </w:rPr>
              <w:t>。</w:t>
            </w:r>
          </w:p>
          <w:p>
            <w:pPr>
              <w:pStyle w:val="null3"/>
              <w:jc w:val="center"/>
            </w:pPr>
            <w:r>
              <w:rPr>
                <w:rFonts w:ascii="仿宋_GB2312" w:hAnsi="仿宋_GB2312" w:cs="仿宋_GB2312" w:eastAsia="仿宋_GB2312"/>
                <w:sz w:val="22"/>
                <w:b/>
              </w:rPr>
              <w:t>表</w:t>
            </w:r>
            <w:r>
              <w:rPr>
                <w:rFonts w:ascii="仿宋_GB2312" w:hAnsi="仿宋_GB2312" w:cs="仿宋_GB2312" w:eastAsia="仿宋_GB2312"/>
                <w:sz w:val="22"/>
                <w:b/>
              </w:rPr>
              <w:t xml:space="preserve">2  </w:t>
            </w:r>
            <w:r>
              <w:rPr>
                <w:rFonts w:ascii="仿宋_GB2312" w:hAnsi="仿宋_GB2312" w:cs="仿宋_GB2312" w:eastAsia="仿宋_GB2312"/>
                <w:sz w:val="22"/>
                <w:b/>
              </w:rPr>
              <w:t>重复统计和错误备案的批文清单</w:t>
            </w:r>
          </w:p>
          <w:tbl>
            <w:tblPr>
              <w:tblBorders>
                <w:top w:val="none" w:color="000000" w:sz="4"/>
                <w:left w:val="none" w:color="000000" w:sz="4"/>
                <w:bottom w:val="none" w:color="000000" w:sz="4"/>
                <w:right w:val="none" w:color="000000" w:sz="4"/>
                <w:insideH w:val="none"/>
                <w:insideV w:val="none"/>
              </w:tblBorders>
            </w:tblPr>
            <w:tblGrid>
              <w:gridCol w:w="193"/>
              <w:gridCol w:w="338"/>
              <w:gridCol w:w="341"/>
              <w:gridCol w:w="403"/>
              <w:gridCol w:w="372"/>
              <w:gridCol w:w="372"/>
              <w:gridCol w:w="311"/>
              <w:gridCol w:w="223"/>
            </w:tblGrid>
            <w:tr>
              <w:tc>
                <w:tcPr>
                  <w:tcW w:type="dxa" w:w="193"/>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序号</w:t>
                  </w:r>
                </w:p>
              </w:tc>
              <w:tc>
                <w:tcPr>
                  <w:tcW w:type="dxa" w:w="3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原批文信息</w:t>
                  </w:r>
                </w:p>
              </w:tc>
              <w:tc>
                <w:tcPr>
                  <w:tcW w:type="dxa" w:w="3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分类清理认定</w:t>
                  </w:r>
                  <w:r>
                    <w:rPr>
                      <w:rFonts w:ascii="仿宋_GB2312" w:hAnsi="仿宋_GB2312" w:cs="仿宋_GB2312" w:eastAsia="仿宋_GB2312"/>
                      <w:sz w:val="22"/>
                      <w:b/>
                    </w:rPr>
                    <w:t>类型</w:t>
                  </w:r>
                </w:p>
              </w:tc>
              <w:tc>
                <w:tcPr>
                  <w:tcW w:type="dxa" w:w="4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不具备供应可能</w:t>
                  </w:r>
                  <w:r>
                    <w:rPr>
                      <w:rFonts w:ascii="仿宋_GB2312" w:hAnsi="仿宋_GB2312" w:cs="仿宋_GB2312" w:eastAsia="仿宋_GB2312"/>
                      <w:sz w:val="22"/>
                      <w:b/>
                    </w:rPr>
                    <w:t>的面积</w:t>
                  </w:r>
                </w:p>
              </w:tc>
              <w:tc>
                <w:tcPr>
                  <w:tcW w:type="dxa" w:w="3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对应批文唯</w:t>
                  </w:r>
                </w:p>
                <w:p>
                  <w:pPr>
                    <w:pStyle w:val="null3"/>
                    <w:jc w:val="center"/>
                  </w:pPr>
                  <w:r>
                    <w:rPr>
                      <w:rFonts w:ascii="仿宋_GB2312" w:hAnsi="仿宋_GB2312" w:cs="仿宋_GB2312" w:eastAsia="仿宋_GB2312"/>
                      <w:sz w:val="22"/>
                      <w:b/>
                    </w:rPr>
                    <w:t>一码</w:t>
                  </w:r>
                  <w:r>
                    <w:rPr>
                      <w:rFonts w:ascii="仿宋_GB2312" w:hAnsi="仿宋_GB2312" w:cs="仿宋_GB2312" w:eastAsia="仿宋_GB2312"/>
                      <w:sz w:val="22"/>
                      <w:b/>
                    </w:rPr>
                    <w:t>ID</w:t>
                  </w:r>
                </w:p>
              </w:tc>
              <w:tc>
                <w:tcPr>
                  <w:tcW w:type="dxa" w:w="3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对应批文唯</w:t>
                  </w:r>
                </w:p>
                <w:p>
                  <w:pPr>
                    <w:pStyle w:val="null3"/>
                    <w:jc w:val="center"/>
                  </w:pPr>
                  <w:r>
                    <w:rPr>
                      <w:rFonts w:ascii="仿宋_GB2312" w:hAnsi="仿宋_GB2312" w:cs="仿宋_GB2312" w:eastAsia="仿宋_GB2312"/>
                      <w:sz w:val="22"/>
                      <w:b/>
                    </w:rPr>
                    <w:t>一码</w:t>
                  </w:r>
                  <w:r>
                    <w:rPr>
                      <w:rFonts w:ascii="仿宋_GB2312" w:hAnsi="仿宋_GB2312" w:cs="仿宋_GB2312" w:eastAsia="仿宋_GB2312"/>
                      <w:sz w:val="22"/>
                      <w:b/>
                    </w:rPr>
                    <w:t>SEC</w:t>
                  </w:r>
                </w:p>
              </w:tc>
              <w:tc>
                <w:tcPr>
                  <w:tcW w:type="dxa" w:w="3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需要说明的</w:t>
                  </w:r>
                  <w:r>
                    <w:rPr>
                      <w:rFonts w:ascii="仿宋_GB2312" w:hAnsi="仿宋_GB2312" w:cs="仿宋_GB2312" w:eastAsia="仿宋_GB2312"/>
                      <w:sz w:val="22"/>
                      <w:b/>
                    </w:rPr>
                    <w:t>情况</w:t>
                  </w:r>
                </w:p>
              </w:tc>
              <w:tc>
                <w:tcPr>
                  <w:tcW w:type="dxa" w:w="2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备注</w:t>
                  </w:r>
                </w:p>
              </w:tc>
            </w:tr>
            <w:tr>
              <w:tc>
                <w:tcPr>
                  <w:tcW w:type="dxa" w:w="193"/>
                  <w:vMerge/>
                  <w:tcBorders>
                    <w:top w:val="single" w:color="000000" w:sz="4"/>
                    <w:left w:val="single" w:color="000000" w:sz="4"/>
                    <w:bottom w:val="none" w:color="000000" w:sz="4"/>
                    <w:right w:val="single" w:color="000000" w:sz="4"/>
                  </w:tcBorders>
                </w:tcP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引用下发批文内容</w:t>
                  </w: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非必填</w:t>
                  </w: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非必填</w:t>
                  </w:r>
                </w:p>
              </w:tc>
            </w:tr>
            <w:tr>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3</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4</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5</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p>
              </w:tc>
              <w:tc>
                <w:tcPr>
                  <w:tcW w:type="dxa" w:w="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gridSpan w:val="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注：</w:t>
                  </w:r>
                  <w:r>
                    <w:rPr>
                      <w:rFonts w:ascii="仿宋_GB2312" w:hAnsi="仿宋_GB2312" w:cs="仿宋_GB2312" w:eastAsia="仿宋_GB2312"/>
                      <w:sz w:val="22"/>
                    </w:rPr>
                    <w:t>1.</w:t>
                  </w:r>
                  <w:r>
                    <w:rPr>
                      <w:rFonts w:ascii="仿宋_GB2312" w:hAnsi="仿宋_GB2312" w:cs="仿宋_GB2312" w:eastAsia="仿宋_GB2312"/>
                      <w:sz w:val="22"/>
                    </w:rPr>
                    <w:t>单选压占批次的用地范围类型可包括单选压单选、批次压批次、批次压单选等情形。</w:t>
                  </w:r>
                </w:p>
                <w:p>
                  <w:pPr>
                    <w:pStyle w:val="null3"/>
                    <w:ind w:left="885"/>
                    <w:jc w:val="both"/>
                  </w:pPr>
                  <w:r>
                    <w:rPr>
                      <w:rFonts w:ascii="仿宋_GB2312" w:hAnsi="仿宋_GB2312" w:cs="仿宋_GB2312" w:eastAsia="仿宋_GB2312"/>
                      <w:sz w:val="22"/>
                    </w:rPr>
                    <w:t xml:space="preserve"> </w:t>
                  </w:r>
                  <w:r>
                    <w:rPr>
                      <w:rFonts w:ascii="仿宋_GB2312" w:hAnsi="仿宋_GB2312" w:cs="仿宋_GB2312" w:eastAsia="仿宋_GB2312"/>
                      <w:sz w:val="22"/>
                    </w:rPr>
                    <w:t xml:space="preserve">2. </w:t>
                  </w:r>
                  <w:r>
                    <w:rPr>
                      <w:rFonts w:ascii="仿宋_GB2312" w:hAnsi="仿宋_GB2312" w:cs="仿宋_GB2312" w:eastAsia="仿宋_GB2312"/>
                      <w:sz w:val="22"/>
                    </w:rPr>
                    <w:t>对清理认定类型</w:t>
                  </w:r>
                  <w:r>
                    <w:rPr>
                      <w:rFonts w:ascii="仿宋_GB2312" w:hAnsi="仿宋_GB2312" w:cs="仿宋_GB2312" w:eastAsia="仿宋_GB2312"/>
                      <w:sz w:val="22"/>
                    </w:rPr>
                    <w:t>“0102”,</w:t>
                  </w:r>
                  <w:r>
                    <w:rPr>
                      <w:rFonts w:ascii="仿宋_GB2312" w:hAnsi="仿宋_GB2312" w:cs="仿宋_GB2312" w:eastAsia="仿宋_GB2312"/>
                      <w:sz w:val="22"/>
                    </w:rPr>
                    <w:t>增减挂钩、工矿废弃地复垦利用对应批文唯一码</w:t>
                  </w:r>
                  <w:r>
                    <w:rPr>
                      <w:rFonts w:ascii="仿宋_GB2312" w:hAnsi="仿宋_GB2312" w:cs="仿宋_GB2312" w:eastAsia="仿宋_GB2312"/>
                      <w:sz w:val="22"/>
                    </w:rPr>
                    <w:t xml:space="preserve"> </w:t>
                  </w:r>
                  <w:r>
                    <w:rPr>
                      <w:rFonts w:ascii="仿宋_GB2312" w:hAnsi="仿宋_GB2312" w:cs="仿宋_GB2312" w:eastAsia="仿宋_GB2312"/>
                      <w:sz w:val="22"/>
                    </w:rPr>
                    <w:t>ID</w:t>
                  </w:r>
                  <w:r>
                    <w:rPr>
                      <w:rFonts w:ascii="仿宋_GB2312" w:hAnsi="仿宋_GB2312" w:cs="仿宋_GB2312" w:eastAsia="仿宋_GB2312"/>
                      <w:sz w:val="22"/>
                    </w:rPr>
                    <w:t xml:space="preserve"> </w:t>
                  </w:r>
                  <w:r>
                    <w:rPr>
                      <w:rFonts w:ascii="仿宋_GB2312" w:hAnsi="仿宋_GB2312" w:cs="仿宋_GB2312" w:eastAsia="仿宋_GB2312"/>
                      <w:sz w:val="22"/>
                    </w:rPr>
                    <w:t>分别引用部下发的增减挂钩、工矿废弃地复垦利用项目清单中的</w:t>
                  </w:r>
                  <w:r>
                    <w:rPr>
                      <w:rFonts w:ascii="仿宋_GB2312" w:hAnsi="仿宋_GB2312" w:cs="仿宋_GB2312" w:eastAsia="仿宋_GB2312"/>
                      <w:sz w:val="22"/>
                    </w:rPr>
                    <w:t>“</w:t>
                  </w:r>
                  <w:r>
                    <w:rPr>
                      <w:rFonts w:ascii="仿宋_GB2312" w:hAnsi="仿宋_GB2312" w:cs="仿宋_GB2312" w:eastAsia="仿宋_GB2312"/>
                      <w:sz w:val="22"/>
                    </w:rPr>
                    <w:t>项目区编号</w:t>
                  </w:r>
                  <w:r>
                    <w:rPr>
                      <w:rFonts w:ascii="仿宋_GB2312" w:hAnsi="仿宋_GB2312" w:cs="仿宋_GB2312" w:eastAsia="仿宋_GB2312"/>
                      <w:sz w:val="22"/>
                    </w:rPr>
                    <w:t>(</w:t>
                  </w:r>
                  <w:r>
                    <w:rPr>
                      <w:rFonts w:ascii="仿宋_GB2312" w:hAnsi="仿宋_GB2312" w:cs="仿宋_GB2312" w:eastAsia="仿宋_GB2312"/>
                      <w:sz w:val="22"/>
                    </w:rPr>
                    <w:t>电子监管号</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建新项目编号</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对应批文唯一码</w:t>
                  </w:r>
                  <w:r>
                    <w:rPr>
                      <w:rFonts w:ascii="仿宋_GB2312" w:hAnsi="仿宋_GB2312" w:cs="仿宋_GB2312" w:eastAsia="仿宋_GB2312"/>
                      <w:sz w:val="22"/>
                    </w:rPr>
                    <w:t>SEC</w:t>
                  </w:r>
                  <w:r>
                    <w:rPr>
                      <w:rFonts w:ascii="仿宋_GB2312" w:hAnsi="仿宋_GB2312" w:cs="仿宋_GB2312" w:eastAsia="仿宋_GB2312"/>
                      <w:sz w:val="22"/>
                    </w:rPr>
                    <w:t>可不填写。对于一个批文涉及多个增减挂钩、工矿废弃地复垦利用项目的，对应唯一码用</w:t>
                  </w:r>
                  <w:r>
                    <w:rPr>
                      <w:rFonts w:ascii="仿宋_GB2312" w:hAnsi="仿宋_GB2312" w:cs="仿宋_GB2312" w:eastAsia="仿宋_GB2312"/>
                      <w:sz w:val="22"/>
                    </w:rPr>
                    <w:t>“,”</w:t>
                  </w:r>
                  <w:r>
                    <w:rPr>
                      <w:rFonts w:ascii="仿宋_GB2312" w:hAnsi="仿宋_GB2312" w:cs="仿宋_GB2312" w:eastAsia="仿宋_GB2312"/>
                      <w:sz w:val="22"/>
                    </w:rPr>
                    <w:t>号分开。</w:t>
                  </w:r>
                </w:p>
              </w:tc>
            </w:tr>
          </w:tbl>
          <w:p>
            <w:pPr>
              <w:pStyle w:val="null3"/>
              <w:jc w:val="center"/>
            </w:pPr>
            <w:r>
              <w:rPr>
                <w:rFonts w:ascii="仿宋_GB2312" w:hAnsi="仿宋_GB2312" w:cs="仿宋_GB2312" w:eastAsia="仿宋_GB2312"/>
                <w:sz w:val="22"/>
                <w:b/>
              </w:rPr>
              <w:t>表</w:t>
            </w:r>
            <w:r>
              <w:rPr>
                <w:rFonts w:ascii="仿宋_GB2312" w:hAnsi="仿宋_GB2312" w:cs="仿宋_GB2312" w:eastAsia="仿宋_GB2312"/>
                <w:sz w:val="22"/>
                <w:b/>
              </w:rPr>
              <w:t xml:space="preserve">3  </w:t>
            </w:r>
            <w:r>
              <w:rPr>
                <w:rFonts w:ascii="仿宋_GB2312" w:hAnsi="仿宋_GB2312" w:cs="仿宋_GB2312" w:eastAsia="仿宋_GB2312"/>
                <w:sz w:val="22"/>
                <w:b/>
              </w:rPr>
              <w:t>不具备供应可能的批文清单</w:t>
            </w:r>
          </w:p>
          <w:tbl>
            <w:tblPr>
              <w:tblInd w:type="dxa" w:w="105"/>
              <w:tblBorders>
                <w:top w:val="none" w:color="000000" w:sz="4"/>
                <w:left w:val="none" w:color="000000" w:sz="4"/>
                <w:bottom w:val="none" w:color="000000" w:sz="4"/>
                <w:right w:val="none" w:color="000000" w:sz="4"/>
                <w:insideH w:val="none"/>
                <w:insideV w:val="none"/>
              </w:tblBorders>
            </w:tblPr>
            <w:tblGrid>
              <w:gridCol w:w="173"/>
              <w:gridCol w:w="340"/>
              <w:gridCol w:w="290"/>
              <w:gridCol w:w="345"/>
              <w:gridCol w:w="246"/>
              <w:gridCol w:w="315"/>
              <w:gridCol w:w="315"/>
              <w:gridCol w:w="316"/>
              <w:gridCol w:w="212"/>
            </w:tblGrid>
            <w:tr>
              <w:tc>
                <w:tcPr>
                  <w:tcW w:type="dxa" w:w="173"/>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序号</w:t>
                  </w:r>
                </w:p>
              </w:tc>
              <w:tc>
                <w:tcPr>
                  <w:tcW w:type="dxa" w:w="3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原批文信息</w:t>
                  </w:r>
                </w:p>
              </w:tc>
              <w:tc>
                <w:tcPr>
                  <w:tcW w:type="dxa" w:w="2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分类清理认定</w:t>
                  </w:r>
                  <w:r>
                    <w:rPr>
                      <w:rFonts w:ascii="仿宋_GB2312" w:hAnsi="仿宋_GB2312" w:cs="仿宋_GB2312" w:eastAsia="仿宋_GB2312"/>
                      <w:sz w:val="22"/>
                      <w:b/>
                    </w:rPr>
                    <w:t>类型</w:t>
                  </w:r>
                </w:p>
              </w:tc>
              <w:tc>
                <w:tcPr>
                  <w:tcW w:type="dxa" w:w="3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不具备供应可能</w:t>
                  </w:r>
                  <w:r>
                    <w:rPr>
                      <w:rFonts w:ascii="仿宋_GB2312" w:hAnsi="仿宋_GB2312" w:cs="仿宋_GB2312" w:eastAsia="仿宋_GB2312"/>
                      <w:sz w:val="22"/>
                      <w:b/>
                    </w:rPr>
                    <w:t>的面积</w:t>
                  </w:r>
                </w:p>
              </w:tc>
              <w:tc>
                <w:tcPr>
                  <w:tcW w:type="dxa" w:w="2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具体情形</w:t>
                  </w:r>
                </w:p>
                <w:p>
                  <w:pPr>
                    <w:pStyle w:val="null3"/>
                    <w:jc w:val="center"/>
                  </w:pPr>
                  <w:r>
                    <w:rPr>
                      <w:rFonts w:ascii="仿宋_GB2312" w:hAnsi="仿宋_GB2312" w:cs="仿宋_GB2312" w:eastAsia="仿宋_GB2312"/>
                      <w:sz w:val="22"/>
                      <w:b/>
                    </w:rPr>
                    <w:t>描述</w:t>
                  </w:r>
                </w:p>
              </w:tc>
              <w:tc>
                <w:tcPr>
                  <w:tcW w:type="dxa" w:w="3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压占永久</w:t>
                  </w:r>
                </w:p>
                <w:p>
                  <w:pPr>
                    <w:pStyle w:val="null3"/>
                    <w:jc w:val="center"/>
                  </w:pPr>
                  <w:r>
                    <w:rPr>
                      <w:rFonts w:ascii="仿宋_GB2312" w:hAnsi="仿宋_GB2312" w:cs="仿宋_GB2312" w:eastAsia="仿宋_GB2312"/>
                      <w:sz w:val="22"/>
                      <w:b/>
                    </w:rPr>
                    <w:t>基本农田</w:t>
                  </w:r>
                </w:p>
                <w:p>
                  <w:pPr>
                    <w:pStyle w:val="null3"/>
                    <w:jc w:val="center"/>
                  </w:pPr>
                  <w:r>
                    <w:rPr>
                      <w:rFonts w:ascii="仿宋_GB2312" w:hAnsi="仿宋_GB2312" w:cs="仿宋_GB2312" w:eastAsia="仿宋_GB2312"/>
                      <w:sz w:val="22"/>
                      <w:b/>
                    </w:rPr>
                    <w:t>面积</w:t>
                  </w:r>
                </w:p>
              </w:tc>
              <w:tc>
                <w:tcPr>
                  <w:tcW w:type="dxa" w:w="3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压占生态</w:t>
                  </w:r>
                </w:p>
                <w:p>
                  <w:pPr>
                    <w:pStyle w:val="null3"/>
                    <w:jc w:val="center"/>
                  </w:pPr>
                  <w:r>
                    <w:rPr>
                      <w:rFonts w:ascii="仿宋_GB2312" w:hAnsi="仿宋_GB2312" w:cs="仿宋_GB2312" w:eastAsia="仿宋_GB2312"/>
                      <w:sz w:val="22"/>
                      <w:b/>
                    </w:rPr>
                    <w:t>保护红线</w:t>
                  </w:r>
                </w:p>
                <w:p>
                  <w:pPr>
                    <w:pStyle w:val="null3"/>
                    <w:jc w:val="center"/>
                  </w:pPr>
                  <w:r>
                    <w:rPr>
                      <w:rFonts w:ascii="仿宋_GB2312" w:hAnsi="仿宋_GB2312" w:cs="仿宋_GB2312" w:eastAsia="仿宋_GB2312"/>
                      <w:sz w:val="22"/>
                      <w:b/>
                    </w:rPr>
                    <w:t>面积</w:t>
                  </w:r>
                </w:p>
              </w:tc>
              <w:tc>
                <w:tcPr>
                  <w:tcW w:type="dxa" w:w="3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位于城镇开</w:t>
                  </w:r>
                  <w:r>
                    <w:rPr>
                      <w:rFonts w:ascii="仿宋_GB2312" w:hAnsi="仿宋_GB2312" w:cs="仿宋_GB2312" w:eastAsia="仿宋_GB2312"/>
                      <w:sz w:val="22"/>
                      <w:b/>
                    </w:rPr>
                    <w:t>发边界外</w:t>
                  </w:r>
                </w:p>
                <w:p>
                  <w:pPr>
                    <w:pStyle w:val="null3"/>
                    <w:jc w:val="center"/>
                  </w:pPr>
                  <w:r>
                    <w:rPr>
                      <w:rFonts w:ascii="仿宋_GB2312" w:hAnsi="仿宋_GB2312" w:cs="仿宋_GB2312" w:eastAsia="仿宋_GB2312"/>
                      <w:sz w:val="22"/>
                      <w:b/>
                    </w:rPr>
                    <w:t>面积</w:t>
                  </w:r>
                </w:p>
              </w:tc>
              <w:tc>
                <w:tcPr>
                  <w:tcW w:type="dxa" w:w="2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备注</w:t>
                  </w:r>
                </w:p>
              </w:tc>
            </w:tr>
            <w:tr>
              <w:tc>
                <w:tcPr>
                  <w:tcW w:type="dxa" w:w="173"/>
                  <w:vMerge/>
                  <w:tcBorders>
                    <w:top w:val="single" w:color="000000" w:sz="4"/>
                    <w:left w:val="single" w:color="000000" w:sz="4"/>
                    <w:bottom w:val="none" w:color="000000" w:sz="4"/>
                    <w:right w:val="single" w:color="000000" w:sz="4"/>
                  </w:tcBorders>
                </w:tcPr>
                <w:p/>
              </w:tc>
              <w:tc>
                <w:tcPr>
                  <w:tcW w:type="dxa" w:w="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引用下发批文内容</w:t>
                  </w:r>
                </w:p>
              </w:tc>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非必填</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3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非必填</w:t>
                  </w: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3</w:t>
                  </w:r>
                </w:p>
              </w:tc>
              <w:tc>
                <w:tcPr>
                  <w:tcW w:type="dxa" w:w="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4</w:t>
                  </w:r>
                </w:p>
              </w:tc>
              <w:tc>
                <w:tcPr>
                  <w:tcW w:type="dxa" w:w="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5</w:t>
                  </w:r>
                </w:p>
              </w:tc>
              <w:tc>
                <w:tcPr>
                  <w:tcW w:type="dxa" w:w="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p>
              </w:tc>
              <w:tc>
                <w:tcPr>
                  <w:tcW w:type="dxa" w:w="3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rFonts w:ascii="仿宋_GB2312" w:hAnsi="仿宋_GB2312" w:cs="仿宋_GB2312" w:eastAsia="仿宋_GB2312"/>
                <w:sz w:val="22"/>
                <w:b/>
              </w:rPr>
              <w:t>表</w:t>
            </w:r>
            <w:r>
              <w:rPr>
                <w:rFonts w:ascii="仿宋_GB2312" w:hAnsi="仿宋_GB2312" w:cs="仿宋_GB2312" w:eastAsia="仿宋_GB2312"/>
                <w:sz w:val="22"/>
                <w:b/>
              </w:rPr>
              <w:t xml:space="preserve">4  </w:t>
            </w:r>
            <w:r>
              <w:rPr>
                <w:rFonts w:ascii="仿宋_GB2312" w:hAnsi="仿宋_GB2312" w:cs="仿宋_GB2312" w:eastAsia="仿宋_GB2312"/>
                <w:sz w:val="22"/>
                <w:b/>
              </w:rPr>
              <w:t>特殊情况应办但未办供应手续的批文清单</w:t>
            </w:r>
          </w:p>
          <w:tbl>
            <w:tblPr>
              <w:tblInd w:type="dxa" w:w="105"/>
              <w:tblBorders>
                <w:top w:val="none" w:color="000000" w:sz="4"/>
                <w:left w:val="none" w:color="000000" w:sz="4"/>
                <w:bottom w:val="none" w:color="000000" w:sz="4"/>
                <w:right w:val="none" w:color="000000" w:sz="4"/>
                <w:insideH w:val="none"/>
                <w:insideV w:val="none"/>
              </w:tblBorders>
            </w:tblPr>
            <w:tblGrid>
              <w:gridCol w:w="139"/>
              <w:gridCol w:w="208"/>
              <w:gridCol w:w="254"/>
              <w:gridCol w:w="259"/>
              <w:gridCol w:w="348"/>
              <w:gridCol w:w="193"/>
              <w:gridCol w:w="206"/>
              <w:gridCol w:w="251"/>
              <w:gridCol w:w="251"/>
              <w:gridCol w:w="255"/>
              <w:gridCol w:w="188"/>
            </w:tblGrid>
            <w:tr>
              <w:tc>
                <w:tcPr>
                  <w:tcW w:type="dxa" w:w="139"/>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序号</w:t>
                  </w:r>
                </w:p>
              </w:tc>
              <w:tc>
                <w:tcPr>
                  <w:tcW w:type="dxa" w:w="208"/>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原批文信</w:t>
                  </w:r>
                  <w:r>
                    <w:rPr>
                      <w:rFonts w:ascii="仿宋_GB2312" w:hAnsi="仿宋_GB2312" w:cs="仿宋_GB2312" w:eastAsia="仿宋_GB2312"/>
                      <w:sz w:val="22"/>
                      <w:b/>
                    </w:rPr>
                    <w:t>息</w:t>
                  </w:r>
                </w:p>
              </w:tc>
              <w:tc>
                <w:tcPr>
                  <w:tcW w:type="dxa" w:w="254"/>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分类清理认</w:t>
                  </w:r>
                  <w:r>
                    <w:rPr>
                      <w:rFonts w:ascii="仿宋_GB2312" w:hAnsi="仿宋_GB2312" w:cs="仿宋_GB2312" w:eastAsia="仿宋_GB2312"/>
                      <w:sz w:val="22"/>
                      <w:b/>
                    </w:rPr>
                    <w:t>定类型</w:t>
                  </w:r>
                </w:p>
              </w:tc>
              <w:tc>
                <w:tcPr>
                  <w:tcW w:type="dxa" w:w="259"/>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不具备供</w:t>
                  </w:r>
                </w:p>
                <w:p>
                  <w:pPr>
                    <w:pStyle w:val="null3"/>
                    <w:jc w:val="center"/>
                  </w:pPr>
                  <w:r>
                    <w:rPr>
                      <w:rFonts w:ascii="仿宋_GB2312" w:hAnsi="仿宋_GB2312" w:cs="仿宋_GB2312" w:eastAsia="仿宋_GB2312"/>
                      <w:sz w:val="22"/>
                      <w:b/>
                    </w:rPr>
                    <w:t>应可能的</w:t>
                  </w:r>
                </w:p>
                <w:p>
                  <w:pPr>
                    <w:pStyle w:val="null3"/>
                    <w:jc w:val="center"/>
                  </w:pPr>
                  <w:r>
                    <w:rPr>
                      <w:rFonts w:ascii="仿宋_GB2312" w:hAnsi="仿宋_GB2312" w:cs="仿宋_GB2312" w:eastAsia="仿宋_GB2312"/>
                      <w:sz w:val="22"/>
                      <w:b/>
                    </w:rPr>
                    <w:t>面积</w:t>
                  </w:r>
                </w:p>
              </w:tc>
              <w:tc>
                <w:tcPr>
                  <w:tcW w:type="dxa" w:w="348"/>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非建设用地</w:t>
                  </w:r>
                  <w:r>
                    <w:rPr>
                      <w:rFonts w:ascii="仿宋_GB2312" w:hAnsi="仿宋_GB2312" w:cs="仿宋_GB2312" w:eastAsia="仿宋_GB2312"/>
                      <w:sz w:val="22"/>
                      <w:b/>
                    </w:rPr>
                    <w:t>使用类型</w:t>
                  </w:r>
                </w:p>
              </w:tc>
              <w:tc>
                <w:tcPr>
                  <w:tcW w:type="dxa" w:w="1156"/>
                  <w:gridSpan w:val="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国土变更调查</w:t>
                  </w:r>
                  <w:r>
                    <w:rPr>
                      <w:rFonts w:ascii="仿宋_GB2312" w:hAnsi="仿宋_GB2312" w:cs="仿宋_GB2312" w:eastAsia="仿宋_GB2312"/>
                      <w:sz w:val="22"/>
                      <w:b/>
                    </w:rPr>
                    <w:t>（</w:t>
                  </w:r>
                  <w:r>
                    <w:rPr>
                      <w:rFonts w:ascii="仿宋_GB2312" w:hAnsi="仿宋_GB2312" w:cs="仿宋_GB2312" w:eastAsia="仿宋_GB2312"/>
                      <w:sz w:val="22"/>
                      <w:b/>
                    </w:rPr>
                    <w:t>2023</w:t>
                  </w:r>
                  <w:r>
                    <w:rPr>
                      <w:rFonts w:ascii="仿宋_GB2312" w:hAnsi="仿宋_GB2312" w:cs="仿宋_GB2312" w:eastAsia="仿宋_GB2312"/>
                      <w:sz w:val="22"/>
                      <w:b/>
                    </w:rPr>
                    <w:t>年</w:t>
                  </w:r>
                  <w:r>
                    <w:rPr>
                      <w:rFonts w:ascii="仿宋_GB2312" w:hAnsi="仿宋_GB2312" w:cs="仿宋_GB2312" w:eastAsia="仿宋_GB2312"/>
                      <w:sz w:val="22"/>
                      <w:b/>
                    </w:rPr>
                    <w:t>）</w:t>
                  </w:r>
                </w:p>
              </w:tc>
              <w:tc>
                <w:tcPr>
                  <w:tcW w:type="dxa" w:w="188"/>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备注</w:t>
                  </w:r>
                </w:p>
              </w:tc>
            </w:tr>
            <w:tr>
              <w:tc>
                <w:tcPr>
                  <w:tcW w:type="dxa" w:w="139"/>
                  <w:vMerge/>
                  <w:tcBorders>
                    <w:top w:val="single" w:color="000000" w:sz="4"/>
                    <w:left w:val="single" w:color="000000" w:sz="4"/>
                    <w:bottom w:val="none" w:color="000000" w:sz="4"/>
                    <w:right w:val="single" w:color="000000" w:sz="4"/>
                  </w:tcBorders>
                </w:tcPr>
                <w:p/>
              </w:tc>
              <w:tc>
                <w:tcPr>
                  <w:tcW w:type="dxa" w:w="208"/>
                  <w:vMerge/>
                  <w:tcBorders>
                    <w:top w:val="single" w:color="000000" w:sz="4"/>
                    <w:left w:val="single" w:color="000000" w:sz="4"/>
                    <w:bottom w:val="none" w:color="000000" w:sz="4"/>
                    <w:right w:val="single" w:color="000000" w:sz="4"/>
                  </w:tcBorders>
                </w:tcPr>
                <w:p/>
              </w:tc>
              <w:tc>
                <w:tcPr>
                  <w:tcW w:type="dxa" w:w="254"/>
                  <w:vMerge/>
                  <w:tcBorders>
                    <w:top w:val="single" w:color="000000" w:sz="4"/>
                    <w:left w:val="single" w:color="000000" w:sz="4"/>
                    <w:bottom w:val="none" w:color="000000" w:sz="4"/>
                    <w:right w:val="single" w:color="000000" w:sz="4"/>
                  </w:tcBorders>
                </w:tcPr>
                <w:p/>
              </w:tc>
              <w:tc>
                <w:tcPr>
                  <w:tcW w:type="dxa" w:w="259"/>
                  <w:vMerge/>
                  <w:tcBorders>
                    <w:top w:val="single" w:color="000000" w:sz="4"/>
                    <w:left w:val="single" w:color="000000" w:sz="4"/>
                    <w:bottom w:val="none" w:color="000000" w:sz="4"/>
                    <w:right w:val="single" w:color="000000" w:sz="4"/>
                  </w:tcBorders>
                </w:tcPr>
                <w:p/>
              </w:tc>
              <w:tc>
                <w:tcPr>
                  <w:tcW w:type="dxa" w:w="348"/>
                  <w:vMerge/>
                  <w:tcBorders>
                    <w:top w:val="single" w:color="000000" w:sz="4"/>
                    <w:left w:val="single" w:color="000000" w:sz="4"/>
                    <w:bottom w:val="none" w:color="000000" w:sz="4"/>
                    <w:right w:val="single" w:color="000000" w:sz="4"/>
                  </w:tcBorders>
                </w:tcPr>
                <w:p/>
              </w:tc>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农用地</w:t>
                  </w:r>
                  <w:r>
                    <w:rPr>
                      <w:rFonts w:ascii="仿宋_GB2312" w:hAnsi="仿宋_GB2312" w:cs="仿宋_GB2312" w:eastAsia="仿宋_GB2312"/>
                    </w:rPr>
                    <w:t xml:space="preserve"> </w:t>
                  </w:r>
                  <w:r>
                    <w:rPr>
                      <w:rFonts w:ascii="仿宋_GB2312" w:hAnsi="仿宋_GB2312" w:cs="仿宋_GB2312" w:eastAsia="仿宋_GB2312"/>
                      <w:sz w:val="22"/>
                      <w:b/>
                    </w:rPr>
                    <w:t>面积</w:t>
                  </w:r>
                </w:p>
              </w:tc>
              <w:tc>
                <w:tcPr>
                  <w:tcW w:type="dxa" w:w="2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未利用</w:t>
                  </w:r>
                  <w:r>
                    <w:rPr>
                      <w:rFonts w:ascii="仿宋_GB2312" w:hAnsi="仿宋_GB2312" w:cs="仿宋_GB2312" w:eastAsia="仿宋_GB2312"/>
                    </w:rPr>
                    <w:t xml:space="preserve"> </w:t>
                  </w:r>
                  <w:r>
                    <w:rPr>
                      <w:rFonts w:ascii="仿宋_GB2312" w:hAnsi="仿宋_GB2312" w:cs="仿宋_GB2312" w:eastAsia="仿宋_GB2312"/>
                      <w:sz w:val="22"/>
                      <w:b/>
                    </w:rPr>
                    <w:t>地面积</w:t>
                  </w:r>
                </w:p>
              </w:tc>
              <w:tc>
                <w:tcPr>
                  <w:tcW w:type="dxa" w:w="2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建设用地</w:t>
                  </w:r>
                </w:p>
                <w:p>
                  <w:pPr>
                    <w:pStyle w:val="null3"/>
                    <w:jc w:val="center"/>
                  </w:pPr>
                  <w:r>
                    <w:rPr>
                      <w:rFonts w:ascii="仿宋_GB2312" w:hAnsi="仿宋_GB2312" w:cs="仿宋_GB2312" w:eastAsia="仿宋_GB2312"/>
                      <w:sz w:val="22"/>
                      <w:b/>
                    </w:rPr>
                    <w:t>面积</w:t>
                  </w:r>
                </w:p>
              </w:tc>
              <w:tc>
                <w:tcPr>
                  <w:tcW w:type="dxa" w:w="2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国有面积</w:t>
                  </w:r>
                </w:p>
              </w:tc>
              <w:tc>
                <w:tcPr>
                  <w:tcW w:type="dxa" w:w="2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集体面积</w:t>
                  </w:r>
                </w:p>
              </w:tc>
              <w:tc>
                <w:tcPr>
                  <w:tcW w:type="dxa" w:w="188"/>
                  <w:vMerge/>
                  <w:tcBorders>
                    <w:top w:val="single" w:color="000000" w:sz="4"/>
                    <w:left w:val="single" w:color="000000" w:sz="4"/>
                    <w:bottom w:val="none" w:color="000000" w:sz="4"/>
                    <w:right w:val="single" w:color="000000" w:sz="4"/>
                  </w:tcBorders>
                </w:tcPr>
                <w:p/>
              </w:tc>
            </w:tr>
            <w:tr>
              <w:tc>
                <w:tcPr>
                  <w:tcW w:type="dxa" w:w="139"/>
                  <w:vMerge/>
                  <w:tcBorders>
                    <w:top w:val="single" w:color="000000" w:sz="4"/>
                    <w:left w:val="single" w:color="000000" w:sz="4"/>
                    <w:bottom w:val="none" w:color="000000" w:sz="4"/>
                    <w:right w:val="single" w:color="000000" w:sz="4"/>
                  </w:tcBorders>
                </w:tcPr>
                <w:p/>
              </w:tc>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引用下发</w:t>
                  </w:r>
                  <w:r>
                    <w:rPr>
                      <w:rFonts w:ascii="仿宋_GB2312" w:hAnsi="仿宋_GB2312" w:cs="仿宋_GB2312" w:eastAsia="仿宋_GB2312"/>
                      <w:sz w:val="22"/>
                    </w:rPr>
                    <w:t>批文内容</w:t>
                  </w:r>
                </w:p>
              </w:tc>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分类清理认</w:t>
                  </w:r>
                  <w:r>
                    <w:rPr>
                      <w:rFonts w:ascii="仿宋_GB2312" w:hAnsi="仿宋_GB2312" w:cs="仿宋_GB2312" w:eastAsia="仿宋_GB2312"/>
                      <w:sz w:val="22"/>
                    </w:rPr>
                    <w:t>定类型</w:t>
                  </w:r>
                  <w:r>
                    <w:rPr>
                      <w:rFonts w:ascii="仿宋_GB2312" w:hAnsi="仿宋_GB2312" w:cs="仿宋_GB2312" w:eastAsia="仿宋_GB2312"/>
                      <w:sz w:val="22"/>
                    </w:rPr>
                    <w:t>”</w:t>
                  </w:r>
                  <w:r>
                    <w:rPr>
                      <w:rFonts w:ascii="仿宋_GB2312" w:hAnsi="仿宋_GB2312" w:cs="仿宋_GB2312" w:eastAsia="仿宋_GB2312"/>
                      <w:sz w:val="22"/>
                    </w:rPr>
                    <w:t>为</w:t>
                  </w:r>
                </w:p>
                <w:p>
                  <w:pPr>
                    <w:pStyle w:val="null3"/>
                    <w:jc w:val="center"/>
                  </w:pPr>
                  <w:r>
                    <w:rPr>
                      <w:rFonts w:ascii="仿宋_GB2312" w:hAnsi="仿宋_GB2312" w:cs="仿宋_GB2312" w:eastAsia="仿宋_GB2312"/>
                      <w:sz w:val="22"/>
                    </w:rPr>
                    <w:t>“0302”</w:t>
                  </w:r>
                  <w:r>
                    <w:rPr>
                      <w:rFonts w:ascii="仿宋_GB2312" w:hAnsi="仿宋_GB2312" w:cs="仿宋_GB2312" w:eastAsia="仿宋_GB2312"/>
                      <w:sz w:val="22"/>
                    </w:rPr>
                    <w:t>时填</w:t>
                  </w:r>
                </w:p>
                <w:p>
                  <w:pPr>
                    <w:pStyle w:val="null3"/>
                    <w:jc w:val="center"/>
                  </w:pPr>
                  <w:r>
                    <w:rPr>
                      <w:rFonts w:ascii="仿宋_GB2312" w:hAnsi="仿宋_GB2312" w:cs="仿宋_GB2312" w:eastAsia="仿宋_GB2312"/>
                      <w:sz w:val="22"/>
                    </w:rPr>
                    <w:t>写</w:t>
                  </w:r>
                </w:p>
              </w:tc>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非必填</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3</w:t>
                  </w:r>
                </w:p>
              </w:tc>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4</w:t>
                  </w:r>
                </w:p>
              </w:tc>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5</w:t>
                  </w:r>
                </w:p>
              </w:tc>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p>
              </w:tc>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2"/>
                  <w:gridSpan w:val="11"/>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注：非建设用地使用类型包括：生态用地、水库水面、农业科研用地、军事用地、国有农牧场、文物遗址、其他。</w:t>
                  </w:r>
                </w:p>
              </w:tc>
            </w:tr>
          </w:tbl>
          <w:p>
            <w:pPr>
              <w:pStyle w:val="null3"/>
              <w:jc w:val="center"/>
            </w:pPr>
            <w:r>
              <w:rPr>
                <w:rFonts w:ascii="仿宋_GB2312" w:hAnsi="仿宋_GB2312" w:cs="仿宋_GB2312" w:eastAsia="仿宋_GB2312"/>
                <w:sz w:val="22"/>
                <w:b/>
              </w:rPr>
              <w:t>表</w:t>
            </w:r>
            <w:r>
              <w:rPr>
                <w:rFonts w:ascii="仿宋_GB2312" w:hAnsi="仿宋_GB2312" w:cs="仿宋_GB2312" w:eastAsia="仿宋_GB2312"/>
                <w:sz w:val="22"/>
                <w:b/>
              </w:rPr>
              <w:t xml:space="preserve">5  </w:t>
            </w:r>
            <w:r>
              <w:rPr>
                <w:rFonts w:ascii="仿宋_GB2312" w:hAnsi="仿宋_GB2312" w:cs="仿宋_GB2312" w:eastAsia="仿宋_GB2312"/>
                <w:sz w:val="22"/>
                <w:b/>
              </w:rPr>
              <w:t>政策原因不进行供应的批文清单</w:t>
            </w:r>
          </w:p>
          <w:tbl>
            <w:tblPr>
              <w:tblInd w:type="dxa" w:w="105"/>
              <w:tblBorders>
                <w:top w:val="none" w:color="000000" w:sz="4"/>
                <w:left w:val="none" w:color="000000" w:sz="4"/>
                <w:bottom w:val="none" w:color="000000" w:sz="4"/>
                <w:right w:val="none" w:color="000000" w:sz="4"/>
                <w:insideH w:val="none"/>
                <w:insideV w:val="none"/>
              </w:tblBorders>
            </w:tblPr>
            <w:tblGrid>
              <w:gridCol w:w="169"/>
              <w:gridCol w:w="336"/>
              <w:gridCol w:w="288"/>
              <w:gridCol w:w="376"/>
              <w:gridCol w:w="250"/>
              <w:gridCol w:w="302"/>
              <w:gridCol w:w="302"/>
              <w:gridCol w:w="302"/>
              <w:gridCol w:w="228"/>
            </w:tblGrid>
            <w:tr>
              <w:tc>
                <w:tcPr>
                  <w:tcW w:type="dxa" w:w="169"/>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序号</w:t>
                  </w:r>
                </w:p>
              </w:tc>
              <w:tc>
                <w:tcPr>
                  <w:tcW w:type="dxa" w:w="336"/>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原批文信息</w:t>
                  </w:r>
                </w:p>
              </w:tc>
              <w:tc>
                <w:tcPr>
                  <w:tcW w:type="dxa" w:w="288"/>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分类清理认定</w:t>
                  </w:r>
                  <w:r>
                    <w:rPr>
                      <w:rFonts w:ascii="仿宋_GB2312" w:hAnsi="仿宋_GB2312" w:cs="仿宋_GB2312" w:eastAsia="仿宋_GB2312"/>
                      <w:sz w:val="22"/>
                      <w:b/>
                    </w:rPr>
                    <w:t>类型</w:t>
                  </w:r>
                </w:p>
              </w:tc>
              <w:tc>
                <w:tcPr>
                  <w:tcW w:type="dxa" w:w="376"/>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不纳入批而未供基数</w:t>
                  </w:r>
                  <w:r>
                    <w:rPr>
                      <w:rFonts w:ascii="仿宋_GB2312" w:hAnsi="仿宋_GB2312" w:cs="仿宋_GB2312" w:eastAsia="仿宋_GB2312"/>
                      <w:sz w:val="22"/>
                      <w:b/>
                    </w:rPr>
                    <w:t>的面积</w:t>
                  </w:r>
                </w:p>
              </w:tc>
              <w:tc>
                <w:tcPr>
                  <w:tcW w:type="dxa" w:w="250"/>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具体情形</w:t>
                  </w:r>
                </w:p>
              </w:tc>
              <w:tc>
                <w:tcPr>
                  <w:tcW w:type="dxa" w:w="906"/>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国土变更调查</w:t>
                  </w:r>
                  <w:r>
                    <w:rPr>
                      <w:rFonts w:ascii="仿宋_GB2312" w:hAnsi="仿宋_GB2312" w:cs="仿宋_GB2312" w:eastAsia="仿宋_GB2312"/>
                      <w:sz w:val="22"/>
                      <w:b/>
                    </w:rPr>
                    <w:t>（</w:t>
                  </w:r>
                  <w:r>
                    <w:rPr>
                      <w:rFonts w:ascii="仿宋_GB2312" w:hAnsi="仿宋_GB2312" w:cs="仿宋_GB2312" w:eastAsia="仿宋_GB2312"/>
                      <w:sz w:val="22"/>
                      <w:b/>
                    </w:rPr>
                    <w:t>2023</w:t>
                  </w:r>
                  <w:r>
                    <w:rPr>
                      <w:rFonts w:ascii="仿宋_GB2312" w:hAnsi="仿宋_GB2312" w:cs="仿宋_GB2312" w:eastAsia="仿宋_GB2312"/>
                      <w:sz w:val="22"/>
                      <w:b/>
                    </w:rPr>
                    <w:t>年</w:t>
                  </w:r>
                  <w:r>
                    <w:rPr>
                      <w:rFonts w:ascii="仿宋_GB2312" w:hAnsi="仿宋_GB2312" w:cs="仿宋_GB2312" w:eastAsia="仿宋_GB2312"/>
                      <w:sz w:val="22"/>
                      <w:b/>
                    </w:rPr>
                    <w:t>）</w:t>
                  </w:r>
                </w:p>
              </w:tc>
              <w:tc>
                <w:tcPr>
                  <w:tcW w:type="dxa" w:w="228"/>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备注</w:t>
                  </w:r>
                </w:p>
              </w:tc>
            </w:tr>
            <w:tr>
              <w:tc>
                <w:tcPr>
                  <w:tcW w:type="dxa" w:w="169"/>
                  <w:vMerge/>
                  <w:tcBorders>
                    <w:top w:val="single" w:color="000000" w:sz="4"/>
                    <w:left w:val="single" w:color="000000" w:sz="4"/>
                    <w:bottom w:val="single" w:color="000000" w:sz="4"/>
                    <w:right w:val="single" w:color="000000" w:sz="4"/>
                  </w:tcBorders>
                </w:tcPr>
                <w:p/>
              </w:tc>
              <w:tc>
                <w:tcPr>
                  <w:tcW w:type="dxa" w:w="336"/>
                  <w:vMerge/>
                  <w:tcBorders>
                    <w:top w:val="single" w:color="000000" w:sz="4"/>
                    <w:left w:val="single" w:color="000000" w:sz="4"/>
                    <w:bottom w:val="single" w:color="000000" w:sz="4"/>
                    <w:right w:val="single" w:color="000000" w:sz="4"/>
                  </w:tcBorders>
                </w:tcPr>
                <w:p/>
              </w:tc>
              <w:tc>
                <w:tcPr>
                  <w:tcW w:type="dxa" w:w="288"/>
                  <w:vMerge/>
                  <w:tcBorders>
                    <w:top w:val="single" w:color="000000" w:sz="4"/>
                    <w:left w:val="single" w:color="000000" w:sz="4"/>
                    <w:bottom w:val="single" w:color="000000" w:sz="4"/>
                    <w:right w:val="single" w:color="000000" w:sz="4"/>
                  </w:tcBorders>
                </w:tcPr>
                <w:p/>
              </w:tc>
              <w:tc>
                <w:tcPr>
                  <w:tcW w:type="dxa" w:w="376"/>
                  <w:vMerge/>
                  <w:tcBorders>
                    <w:top w:val="single" w:color="000000" w:sz="4"/>
                    <w:left w:val="single" w:color="000000" w:sz="4"/>
                    <w:bottom w:val="single" w:color="000000" w:sz="4"/>
                    <w:right w:val="single" w:color="000000" w:sz="4"/>
                  </w:tcBorders>
                </w:tcPr>
                <w:p/>
              </w:tc>
              <w:tc>
                <w:tcPr>
                  <w:tcW w:type="dxa" w:w="250"/>
                  <w:vMerge/>
                  <w:tcBorders>
                    <w:top w:val="single" w:color="000000" w:sz="4"/>
                    <w:left w:val="single" w:color="000000" w:sz="4"/>
                    <w:bottom w:val="singl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农用地</w:t>
                  </w:r>
                </w:p>
                <w:p>
                  <w:pPr>
                    <w:pStyle w:val="null3"/>
                    <w:jc w:val="center"/>
                  </w:pPr>
                  <w:r>
                    <w:rPr>
                      <w:rFonts w:ascii="仿宋_GB2312" w:hAnsi="仿宋_GB2312" w:cs="仿宋_GB2312" w:eastAsia="仿宋_GB2312"/>
                      <w:sz w:val="22"/>
                      <w:b/>
                    </w:rPr>
                    <w:t>面积</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未利用地</w:t>
                  </w:r>
                </w:p>
                <w:p>
                  <w:pPr>
                    <w:pStyle w:val="null3"/>
                    <w:jc w:val="center"/>
                  </w:pPr>
                  <w:r>
                    <w:rPr>
                      <w:rFonts w:ascii="仿宋_GB2312" w:hAnsi="仿宋_GB2312" w:cs="仿宋_GB2312" w:eastAsia="仿宋_GB2312"/>
                      <w:sz w:val="22"/>
                      <w:b/>
                    </w:rPr>
                    <w:t>面积</w:t>
                  </w:r>
                </w:p>
              </w:tc>
              <w:tc>
                <w:tcPr>
                  <w:tcW w:type="dxa" w:w="3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建设用地</w:t>
                  </w:r>
                </w:p>
                <w:p>
                  <w:pPr>
                    <w:pStyle w:val="null3"/>
                    <w:jc w:val="center"/>
                  </w:pPr>
                  <w:r>
                    <w:rPr>
                      <w:rFonts w:ascii="仿宋_GB2312" w:hAnsi="仿宋_GB2312" w:cs="仿宋_GB2312" w:eastAsia="仿宋_GB2312"/>
                      <w:sz w:val="22"/>
                      <w:b/>
                    </w:rPr>
                    <w:t>面积</w:t>
                  </w:r>
                </w:p>
              </w:tc>
              <w:tc>
                <w:tcPr>
                  <w:tcW w:type="dxa" w:w="228"/>
                  <w:vMerge/>
                  <w:tcBorders>
                    <w:top w:val="single" w:color="000000" w:sz="4"/>
                    <w:left w:val="single" w:color="000000" w:sz="4"/>
                    <w:bottom w:val="single" w:color="000000" w:sz="4"/>
                    <w:right w:val="single" w:color="000000" w:sz="4"/>
                  </w:tcBorders>
                </w:tcPr>
                <w:p/>
              </w:tc>
            </w:tr>
            <w:tr>
              <w:tc>
                <w:tcPr>
                  <w:tcW w:type="dxa" w:w="169"/>
                  <w:vMerge/>
                  <w:tcBorders>
                    <w:top w:val="single" w:color="000000" w:sz="4"/>
                    <w:left w:val="single" w:color="000000" w:sz="4"/>
                    <w:bottom w:val="single" w:color="000000" w:sz="4"/>
                    <w:right w:val="single" w:color="000000" w:sz="4"/>
                  </w:tcBorders>
                </w:tcP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引用下发批文内容</w:t>
                  </w:r>
                </w:p>
              </w:tc>
              <w:tc>
                <w:tcPr>
                  <w:tcW w:type="dxa" w:w="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非必填</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必填</w:t>
                  </w: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非必填</w:t>
                  </w:r>
                </w:p>
              </w:tc>
            </w:tr>
            <w:tr>
              <w:tc>
                <w:tcPr>
                  <w:tcW w:type="dxa" w:w="1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w:t>
                  </w: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2</w:t>
                  </w: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3</w:t>
                  </w: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4</w:t>
                  </w: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5</w:t>
                  </w: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w:t>
                  </w:r>
                </w:p>
              </w:tc>
              <w:tc>
                <w:tcPr>
                  <w:tcW w:type="dxa" w:w="3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gridSpan w:val="9"/>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bl>
          <w:p>
            <w:pPr>
              <w:pStyle w:val="null3"/>
              <w:numPr>
                <w:ilvl w:val="0"/>
                <w:numId w:val="1"/>
              </w:numPr>
              <w:jc w:val="both"/>
            </w:pPr>
            <w:r>
              <w:rPr>
                <w:rFonts w:ascii="仿宋_GB2312" w:hAnsi="仿宋_GB2312" w:cs="仿宋_GB2312" w:eastAsia="仿宋_GB2312"/>
                <w:sz w:val="22"/>
              </w:rPr>
              <w:t>矢量数据要求</w:t>
            </w:r>
          </w:p>
          <w:p>
            <w:pPr>
              <w:pStyle w:val="null3"/>
              <w:ind w:firstLine="440"/>
              <w:jc w:val="both"/>
            </w:pPr>
            <w:r>
              <w:rPr>
                <w:rFonts w:ascii="仿宋_GB2312" w:hAnsi="仿宋_GB2312" w:cs="仿宋_GB2312" w:eastAsia="仿宋_GB2312"/>
                <w:sz w:val="22"/>
              </w:rPr>
              <w:t>批而未供批文图形矢量数据的属性表结构及要求如表</w:t>
            </w:r>
            <w:r>
              <w:rPr>
                <w:rFonts w:ascii="仿宋_GB2312" w:hAnsi="仿宋_GB2312" w:cs="仿宋_GB2312" w:eastAsia="仿宋_GB2312"/>
                <w:sz w:val="22"/>
              </w:rPr>
              <w:t>6</w:t>
            </w:r>
            <w:r>
              <w:rPr>
                <w:rFonts w:ascii="仿宋_GB2312" w:hAnsi="仿宋_GB2312" w:cs="仿宋_GB2312" w:eastAsia="仿宋_GB2312"/>
                <w:sz w:val="22"/>
              </w:rPr>
              <w:t>所示。</w:t>
            </w:r>
          </w:p>
          <w:p>
            <w:pPr>
              <w:pStyle w:val="null3"/>
              <w:jc w:val="center"/>
            </w:pPr>
            <w:r>
              <w:rPr>
                <w:rFonts w:ascii="仿宋_GB2312" w:hAnsi="仿宋_GB2312" w:cs="仿宋_GB2312" w:eastAsia="仿宋_GB2312"/>
                <w:sz w:val="22"/>
                <w:b/>
              </w:rPr>
              <w:t>表</w:t>
            </w:r>
            <w:r>
              <w:rPr>
                <w:rFonts w:ascii="仿宋_GB2312" w:hAnsi="仿宋_GB2312" w:cs="仿宋_GB2312" w:eastAsia="仿宋_GB2312"/>
                <w:sz w:val="22"/>
                <w:b/>
              </w:rPr>
              <w:t xml:space="preserve">6  </w:t>
            </w:r>
            <w:r>
              <w:rPr>
                <w:rFonts w:ascii="仿宋_GB2312" w:hAnsi="仿宋_GB2312" w:cs="仿宋_GB2312" w:eastAsia="仿宋_GB2312"/>
                <w:sz w:val="22"/>
                <w:b/>
              </w:rPr>
              <w:t>图形矢量数据汇交格式及要求</w:t>
            </w:r>
          </w:p>
          <w:tbl>
            <w:tblPr>
              <w:tblBorders>
                <w:top w:val="none" w:color="000000" w:sz="4"/>
                <w:left w:val="none" w:color="000000" w:sz="4"/>
                <w:bottom w:val="none" w:color="000000" w:sz="4"/>
                <w:right w:val="none" w:color="000000" w:sz="4"/>
                <w:insideH w:val="none"/>
                <w:insideV w:val="none"/>
              </w:tblBorders>
            </w:tblPr>
            <w:tblGrid>
              <w:gridCol w:w="199"/>
              <w:gridCol w:w="497"/>
              <w:gridCol w:w="378"/>
              <w:gridCol w:w="297"/>
              <w:gridCol w:w="229"/>
              <w:gridCol w:w="216"/>
              <w:gridCol w:w="318"/>
              <w:gridCol w:w="203"/>
              <w:gridCol w:w="191"/>
            </w:tblGrid>
            <w:tr>
              <w:tc>
                <w:tcPr>
                  <w:tcW w:type="dxa" w:w="1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序号</w:t>
                  </w:r>
                </w:p>
              </w:tc>
              <w:tc>
                <w:tcPr>
                  <w:tcW w:type="dxa" w:w="4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字段名称</w:t>
                  </w:r>
                </w:p>
              </w:tc>
              <w:tc>
                <w:tcPr>
                  <w:tcW w:type="dxa" w:w="3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字段代码</w:t>
                  </w:r>
                </w:p>
              </w:tc>
              <w:tc>
                <w:tcPr>
                  <w:tcW w:type="dxa" w:w="2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类型</w:t>
                  </w:r>
                </w:p>
              </w:tc>
              <w:tc>
                <w:tcPr>
                  <w:tcW w:type="dxa" w:w="2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长度</w:t>
                  </w:r>
                </w:p>
              </w:tc>
              <w:tc>
                <w:tcPr>
                  <w:tcW w:type="dxa" w:w="2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小数</w:t>
                  </w:r>
                </w:p>
              </w:tc>
              <w:tc>
                <w:tcPr>
                  <w:tcW w:type="dxa" w:w="3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值域</w:t>
                  </w:r>
                </w:p>
              </w:tc>
              <w:tc>
                <w:tcPr>
                  <w:tcW w:type="dxa" w:w="2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约束</w:t>
                  </w:r>
                </w:p>
              </w:tc>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备注</w:t>
                  </w: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85"/>
                  </w:pPr>
                  <w:r>
                    <w:rPr>
                      <w:rFonts w:ascii="仿宋_GB2312" w:hAnsi="仿宋_GB2312" w:cs="仿宋_GB2312" w:eastAsia="仿宋_GB2312"/>
                      <w:sz w:val="22"/>
                    </w:rPr>
                    <w:t>1</w:t>
                  </w:r>
                </w:p>
              </w:tc>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pPr>
                  <w:r>
                    <w:rPr>
                      <w:rFonts w:ascii="仿宋_GB2312" w:hAnsi="仿宋_GB2312" w:cs="仿宋_GB2312" w:eastAsia="仿宋_GB2312"/>
                      <w:sz w:val="22"/>
                    </w:rPr>
                    <w:t>唯一码</w:t>
                  </w:r>
                  <w:r>
                    <w:rPr>
                      <w:rFonts w:ascii="仿宋_GB2312" w:hAnsi="仿宋_GB2312" w:cs="仿宋_GB2312" w:eastAsia="仿宋_GB2312"/>
                      <w:sz w:val="22"/>
                    </w:rPr>
                    <w:t>ID</w:t>
                  </w:r>
                </w:p>
              </w:tc>
              <w:tc>
                <w:tcPr>
                  <w:tcW w:type="dxa" w:w="3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ID</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Char</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100</w:t>
                  </w:r>
                </w:p>
              </w:tc>
              <w:tc>
                <w:tcPr>
                  <w:tcW w:type="dxa" w:w="2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一</w:t>
                  </w:r>
                </w:p>
              </w:tc>
              <w:tc>
                <w:tcPr>
                  <w:tcW w:type="dxa" w:w="3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一</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M</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注</w:t>
                  </w:r>
                  <w:r>
                    <w:rPr>
                      <w:rFonts w:ascii="仿宋_GB2312" w:hAnsi="仿宋_GB2312" w:cs="仿宋_GB2312" w:eastAsia="仿宋_GB2312"/>
                      <w:sz w:val="22"/>
                    </w:rPr>
                    <w:t>1</w:t>
                  </w: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85"/>
                  </w:pPr>
                  <w:r>
                    <w:rPr>
                      <w:rFonts w:ascii="仿宋_GB2312" w:hAnsi="仿宋_GB2312" w:cs="仿宋_GB2312" w:eastAsia="仿宋_GB2312"/>
                      <w:sz w:val="22"/>
                    </w:rPr>
                    <w:t>2</w:t>
                  </w:r>
                </w:p>
              </w:tc>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pPr>
                  <w:r>
                    <w:rPr>
                      <w:rFonts w:ascii="仿宋_GB2312" w:hAnsi="仿宋_GB2312" w:cs="仿宋_GB2312" w:eastAsia="仿宋_GB2312"/>
                      <w:sz w:val="22"/>
                    </w:rPr>
                    <w:t>唯一码</w:t>
                  </w:r>
                  <w:r>
                    <w:rPr>
                      <w:rFonts w:ascii="仿宋_GB2312" w:hAnsi="仿宋_GB2312" w:cs="仿宋_GB2312" w:eastAsia="仿宋_GB2312"/>
                      <w:sz w:val="22"/>
                    </w:rPr>
                    <w:t>SEC</w:t>
                  </w:r>
                </w:p>
              </w:tc>
              <w:tc>
                <w:tcPr>
                  <w:tcW w:type="dxa" w:w="3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SEC</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Char</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100</w:t>
                  </w:r>
                </w:p>
              </w:tc>
              <w:tc>
                <w:tcPr>
                  <w:tcW w:type="dxa" w:w="2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一</w:t>
                  </w:r>
                </w:p>
              </w:tc>
              <w:tc>
                <w:tcPr>
                  <w:tcW w:type="dxa" w:w="3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一</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M</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一</w:t>
                  </w: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85"/>
                  </w:pPr>
                  <w:r>
                    <w:rPr>
                      <w:rFonts w:ascii="仿宋_GB2312" w:hAnsi="仿宋_GB2312" w:cs="仿宋_GB2312" w:eastAsia="仿宋_GB2312"/>
                      <w:sz w:val="22"/>
                    </w:rPr>
                    <w:t>3</w:t>
                  </w:r>
                </w:p>
              </w:tc>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pPr>
                  <w:r>
                    <w:rPr>
                      <w:rFonts w:ascii="仿宋_GB2312" w:hAnsi="仿宋_GB2312" w:cs="仿宋_GB2312" w:eastAsia="仿宋_GB2312"/>
                      <w:sz w:val="22"/>
                    </w:rPr>
                    <w:t>项目名称</w:t>
                  </w:r>
                </w:p>
              </w:tc>
              <w:tc>
                <w:tcPr>
                  <w:tcW w:type="dxa" w:w="3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XMMC</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Char</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300</w:t>
                  </w:r>
                </w:p>
              </w:tc>
              <w:tc>
                <w:tcPr>
                  <w:tcW w:type="dxa" w:w="2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一</w:t>
                  </w:r>
                </w:p>
              </w:tc>
              <w:tc>
                <w:tcPr>
                  <w:tcW w:type="dxa" w:w="3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一</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M</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一</w:t>
                  </w: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85"/>
                  </w:pPr>
                  <w:r>
                    <w:rPr>
                      <w:rFonts w:ascii="仿宋_GB2312" w:hAnsi="仿宋_GB2312" w:cs="仿宋_GB2312" w:eastAsia="仿宋_GB2312"/>
                      <w:sz w:val="22"/>
                    </w:rPr>
                    <w:t>4</w:t>
                  </w:r>
                </w:p>
              </w:tc>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pPr>
                  <w:r>
                    <w:rPr>
                      <w:rFonts w:ascii="仿宋_GB2312" w:hAnsi="仿宋_GB2312" w:cs="仿宋_GB2312" w:eastAsia="仿宋_GB2312"/>
                      <w:sz w:val="22"/>
                    </w:rPr>
                    <w:t>清理认定类型</w:t>
                  </w:r>
                </w:p>
              </w:tc>
              <w:tc>
                <w:tcPr>
                  <w:tcW w:type="dxa" w:w="3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QLRDLX</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Char</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4</w:t>
                  </w:r>
                </w:p>
              </w:tc>
              <w:tc>
                <w:tcPr>
                  <w:tcW w:type="dxa" w:w="2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一</w:t>
                  </w:r>
                </w:p>
              </w:tc>
              <w:tc>
                <w:tcPr>
                  <w:tcW w:type="dxa" w:w="3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见表</w:t>
                  </w:r>
                  <w:r>
                    <w:rPr>
                      <w:rFonts w:ascii="仿宋_GB2312" w:hAnsi="仿宋_GB2312" w:cs="仿宋_GB2312" w:eastAsia="仿宋_GB2312"/>
                      <w:sz w:val="22"/>
                    </w:rPr>
                    <w:t>1</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M</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注</w:t>
                  </w:r>
                  <w:r>
                    <w:rPr>
                      <w:rFonts w:ascii="仿宋_GB2312" w:hAnsi="仿宋_GB2312" w:cs="仿宋_GB2312" w:eastAsia="仿宋_GB2312"/>
                      <w:sz w:val="22"/>
                    </w:rPr>
                    <w:t>2</w:t>
                  </w: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85"/>
                  </w:pPr>
                  <w:r>
                    <w:rPr>
                      <w:rFonts w:ascii="仿宋_GB2312" w:hAnsi="仿宋_GB2312" w:cs="仿宋_GB2312" w:eastAsia="仿宋_GB2312"/>
                      <w:sz w:val="22"/>
                    </w:rPr>
                    <w:t>5</w:t>
                  </w:r>
                </w:p>
              </w:tc>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60"/>
                  </w:pPr>
                  <w:r>
                    <w:rPr>
                      <w:rFonts w:ascii="仿宋_GB2312" w:hAnsi="仿宋_GB2312" w:cs="仿宋_GB2312" w:eastAsia="仿宋_GB2312"/>
                      <w:sz w:val="22"/>
                    </w:rPr>
                    <w:t>清理认定面积</w:t>
                  </w:r>
                </w:p>
              </w:tc>
              <w:tc>
                <w:tcPr>
                  <w:tcW w:type="dxa" w:w="3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QLRDMJ</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float</w:t>
                  </w:r>
                </w:p>
              </w:tc>
              <w:tc>
                <w:tcPr>
                  <w:tcW w:type="dxa" w:w="2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一</w:t>
                  </w:r>
                </w:p>
              </w:tc>
              <w:tc>
                <w:tcPr>
                  <w:tcW w:type="dxa" w:w="2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4</w:t>
                  </w:r>
                </w:p>
              </w:tc>
              <w:tc>
                <w:tcPr>
                  <w:tcW w:type="dxa" w:w="3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一</w:t>
                  </w:r>
                </w:p>
              </w:tc>
              <w:tc>
                <w:tcPr>
                  <w:tcW w:type="dxa" w:w="2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M</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注</w:t>
                  </w:r>
                  <w:r>
                    <w:rPr>
                      <w:rFonts w:ascii="仿宋_GB2312" w:hAnsi="仿宋_GB2312" w:cs="仿宋_GB2312" w:eastAsia="仿宋_GB2312"/>
                      <w:sz w:val="22"/>
                    </w:rPr>
                    <w:t>3</w:t>
                  </w:r>
                </w:p>
              </w:tc>
            </w:tr>
            <w:tr>
              <w:tc>
                <w:tcPr>
                  <w:tcW w:type="dxa" w:w="2528"/>
                  <w:gridSpan w:val="9"/>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855"/>
                  </w:pPr>
                  <w:r>
                    <w:rPr>
                      <w:rFonts w:ascii="仿宋_GB2312" w:hAnsi="仿宋_GB2312" w:cs="仿宋_GB2312" w:eastAsia="仿宋_GB2312"/>
                      <w:sz w:val="22"/>
                    </w:rPr>
                    <w:t>注</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引用下发批文清单中的项目编码。</w:t>
                  </w:r>
                </w:p>
                <w:p>
                  <w:pPr>
                    <w:pStyle w:val="null3"/>
                    <w:ind w:left="855"/>
                  </w:pPr>
                  <w:r>
                    <w:rPr>
                      <w:rFonts w:ascii="仿宋_GB2312" w:hAnsi="仿宋_GB2312" w:cs="仿宋_GB2312" w:eastAsia="仿宋_GB2312"/>
                      <w:sz w:val="22"/>
                    </w:rPr>
                    <w:t>注</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引用表</w:t>
                  </w:r>
                  <w:r>
                    <w:rPr>
                      <w:rFonts w:ascii="仿宋_GB2312" w:hAnsi="仿宋_GB2312" w:cs="仿宋_GB2312" w:eastAsia="仿宋_GB2312"/>
                      <w:sz w:val="22"/>
                    </w:rPr>
                    <w:t>1</w:t>
                  </w:r>
                  <w:r>
                    <w:rPr>
                      <w:rFonts w:ascii="仿宋_GB2312" w:hAnsi="仿宋_GB2312" w:cs="仿宋_GB2312" w:eastAsia="仿宋_GB2312"/>
                      <w:sz w:val="22"/>
                    </w:rPr>
                    <w:t>清理认定代码类型。</w:t>
                  </w:r>
                </w:p>
                <w:p>
                  <w:pPr>
                    <w:pStyle w:val="null3"/>
                    <w:ind w:left="750"/>
                  </w:pPr>
                  <w:r>
                    <w:rPr>
                      <w:rFonts w:ascii="仿宋_GB2312" w:hAnsi="仿宋_GB2312" w:cs="仿宋_GB2312" w:eastAsia="仿宋_GB2312"/>
                      <w:sz w:val="22"/>
                    </w:rPr>
                    <w:t>注</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以项目为单位填写清理认定清单对应项目相应清理认定类型的认定面积。</w:t>
                  </w:r>
                  <w:r>
                    <w:rPr>
                      <w:rFonts w:ascii="仿宋_GB2312" w:hAnsi="仿宋_GB2312" w:cs="仿宋_GB2312" w:eastAsia="仿宋_GB2312"/>
                      <w:sz w:val="22"/>
                    </w:rPr>
                    <w:t>同一项目的同一清理认定类型涉及多个图斑的，应为该项目相应清理认定类型多个图斑的面积之和。</w:t>
                  </w:r>
                </w:p>
              </w:tc>
            </w:tr>
          </w:tbl>
          <w:p>
            <w:pPr>
              <w:pStyle w:val="null3"/>
              <w:numPr>
                <w:ilvl w:val="0"/>
                <w:numId w:val="1"/>
              </w:numPr>
              <w:jc w:val="both"/>
            </w:pPr>
            <w:r>
              <w:rPr>
                <w:rFonts w:ascii="仿宋_GB2312" w:hAnsi="仿宋_GB2312" w:cs="仿宋_GB2312" w:eastAsia="仿宋_GB2312"/>
                <w:sz w:val="22"/>
              </w:rPr>
              <w:t>数据技术要求</w:t>
            </w:r>
          </w:p>
          <w:p>
            <w:pPr>
              <w:pStyle w:val="null3"/>
              <w:ind w:firstLine="440"/>
              <w:jc w:val="both"/>
            </w:pPr>
            <w:r>
              <w:rPr>
                <w:rFonts w:ascii="仿宋_GB2312" w:hAnsi="仿宋_GB2312" w:cs="仿宋_GB2312" w:eastAsia="仿宋_GB2312"/>
                <w:sz w:val="22"/>
              </w:rPr>
              <w:t>分类清理认定清单和图形矢量数据须符合表</w:t>
            </w:r>
            <w:r>
              <w:rPr>
                <w:rFonts w:ascii="仿宋_GB2312" w:hAnsi="仿宋_GB2312" w:cs="仿宋_GB2312" w:eastAsia="仿宋_GB2312"/>
                <w:sz w:val="22"/>
              </w:rPr>
              <w:t>7</w:t>
            </w:r>
            <w:r>
              <w:rPr>
                <w:rFonts w:ascii="仿宋_GB2312" w:hAnsi="仿宋_GB2312" w:cs="仿宋_GB2312" w:eastAsia="仿宋_GB2312"/>
                <w:sz w:val="22"/>
              </w:rPr>
              <w:t>所列的各项检查规则。</w:t>
            </w:r>
          </w:p>
          <w:p>
            <w:pPr>
              <w:pStyle w:val="null3"/>
              <w:jc w:val="center"/>
            </w:pPr>
            <w:r>
              <w:rPr>
                <w:rFonts w:ascii="仿宋_GB2312" w:hAnsi="仿宋_GB2312" w:cs="仿宋_GB2312" w:eastAsia="仿宋_GB2312"/>
                <w:sz w:val="22"/>
                <w:b/>
              </w:rPr>
              <w:t>表</w:t>
            </w:r>
            <w:r>
              <w:rPr>
                <w:rFonts w:ascii="仿宋_GB2312" w:hAnsi="仿宋_GB2312" w:cs="仿宋_GB2312" w:eastAsia="仿宋_GB2312"/>
                <w:sz w:val="22"/>
                <w:b/>
              </w:rPr>
              <w:t xml:space="preserve">7  </w:t>
            </w:r>
            <w:r>
              <w:rPr>
                <w:rFonts w:ascii="仿宋_GB2312" w:hAnsi="仿宋_GB2312" w:cs="仿宋_GB2312" w:eastAsia="仿宋_GB2312"/>
                <w:sz w:val="22"/>
                <w:b/>
              </w:rPr>
              <w:t>数据检查细则</w:t>
            </w:r>
          </w:p>
          <w:tbl>
            <w:tblPr>
              <w:tblBorders>
                <w:top w:val="none" w:color="000000" w:sz="4"/>
                <w:left w:val="none" w:color="000000" w:sz="4"/>
                <w:bottom w:val="none" w:color="000000" w:sz="4"/>
                <w:right w:val="none" w:color="000000" w:sz="4"/>
                <w:insideH w:val="none"/>
                <w:insideV w:val="none"/>
              </w:tblBorders>
            </w:tblPr>
            <w:tblGrid>
              <w:gridCol w:w="252"/>
              <w:gridCol w:w="2296"/>
            </w:tblGrid>
            <w:tr>
              <w:tc>
                <w:tcPr>
                  <w:tcW w:type="dxa" w:w="2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类型</w:t>
                  </w:r>
                </w:p>
              </w:tc>
              <w:tc>
                <w:tcPr>
                  <w:tcW w:type="dxa" w:w="22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rPr>
                    <w:t>检查规则</w:t>
                  </w:r>
                </w:p>
              </w:tc>
            </w:tr>
            <w:tr>
              <w:tc>
                <w:tcPr>
                  <w:tcW w:type="dxa" w:w="25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清理</w:t>
                  </w:r>
                </w:p>
                <w:p>
                  <w:pPr>
                    <w:pStyle w:val="null3"/>
                    <w:jc w:val="center"/>
                  </w:pPr>
                  <w:r>
                    <w:rPr>
                      <w:rFonts w:ascii="仿宋_GB2312" w:hAnsi="仿宋_GB2312" w:cs="仿宋_GB2312" w:eastAsia="仿宋_GB2312"/>
                      <w:sz w:val="22"/>
                    </w:rPr>
                    <w:t>认定</w:t>
                  </w:r>
                </w:p>
                <w:p>
                  <w:pPr>
                    <w:pStyle w:val="null3"/>
                    <w:jc w:val="center"/>
                  </w:pPr>
                  <w:r>
                    <w:rPr>
                      <w:rFonts w:ascii="仿宋_GB2312" w:hAnsi="仿宋_GB2312" w:cs="仿宋_GB2312" w:eastAsia="仿宋_GB2312"/>
                      <w:sz w:val="22"/>
                    </w:rPr>
                    <w:t>清单</w:t>
                  </w:r>
                </w:p>
              </w:tc>
              <w:tc>
                <w:tcPr>
                  <w:tcW w:type="dxa" w:w="2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“不具备供应可能面积”不</w:t>
                  </w:r>
                  <w:r>
                    <w:rPr>
                      <w:rFonts w:ascii="仿宋_GB2312" w:hAnsi="仿宋_GB2312" w:cs="仿宋_GB2312" w:eastAsia="仿宋_GB2312"/>
                      <w:sz w:val="22"/>
                    </w:rPr>
                    <w:t>能为</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且不大于项目</w:t>
                  </w:r>
                  <w:r>
                    <w:rPr>
                      <w:rFonts w:ascii="仿宋_GB2312" w:hAnsi="仿宋_GB2312" w:cs="仿宋_GB2312" w:eastAsia="仿宋_GB2312"/>
                      <w:sz w:val="22"/>
                    </w:rPr>
                    <w:t>“</w:t>
                  </w:r>
                  <w:r>
                    <w:rPr>
                      <w:rFonts w:ascii="仿宋_GB2312" w:hAnsi="仿宋_GB2312" w:cs="仿宋_GB2312" w:eastAsia="仿宋_GB2312"/>
                      <w:sz w:val="22"/>
                    </w:rPr>
                    <w:t>批准总面积</w:t>
                  </w:r>
                  <w:r>
                    <w:rPr>
                      <w:rFonts w:ascii="仿宋_GB2312" w:hAnsi="仿宋_GB2312" w:cs="仿宋_GB2312" w:eastAsia="仿宋_GB2312"/>
                      <w:sz w:val="22"/>
                    </w:rPr>
                    <w:t>”</w:t>
                  </w:r>
                  <w:r>
                    <w:rPr>
                      <w:rFonts w:ascii="仿宋_GB2312" w:hAnsi="仿宋_GB2312" w:cs="仿宋_GB2312" w:eastAsia="仿宋_GB2312"/>
                      <w:sz w:val="22"/>
                    </w:rPr>
                    <w:t>。</w:t>
                  </w:r>
                </w:p>
              </w:tc>
            </w:tr>
            <w:tr>
              <w:tc>
                <w:tcPr>
                  <w:tcW w:type="dxa" w:w="252"/>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“不具备供应可能面积”应</w:t>
                  </w:r>
                  <w:r>
                    <w:rPr>
                      <w:rFonts w:ascii="仿宋_GB2312" w:hAnsi="仿宋_GB2312" w:cs="仿宋_GB2312" w:eastAsia="仿宋_GB2312"/>
                      <w:sz w:val="22"/>
                    </w:rPr>
                    <w:t>大于等于</w:t>
                  </w:r>
                  <w:r>
                    <w:rPr>
                      <w:rFonts w:ascii="仿宋_GB2312" w:hAnsi="仿宋_GB2312" w:cs="仿宋_GB2312" w:eastAsia="仿宋_GB2312"/>
                      <w:sz w:val="22"/>
                    </w:rPr>
                    <w:t>200</w:t>
                  </w:r>
                  <w:r>
                    <w:rPr>
                      <w:rFonts w:ascii="仿宋_GB2312" w:hAnsi="仿宋_GB2312" w:cs="仿宋_GB2312" w:eastAsia="仿宋_GB2312"/>
                      <w:sz w:val="22"/>
                    </w:rPr>
                    <w:t>平方米。</w:t>
                  </w:r>
                </w:p>
              </w:tc>
            </w:tr>
            <w:tr>
              <w:tc>
                <w:tcPr>
                  <w:tcW w:type="dxa" w:w="252"/>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填报面积字段不超过</w:t>
                  </w:r>
                  <w:r>
                    <w:rPr>
                      <w:rFonts w:ascii="仿宋_GB2312" w:hAnsi="仿宋_GB2312" w:cs="仿宋_GB2312" w:eastAsia="仿宋_GB2312"/>
                      <w:sz w:val="22"/>
                    </w:rPr>
                    <w:t>4</w:t>
                  </w:r>
                  <w:r>
                    <w:rPr>
                      <w:rFonts w:ascii="仿宋_GB2312" w:hAnsi="仿宋_GB2312" w:cs="仿宋_GB2312" w:eastAsia="仿宋_GB2312"/>
                      <w:sz w:val="22"/>
                    </w:rPr>
                    <w:t>位小数。</w:t>
                  </w:r>
                </w:p>
              </w:tc>
            </w:tr>
            <w:tr>
              <w:tc>
                <w:tcPr>
                  <w:tcW w:type="dxa" w:w="252"/>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“分类清理认定类型”不能</w:t>
                  </w:r>
                  <w:r>
                    <w:rPr>
                      <w:rFonts w:ascii="仿宋_GB2312" w:hAnsi="仿宋_GB2312" w:cs="仿宋_GB2312" w:eastAsia="仿宋_GB2312"/>
                      <w:sz w:val="22"/>
                    </w:rPr>
                    <w:t>为空，且必须与认定分类代码表的分类名</w:t>
                  </w:r>
                  <w:r>
                    <w:rPr>
                      <w:rFonts w:ascii="仿宋_GB2312" w:hAnsi="仿宋_GB2312" w:cs="仿宋_GB2312" w:eastAsia="仿宋_GB2312"/>
                      <w:sz w:val="22"/>
                    </w:rPr>
                    <w:t>称一致。</w:t>
                  </w:r>
                </w:p>
              </w:tc>
            </w:tr>
            <w:tr>
              <w:tc>
                <w:tcPr>
                  <w:tcW w:type="dxa" w:w="252"/>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表</w:t>
                  </w:r>
                  <w:r>
                    <w:rPr>
                      <w:rFonts w:ascii="仿宋_GB2312" w:hAnsi="仿宋_GB2312" w:cs="仿宋_GB2312" w:eastAsia="仿宋_GB2312"/>
                      <w:sz w:val="22"/>
                    </w:rPr>
                    <w:t>2</w:t>
                  </w:r>
                  <w:r>
                    <w:rPr>
                      <w:rFonts w:ascii="仿宋_GB2312" w:hAnsi="仿宋_GB2312" w:cs="仿宋_GB2312" w:eastAsia="仿宋_GB2312"/>
                      <w:sz w:val="22"/>
                    </w:rPr>
                    <w:t>、表</w:t>
                  </w:r>
                  <w:r>
                    <w:rPr>
                      <w:rFonts w:ascii="仿宋_GB2312" w:hAnsi="仿宋_GB2312" w:cs="仿宋_GB2312" w:eastAsia="仿宋_GB2312"/>
                      <w:sz w:val="22"/>
                    </w:rPr>
                    <w:t>3</w:t>
                  </w:r>
                  <w:r>
                    <w:rPr>
                      <w:rFonts w:ascii="仿宋_GB2312" w:hAnsi="仿宋_GB2312" w:cs="仿宋_GB2312" w:eastAsia="仿宋_GB2312"/>
                      <w:sz w:val="22"/>
                    </w:rPr>
                    <w:t>、表</w:t>
                  </w:r>
                  <w:r>
                    <w:rPr>
                      <w:rFonts w:ascii="仿宋_GB2312" w:hAnsi="仿宋_GB2312" w:cs="仿宋_GB2312" w:eastAsia="仿宋_GB2312"/>
                      <w:sz w:val="22"/>
                    </w:rPr>
                    <w:t>4</w:t>
                  </w:r>
                  <w:r>
                    <w:rPr>
                      <w:rFonts w:ascii="仿宋_GB2312" w:hAnsi="仿宋_GB2312" w:cs="仿宋_GB2312" w:eastAsia="仿宋_GB2312"/>
                      <w:sz w:val="22"/>
                    </w:rPr>
                    <w:t>、表</w:t>
                  </w:r>
                  <w:r>
                    <w:rPr>
                      <w:rFonts w:ascii="仿宋_GB2312" w:hAnsi="仿宋_GB2312" w:cs="仿宋_GB2312" w:eastAsia="仿宋_GB2312"/>
                      <w:sz w:val="22"/>
                    </w:rPr>
                    <w:t>5</w:t>
                  </w:r>
                  <w:r>
                    <w:rPr>
                      <w:rFonts w:ascii="仿宋_GB2312" w:hAnsi="仿宋_GB2312" w:cs="仿宋_GB2312" w:eastAsia="仿宋_GB2312"/>
                      <w:sz w:val="22"/>
                    </w:rPr>
                    <w:t>中除非必填字段外，其余字段内容</w:t>
                  </w:r>
                  <w:r>
                    <w:rPr>
                      <w:rFonts w:ascii="仿宋_GB2312" w:hAnsi="仿宋_GB2312" w:cs="仿宋_GB2312" w:eastAsia="仿宋_GB2312"/>
                      <w:sz w:val="22"/>
                    </w:rPr>
                    <w:t>均不能为空。</w:t>
                  </w:r>
                </w:p>
              </w:tc>
            </w:tr>
            <w:tr>
              <w:tc>
                <w:tcPr>
                  <w:tcW w:type="dxa" w:w="252"/>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表</w:t>
                  </w:r>
                  <w:r>
                    <w:rPr>
                      <w:rFonts w:ascii="仿宋_GB2312" w:hAnsi="仿宋_GB2312" w:cs="仿宋_GB2312" w:eastAsia="仿宋_GB2312"/>
                      <w:sz w:val="22"/>
                    </w:rPr>
                    <w:t>4</w:t>
                  </w:r>
                  <w:r>
                    <w:rPr>
                      <w:rFonts w:ascii="仿宋_GB2312" w:hAnsi="仿宋_GB2312" w:cs="仿宋_GB2312" w:eastAsia="仿宋_GB2312"/>
                      <w:sz w:val="22"/>
                    </w:rPr>
                    <w:t>中</w:t>
                  </w:r>
                  <w:r>
                    <w:rPr>
                      <w:rFonts w:ascii="仿宋_GB2312" w:hAnsi="仿宋_GB2312" w:cs="仿宋_GB2312" w:eastAsia="仿宋_GB2312"/>
                      <w:sz w:val="22"/>
                    </w:rPr>
                    <w:t>“分类清理认定类型”为“</w:t>
                  </w:r>
                  <w:r>
                    <w:rPr>
                      <w:rFonts w:ascii="仿宋_GB2312" w:hAnsi="仿宋_GB2312" w:cs="仿宋_GB2312" w:eastAsia="仿宋_GB2312"/>
                      <w:sz w:val="22"/>
                    </w:rPr>
                    <w:t>0302</w:t>
                  </w:r>
                  <w:r>
                    <w:rPr>
                      <w:rFonts w:ascii="仿宋_GB2312" w:hAnsi="仿宋_GB2312" w:cs="仿宋_GB2312" w:eastAsia="仿宋_GB2312"/>
                      <w:sz w:val="22"/>
                    </w:rPr>
                    <w:t>”的，“非建设用地使用类型”不能</w:t>
                  </w:r>
                  <w:r>
                    <w:rPr>
                      <w:rFonts w:ascii="仿宋_GB2312" w:hAnsi="仿宋_GB2312" w:cs="仿宋_GB2312" w:eastAsia="仿宋_GB2312"/>
                      <w:sz w:val="22"/>
                    </w:rPr>
                    <w:t>为空。</w:t>
                  </w:r>
                </w:p>
              </w:tc>
            </w:tr>
            <w:tr>
              <w:tc>
                <w:tcPr>
                  <w:tcW w:type="dxa" w:w="252"/>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表</w:t>
                  </w:r>
                  <w:r>
                    <w:rPr>
                      <w:rFonts w:ascii="仿宋_GB2312" w:hAnsi="仿宋_GB2312" w:cs="仿宋_GB2312" w:eastAsia="仿宋_GB2312"/>
                      <w:sz w:val="22"/>
                    </w:rPr>
                    <w:t>4</w:t>
                  </w:r>
                  <w:r>
                    <w:rPr>
                      <w:rFonts w:ascii="仿宋_GB2312" w:hAnsi="仿宋_GB2312" w:cs="仿宋_GB2312" w:eastAsia="仿宋_GB2312"/>
                      <w:sz w:val="22"/>
                    </w:rPr>
                    <w:t>、表</w:t>
                  </w:r>
                  <w:r>
                    <w:rPr>
                      <w:rFonts w:ascii="仿宋_GB2312" w:hAnsi="仿宋_GB2312" w:cs="仿宋_GB2312" w:eastAsia="仿宋_GB2312"/>
                      <w:sz w:val="22"/>
                    </w:rPr>
                    <w:t>5</w:t>
                  </w:r>
                  <w:r>
                    <w:rPr>
                      <w:rFonts w:ascii="仿宋_GB2312" w:hAnsi="仿宋_GB2312" w:cs="仿宋_GB2312" w:eastAsia="仿宋_GB2312"/>
                      <w:sz w:val="22"/>
                    </w:rPr>
                    <w:t>中</w:t>
                  </w:r>
                  <w:r>
                    <w:rPr>
                      <w:rFonts w:ascii="仿宋_GB2312" w:hAnsi="仿宋_GB2312" w:cs="仿宋_GB2312" w:eastAsia="仿宋_GB2312"/>
                      <w:sz w:val="22"/>
                    </w:rPr>
                    <w:t>“不具备供应可能面积”与套合国土变更调查</w:t>
                  </w:r>
                  <w:r>
                    <w:rPr>
                      <w:rFonts w:ascii="仿宋_GB2312" w:hAnsi="仿宋_GB2312" w:cs="仿宋_GB2312" w:eastAsia="仿宋_GB2312"/>
                      <w:sz w:val="22"/>
                    </w:rPr>
                    <w:t>（</w:t>
                  </w:r>
                  <w:r>
                    <w:rPr>
                      <w:rFonts w:ascii="仿宋_GB2312" w:hAnsi="仿宋_GB2312" w:cs="仿宋_GB2312" w:eastAsia="仿宋_GB2312"/>
                      <w:sz w:val="22"/>
                    </w:rPr>
                    <w:t>2023</w:t>
                  </w:r>
                  <w:r>
                    <w:rPr>
                      <w:rFonts w:ascii="仿宋_GB2312" w:hAnsi="仿宋_GB2312" w:cs="仿宋_GB2312" w:eastAsia="仿宋_GB2312"/>
                    </w:rPr>
                    <w:t xml:space="preserve"> </w:t>
                  </w:r>
                  <w:r>
                    <w:rPr>
                      <w:rFonts w:ascii="仿宋_GB2312" w:hAnsi="仿宋_GB2312" w:cs="仿宋_GB2312" w:eastAsia="仿宋_GB2312"/>
                      <w:sz w:val="22"/>
                    </w:rPr>
                    <w:t>版</w:t>
                  </w:r>
                  <w:r>
                    <w:rPr>
                      <w:rFonts w:ascii="仿宋_GB2312" w:hAnsi="仿宋_GB2312" w:cs="仿宋_GB2312" w:eastAsia="仿宋_GB2312"/>
                      <w:sz w:val="22"/>
                    </w:rPr>
                    <w:t>）</w:t>
                  </w:r>
                  <w:r>
                    <w:rPr>
                      <w:rFonts w:ascii="仿宋_GB2312" w:hAnsi="仿宋_GB2312" w:cs="仿宋_GB2312" w:eastAsia="仿宋_GB2312"/>
                      <w:sz w:val="22"/>
                    </w:rPr>
                    <w:t>的</w:t>
                  </w:r>
                  <w:r>
                    <w:rPr>
                      <w:rFonts w:ascii="仿宋_GB2312" w:hAnsi="仿宋_GB2312" w:cs="仿宋_GB2312" w:eastAsia="仿宋_GB2312"/>
                      <w:sz w:val="22"/>
                    </w:rPr>
                    <w:t>“建设用地面积”、“农用地面积”、“未利用地面积”之</w:t>
                  </w:r>
                  <w:r>
                    <w:rPr>
                      <w:rFonts w:ascii="仿宋_GB2312" w:hAnsi="仿宋_GB2312" w:cs="仿宋_GB2312" w:eastAsia="仿宋_GB2312"/>
                      <w:sz w:val="22"/>
                    </w:rPr>
                    <w:t>和差异在</w:t>
                  </w:r>
                  <w:r>
                    <w:rPr>
                      <w:rFonts w:ascii="仿宋_GB2312" w:hAnsi="仿宋_GB2312" w:cs="仿宋_GB2312" w:eastAsia="仿宋_GB2312"/>
                      <w:sz w:val="22"/>
                    </w:rPr>
                    <w:t>2‰</w:t>
                  </w:r>
                  <w:r>
                    <w:rPr>
                      <w:rFonts w:ascii="仿宋_GB2312" w:hAnsi="仿宋_GB2312" w:cs="仿宋_GB2312" w:eastAsia="仿宋_GB2312"/>
                      <w:sz w:val="22"/>
                    </w:rPr>
                    <w:t>以内，或面积差异在</w:t>
                  </w:r>
                  <w:r>
                    <w:rPr>
                      <w:rFonts w:ascii="仿宋_GB2312" w:hAnsi="仿宋_GB2312" w:cs="仿宋_GB2312" w:eastAsia="仿宋_GB2312"/>
                      <w:sz w:val="22"/>
                    </w:rPr>
                    <w:t>200</w:t>
                  </w:r>
                  <w:r>
                    <w:rPr>
                      <w:rFonts w:ascii="仿宋_GB2312" w:hAnsi="仿宋_GB2312" w:cs="仿宋_GB2312" w:eastAsia="仿宋_GB2312"/>
                      <w:sz w:val="22"/>
                    </w:rPr>
                    <w:t>平方米以内。</w:t>
                  </w:r>
                </w:p>
              </w:tc>
            </w:tr>
            <w:tr>
              <w:tc>
                <w:tcPr>
                  <w:tcW w:type="dxa" w:w="25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rPr>
                    <w:t>图形</w:t>
                  </w:r>
                </w:p>
                <w:p>
                  <w:pPr>
                    <w:pStyle w:val="null3"/>
                    <w:jc w:val="center"/>
                  </w:pPr>
                  <w:r>
                    <w:rPr>
                      <w:rFonts w:ascii="仿宋_GB2312" w:hAnsi="仿宋_GB2312" w:cs="仿宋_GB2312" w:eastAsia="仿宋_GB2312"/>
                      <w:sz w:val="22"/>
                    </w:rPr>
                    <w:t>矢量</w:t>
                  </w:r>
                </w:p>
                <w:p>
                  <w:pPr>
                    <w:pStyle w:val="null3"/>
                    <w:jc w:val="center"/>
                  </w:pPr>
                  <w:r>
                    <w:rPr>
                      <w:rFonts w:ascii="仿宋_GB2312" w:hAnsi="仿宋_GB2312" w:cs="仿宋_GB2312" w:eastAsia="仿宋_GB2312"/>
                      <w:sz w:val="22"/>
                    </w:rPr>
                    <w:t>数据</w:t>
                  </w:r>
                </w:p>
              </w:tc>
              <w:tc>
                <w:tcPr>
                  <w:tcW w:type="dxa" w:w="2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图形矢量数据采用</w:t>
                  </w:r>
                  <w:r>
                    <w:rPr>
                      <w:rFonts w:ascii="仿宋_GB2312" w:hAnsi="仿宋_GB2312" w:cs="仿宋_GB2312" w:eastAsia="仿宋_GB2312"/>
                      <w:sz w:val="22"/>
                    </w:rPr>
                    <w:t>2000</w:t>
                  </w:r>
                  <w:r>
                    <w:rPr>
                      <w:rFonts w:ascii="仿宋_GB2312" w:hAnsi="仿宋_GB2312" w:cs="仿宋_GB2312" w:eastAsia="仿宋_GB2312"/>
                      <w:sz w:val="22"/>
                    </w:rPr>
                    <w:t>国家大地坐标系。</w:t>
                  </w:r>
                </w:p>
              </w:tc>
            </w:tr>
            <w:tr>
              <w:tc>
                <w:tcPr>
                  <w:tcW w:type="dxa" w:w="252"/>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不存在图形拓扑错误。</w:t>
                  </w:r>
                </w:p>
              </w:tc>
            </w:tr>
            <w:tr>
              <w:tc>
                <w:tcPr>
                  <w:tcW w:type="dxa" w:w="252"/>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符合图形上图要求，且不存在自相交和悬挂节点。</w:t>
                  </w:r>
                </w:p>
              </w:tc>
            </w:tr>
            <w:tr>
              <w:tc>
                <w:tcPr>
                  <w:tcW w:type="dxa" w:w="252"/>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图形之间不重叠，单一图斑量算面积不小于</w:t>
                  </w:r>
                  <w:r>
                    <w:rPr>
                      <w:rFonts w:ascii="仿宋_GB2312" w:hAnsi="仿宋_GB2312" w:cs="仿宋_GB2312" w:eastAsia="仿宋_GB2312"/>
                      <w:sz w:val="22"/>
                    </w:rPr>
                    <w:t>200</w:t>
                  </w:r>
                  <w:r>
                    <w:rPr>
                      <w:rFonts w:ascii="仿宋_GB2312" w:hAnsi="仿宋_GB2312" w:cs="仿宋_GB2312" w:eastAsia="仿宋_GB2312"/>
                      <w:sz w:val="22"/>
                    </w:rPr>
                    <w:t>平方</w:t>
                  </w:r>
                  <w:r>
                    <w:rPr>
                      <w:rFonts w:ascii="仿宋_GB2312" w:hAnsi="仿宋_GB2312" w:cs="仿宋_GB2312" w:eastAsia="仿宋_GB2312"/>
                      <w:sz w:val="22"/>
                    </w:rPr>
                    <w:t>米。</w:t>
                  </w:r>
                </w:p>
              </w:tc>
            </w:tr>
            <w:tr>
              <w:tc>
                <w:tcPr>
                  <w:tcW w:type="dxa" w:w="252"/>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位于项目所在行政区划边界范围内。行政区</w:t>
                  </w:r>
                  <w:r>
                    <w:rPr>
                      <w:rFonts w:ascii="仿宋_GB2312" w:hAnsi="仿宋_GB2312" w:cs="仿宋_GB2312" w:eastAsia="仿宋_GB2312"/>
                      <w:sz w:val="22"/>
                    </w:rPr>
                    <w:t>划涉及调整的，在佐证材</w:t>
                  </w:r>
                  <w:r>
                    <w:rPr>
                      <w:rFonts w:ascii="仿宋_GB2312" w:hAnsi="仿宋_GB2312" w:cs="仿宋_GB2312" w:eastAsia="仿宋_GB2312"/>
                      <w:sz w:val="22"/>
                    </w:rPr>
                    <w:t>料中提供行政区代码变化说明和对照表</w:t>
                  </w:r>
                </w:p>
              </w:tc>
            </w:tr>
            <w:tr>
              <w:tc>
                <w:tcPr>
                  <w:tcW w:type="dxa" w:w="252"/>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图形属性字段完整，包含全部必填字段，无空值或非法字</w:t>
                  </w:r>
                  <w:r>
                    <w:rPr>
                      <w:rFonts w:ascii="仿宋_GB2312" w:hAnsi="仿宋_GB2312" w:cs="仿宋_GB2312" w:eastAsia="仿宋_GB2312"/>
                      <w:sz w:val="22"/>
                    </w:rPr>
                    <w:t>符。</w:t>
                  </w:r>
                </w:p>
              </w:tc>
            </w:tr>
            <w:tr>
              <w:tc>
                <w:tcPr>
                  <w:tcW w:type="dxa" w:w="252"/>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图斑唯一码</w:t>
                  </w:r>
                  <w:r>
                    <w:rPr>
                      <w:rFonts w:ascii="仿宋_GB2312" w:hAnsi="仿宋_GB2312" w:cs="仿宋_GB2312" w:eastAsia="仿宋_GB2312"/>
                    </w:rPr>
                    <w:t xml:space="preserve"> </w:t>
                  </w:r>
                  <w:r>
                    <w:rPr>
                      <w:rFonts w:ascii="仿宋_GB2312" w:hAnsi="仿宋_GB2312" w:cs="仿宋_GB2312" w:eastAsia="仿宋_GB2312"/>
                      <w:sz w:val="22"/>
                    </w:rPr>
                    <w:t>ID</w:t>
                  </w:r>
                  <w:r>
                    <w:rPr>
                      <w:rFonts w:ascii="仿宋_GB2312" w:hAnsi="仿宋_GB2312" w:cs="仿宋_GB2312" w:eastAsia="仿宋_GB2312"/>
                    </w:rPr>
                    <w:t xml:space="preserve"> </w:t>
                  </w:r>
                  <w:r>
                    <w:rPr>
                      <w:rFonts w:ascii="仿宋_GB2312" w:hAnsi="仿宋_GB2312" w:cs="仿宋_GB2312" w:eastAsia="仿宋_GB2312"/>
                      <w:sz w:val="22"/>
                    </w:rPr>
                    <w:t>与清理认定清单中对应项目的唯一码</w:t>
                  </w:r>
                  <w:r>
                    <w:rPr>
                      <w:rFonts w:ascii="仿宋_GB2312" w:hAnsi="仿宋_GB2312" w:cs="仿宋_GB2312" w:eastAsia="仿宋_GB2312"/>
                    </w:rPr>
                    <w:t xml:space="preserve"> </w:t>
                  </w:r>
                  <w:r>
                    <w:rPr>
                      <w:rFonts w:ascii="仿宋_GB2312" w:hAnsi="仿宋_GB2312" w:cs="仿宋_GB2312" w:eastAsia="仿宋_GB2312"/>
                      <w:sz w:val="22"/>
                    </w:rPr>
                    <w:t>ID</w:t>
                  </w:r>
                  <w:r>
                    <w:rPr>
                      <w:rFonts w:ascii="仿宋_GB2312" w:hAnsi="仿宋_GB2312" w:cs="仿宋_GB2312" w:eastAsia="仿宋_GB2312"/>
                    </w:rPr>
                    <w:t xml:space="preserve"> </w:t>
                  </w:r>
                  <w:r>
                    <w:rPr>
                      <w:rFonts w:ascii="仿宋_GB2312" w:hAnsi="仿宋_GB2312" w:cs="仿宋_GB2312" w:eastAsia="仿宋_GB2312"/>
                      <w:sz w:val="22"/>
                    </w:rPr>
                    <w:t>一致。</w:t>
                  </w:r>
                </w:p>
              </w:tc>
            </w:tr>
            <w:tr>
              <w:tc>
                <w:tcPr>
                  <w:tcW w:type="dxa" w:w="252"/>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清理认定面积与清理认定清单对应项目的认</w:t>
                  </w:r>
                  <w:r>
                    <w:rPr>
                      <w:rFonts w:ascii="仿宋_GB2312" w:hAnsi="仿宋_GB2312" w:cs="仿宋_GB2312" w:eastAsia="仿宋_GB2312"/>
                      <w:sz w:val="22"/>
                    </w:rPr>
                    <w:t>定面积一致，图斑量算面</w:t>
                  </w:r>
                  <w:r>
                    <w:rPr>
                      <w:rFonts w:ascii="仿宋_GB2312" w:hAnsi="仿宋_GB2312" w:cs="仿宋_GB2312" w:eastAsia="仿宋_GB2312"/>
                      <w:sz w:val="22"/>
                    </w:rPr>
                    <w:t>积与清理认定面积差异在</w:t>
                  </w:r>
                  <w:r>
                    <w:rPr>
                      <w:rFonts w:ascii="仿宋_GB2312" w:hAnsi="仿宋_GB2312" w:cs="仿宋_GB2312" w:eastAsia="仿宋_GB2312"/>
                      <w:sz w:val="22"/>
                    </w:rPr>
                    <w:t>2‰</w:t>
                  </w:r>
                  <w:r>
                    <w:rPr>
                      <w:rFonts w:ascii="仿宋_GB2312" w:hAnsi="仿宋_GB2312" w:cs="仿宋_GB2312" w:eastAsia="仿宋_GB2312"/>
                      <w:sz w:val="22"/>
                    </w:rPr>
                    <w:t>以内，或面积</w:t>
                  </w:r>
                  <w:r>
                    <w:rPr>
                      <w:rFonts w:ascii="仿宋_GB2312" w:hAnsi="仿宋_GB2312" w:cs="仿宋_GB2312" w:eastAsia="仿宋_GB2312"/>
                      <w:sz w:val="22"/>
                    </w:rPr>
                    <w:t>差异在</w:t>
                  </w:r>
                  <w:r>
                    <w:rPr>
                      <w:rFonts w:ascii="仿宋_GB2312" w:hAnsi="仿宋_GB2312" w:cs="仿宋_GB2312" w:eastAsia="仿宋_GB2312"/>
                      <w:sz w:val="22"/>
                    </w:rPr>
                    <w:t>200</w:t>
                  </w:r>
                  <w:r>
                    <w:rPr>
                      <w:rFonts w:ascii="仿宋_GB2312" w:hAnsi="仿宋_GB2312" w:cs="仿宋_GB2312" w:eastAsia="仿宋_GB2312"/>
                      <w:sz w:val="22"/>
                    </w:rPr>
                    <w:t>平方米以内。</w:t>
                  </w:r>
                </w:p>
              </w:tc>
            </w:tr>
            <w:tr>
              <w:tc>
                <w:tcPr>
                  <w:tcW w:type="dxa" w:w="252"/>
                  <w:vMerge/>
                  <w:tcBorders>
                    <w:top w:val="none" w:color="000000" w:sz="4"/>
                    <w:left w:val="single" w:color="000000" w:sz="4"/>
                    <w:bottom w:val="single" w:color="000000" w:sz="4"/>
                    <w:right w:val="single" w:color="000000" w:sz="4"/>
                  </w:tcBorders>
                </w:tcPr>
                <w:p/>
              </w:tc>
              <w:tc>
                <w:tcPr>
                  <w:tcW w:type="dxa" w:w="2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2"/>
                    </w:rPr>
                    <w:t>“分类清理认定类型”为“</w:t>
                  </w:r>
                  <w:r>
                    <w:rPr>
                      <w:rFonts w:ascii="仿宋_GB2312" w:hAnsi="仿宋_GB2312" w:cs="仿宋_GB2312" w:eastAsia="仿宋_GB2312"/>
                      <w:sz w:val="22"/>
                    </w:rPr>
                    <w:t>0201</w:t>
                  </w:r>
                  <w:r>
                    <w:rPr>
                      <w:rFonts w:ascii="仿宋_GB2312" w:hAnsi="仿宋_GB2312" w:cs="仿宋_GB2312" w:eastAsia="仿宋_GB2312"/>
                      <w:sz w:val="22"/>
                    </w:rPr>
                    <w:t>”、“</w:t>
                  </w:r>
                  <w:r>
                    <w:rPr>
                      <w:rFonts w:ascii="仿宋_GB2312" w:hAnsi="仿宋_GB2312" w:cs="仿宋_GB2312" w:eastAsia="仿宋_GB2312"/>
                      <w:sz w:val="22"/>
                    </w:rPr>
                    <w:t>0202</w:t>
                  </w:r>
                  <w:r>
                    <w:rPr>
                      <w:rFonts w:ascii="仿宋_GB2312" w:hAnsi="仿宋_GB2312" w:cs="仿宋_GB2312" w:eastAsia="仿宋_GB2312"/>
                      <w:sz w:val="22"/>
                    </w:rPr>
                    <w:t>”、“</w:t>
                  </w:r>
                  <w:r>
                    <w:rPr>
                      <w:rFonts w:ascii="仿宋_GB2312" w:hAnsi="仿宋_GB2312" w:cs="仿宋_GB2312" w:eastAsia="仿宋_GB2312"/>
                      <w:sz w:val="22"/>
                    </w:rPr>
                    <w:t>0203</w:t>
                  </w:r>
                  <w:r>
                    <w:rPr>
                      <w:rFonts w:ascii="仿宋_GB2312" w:hAnsi="仿宋_GB2312" w:cs="仿宋_GB2312" w:eastAsia="仿宋_GB2312"/>
                      <w:sz w:val="22"/>
                    </w:rPr>
                    <w:t>”的</w:t>
                  </w:r>
                  <w:r>
                    <w:rPr>
                      <w:rFonts w:ascii="仿宋_GB2312" w:hAnsi="仿宋_GB2312" w:cs="仿宋_GB2312" w:eastAsia="仿宋_GB2312"/>
                      <w:sz w:val="22"/>
                    </w:rPr>
                    <w:t>，清理</w:t>
                  </w:r>
                  <w:r>
                    <w:rPr>
                      <w:rFonts w:ascii="仿宋_GB2312" w:hAnsi="仿宋_GB2312" w:cs="仿宋_GB2312" w:eastAsia="仿宋_GB2312"/>
                      <w:sz w:val="22"/>
                    </w:rPr>
                    <w:t>认定面积与部系统相应叠加分析的量算面积的差异在</w:t>
                  </w:r>
                  <w:r>
                    <w:rPr>
                      <w:rFonts w:ascii="仿宋_GB2312" w:hAnsi="仿宋_GB2312" w:cs="仿宋_GB2312" w:eastAsia="仿宋_GB2312"/>
                      <w:sz w:val="22"/>
                    </w:rPr>
                    <w:t>2‰</w:t>
                  </w:r>
                  <w:r>
                    <w:rPr>
                      <w:rFonts w:ascii="仿宋_GB2312" w:hAnsi="仿宋_GB2312" w:cs="仿宋_GB2312" w:eastAsia="仿宋_GB2312"/>
                      <w:sz w:val="22"/>
                    </w:rPr>
                    <w:t>以内，或面</w:t>
                  </w:r>
                  <w:r>
                    <w:rPr>
                      <w:rFonts w:ascii="仿宋_GB2312" w:hAnsi="仿宋_GB2312" w:cs="仿宋_GB2312" w:eastAsia="仿宋_GB2312"/>
                      <w:sz w:val="22"/>
                    </w:rPr>
                    <w:t>积差异在</w:t>
                  </w:r>
                  <w:r>
                    <w:rPr>
                      <w:rFonts w:ascii="仿宋_GB2312" w:hAnsi="仿宋_GB2312" w:cs="仿宋_GB2312" w:eastAsia="仿宋_GB2312"/>
                      <w:sz w:val="22"/>
                    </w:rPr>
                    <w:t>200</w:t>
                  </w:r>
                  <w:r>
                    <w:rPr>
                      <w:rFonts w:ascii="仿宋_GB2312" w:hAnsi="仿宋_GB2312" w:cs="仿宋_GB2312" w:eastAsia="仿宋_GB2312"/>
                      <w:sz w:val="22"/>
                    </w:rPr>
                    <w:t>平方米以内。</w:t>
                  </w:r>
                </w:p>
              </w:tc>
            </w:tr>
          </w:tbl>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四</w:t>
            </w:r>
            <w:r>
              <w:rPr>
                <w:rFonts w:ascii="仿宋_GB2312" w:hAnsi="仿宋_GB2312" w:cs="仿宋_GB2312" w:eastAsia="仿宋_GB2312"/>
                <w:sz w:val="22"/>
              </w:rPr>
              <w:t>）</w:t>
            </w:r>
            <w:r>
              <w:rPr>
                <w:rFonts w:ascii="仿宋_GB2312" w:hAnsi="仿宋_GB2312" w:cs="仿宋_GB2312" w:eastAsia="仿宋_GB2312"/>
                <w:sz w:val="22"/>
              </w:rPr>
              <w:t>组卷报批质量核查</w:t>
            </w:r>
            <w:r>
              <w:rPr>
                <w:rFonts w:ascii="仿宋_GB2312" w:hAnsi="仿宋_GB2312" w:cs="仿宋_GB2312" w:eastAsia="仿宋_GB2312"/>
                <w:sz w:val="22"/>
              </w:rPr>
              <w:t>要求</w:t>
            </w:r>
          </w:p>
          <w:p>
            <w:pPr>
              <w:pStyle w:val="null3"/>
              <w:ind w:firstLine="440"/>
              <w:jc w:val="both"/>
            </w:pPr>
            <w:r>
              <w:rPr>
                <w:rFonts w:ascii="仿宋_GB2312" w:hAnsi="仿宋_GB2312" w:cs="仿宋_GB2312" w:eastAsia="仿宋_GB2312"/>
                <w:sz w:val="22"/>
              </w:rPr>
              <w:t>按照自然资源部建设用地审批</w:t>
            </w:r>
            <w:r>
              <w:rPr>
                <w:rFonts w:ascii="仿宋_GB2312" w:hAnsi="仿宋_GB2312" w:cs="仿宋_GB2312" w:eastAsia="仿宋_GB2312"/>
                <w:sz w:val="22"/>
              </w:rPr>
              <w:t>“</w:t>
            </w:r>
            <w:r>
              <w:rPr>
                <w:rFonts w:ascii="仿宋_GB2312" w:hAnsi="仿宋_GB2312" w:cs="仿宋_GB2312" w:eastAsia="仿宋_GB2312"/>
                <w:sz w:val="22"/>
              </w:rPr>
              <w:t>双随机、一公开</w:t>
            </w:r>
            <w:r>
              <w:rPr>
                <w:rFonts w:ascii="仿宋_GB2312" w:hAnsi="仿宋_GB2312" w:cs="仿宋_GB2312" w:eastAsia="仿宋_GB2312"/>
                <w:sz w:val="22"/>
              </w:rPr>
              <w:t>”</w:t>
            </w:r>
            <w:r>
              <w:rPr>
                <w:rFonts w:ascii="仿宋_GB2312" w:hAnsi="仿宋_GB2312" w:cs="仿宋_GB2312" w:eastAsia="仿宋_GB2312"/>
                <w:sz w:val="22"/>
              </w:rPr>
              <w:t>抽查工作细则的</w:t>
            </w:r>
            <w:r>
              <w:rPr>
                <w:rFonts w:ascii="仿宋_GB2312" w:hAnsi="仿宋_GB2312" w:cs="仿宋_GB2312" w:eastAsia="仿宋_GB2312"/>
                <w:sz w:val="22"/>
              </w:rPr>
              <w:t>要求，</w:t>
            </w:r>
            <w:r>
              <w:rPr>
                <w:rFonts w:ascii="仿宋_GB2312" w:hAnsi="仿宋_GB2312" w:cs="仿宋_GB2312" w:eastAsia="仿宋_GB2312"/>
                <w:sz w:val="22"/>
              </w:rPr>
              <w:t>严格对照</w:t>
            </w:r>
            <w:r>
              <w:rPr>
                <w:rFonts w:ascii="仿宋_GB2312" w:hAnsi="仿宋_GB2312" w:cs="仿宋_GB2312" w:eastAsia="仿宋_GB2312"/>
                <w:sz w:val="22"/>
              </w:rPr>
              <w:t>陕西省建设项目用地预审、建设用地报批（城镇批次、单独选址）的</w:t>
            </w:r>
            <w:r>
              <w:rPr>
                <w:rFonts w:ascii="仿宋_GB2312" w:hAnsi="仿宋_GB2312" w:cs="仿宋_GB2312" w:eastAsia="仿宋_GB2312"/>
                <w:sz w:val="22"/>
              </w:rPr>
              <w:t>项目办理材料目录和格式要求</w:t>
            </w:r>
            <w:r>
              <w:rPr>
                <w:rFonts w:ascii="仿宋_GB2312" w:hAnsi="仿宋_GB2312" w:cs="仿宋_GB2312" w:eastAsia="仿宋_GB2312"/>
                <w:sz w:val="22"/>
              </w:rPr>
              <w:t>，进行质量核查</w:t>
            </w:r>
            <w:r>
              <w:rPr>
                <w:rFonts w:ascii="仿宋_GB2312" w:hAnsi="仿宋_GB2312" w:cs="仿宋_GB2312" w:eastAsia="仿宋_GB2312"/>
                <w:sz w:val="22"/>
              </w:rPr>
              <w:t>。</w:t>
            </w:r>
            <w:r>
              <w:rPr>
                <w:rFonts w:ascii="仿宋_GB2312" w:hAnsi="仿宋_GB2312" w:cs="仿宋_GB2312" w:eastAsia="仿宋_GB2312"/>
                <w:sz w:val="22"/>
              </w:rPr>
              <w:t>核查的主要内容包括：</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）核查组卷报批资料基本情况</w:t>
            </w:r>
          </w:p>
          <w:p>
            <w:pPr>
              <w:pStyle w:val="null3"/>
              <w:ind w:firstLine="440"/>
              <w:jc w:val="both"/>
            </w:pPr>
            <w:r>
              <w:rPr>
                <w:rFonts w:ascii="仿宋_GB2312" w:hAnsi="仿宋_GB2312" w:cs="仿宋_GB2312" w:eastAsia="仿宋_GB2312"/>
                <w:sz w:val="22"/>
              </w:rPr>
              <w:t>根据项目用地预审与可研核准合规性原则，检查用地预审批准文件完整性，检查用地预审时间，批复可研报告时间和核准项目时间逻辑性，核实批复可研报告和核准项目是否在用地预审有效期内。</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）核查用地地类情况</w:t>
            </w:r>
          </w:p>
          <w:p>
            <w:pPr>
              <w:pStyle w:val="null3"/>
              <w:ind w:firstLine="440"/>
              <w:jc w:val="both"/>
            </w:pPr>
            <w:r>
              <w:rPr>
                <w:rFonts w:ascii="仿宋_GB2312" w:hAnsi="仿宋_GB2312" w:cs="仿宋_GB2312" w:eastAsia="仿宋_GB2312"/>
                <w:sz w:val="22"/>
              </w:rPr>
              <w:t>按照《自然资源部</w:t>
            </w:r>
            <w:r>
              <w:rPr>
                <w:rFonts w:ascii="仿宋_GB2312" w:hAnsi="仿宋_GB2312" w:cs="仿宋_GB2312" w:eastAsia="仿宋_GB2312"/>
                <w:sz w:val="22"/>
              </w:rPr>
              <w:t>国家林业和草原局关于进一步做好自然资源要素保障的通知》（自然资</w:t>
            </w:r>
            <w:r>
              <w:rPr>
                <w:rFonts w:ascii="仿宋_GB2312" w:hAnsi="仿宋_GB2312" w:cs="仿宋_GB2312" w:eastAsia="仿宋_GB2312"/>
                <w:sz w:val="22"/>
              </w:rPr>
              <w:t>发</w:t>
            </w:r>
            <w:r>
              <w:rPr>
                <w:rFonts w:ascii="仿宋_GB2312" w:hAnsi="仿宋_GB2312" w:cs="仿宋_GB2312" w:eastAsia="仿宋_GB2312"/>
                <w:sz w:val="22"/>
              </w:rPr>
              <w:t>〔</w:t>
            </w:r>
            <w:r>
              <w:rPr>
                <w:rFonts w:ascii="仿宋_GB2312" w:hAnsi="仿宋_GB2312" w:cs="仿宋_GB2312" w:eastAsia="仿宋_GB2312"/>
                <w:sz w:val="22"/>
              </w:rPr>
              <w:t>202</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38</w:t>
            </w:r>
            <w:r>
              <w:rPr>
                <w:rFonts w:ascii="仿宋_GB2312" w:hAnsi="仿宋_GB2312" w:cs="仿宋_GB2312" w:eastAsia="仿宋_GB2312"/>
                <w:sz w:val="22"/>
              </w:rPr>
              <w:t>号）等规定，套合项目用地坐标与部管理数据库，审查报告或有关地类情况说明材料中的申请用地现状部分项目用地总面积、农用地、耕地、建设用地、未利用地面积。核查是否对申请用地相关地类进行了追溯和说明，并得出实际申请地类情况。</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）核查符合国土空间规划管控要求情况</w:t>
            </w:r>
          </w:p>
          <w:p>
            <w:pPr>
              <w:pStyle w:val="null3"/>
              <w:ind w:firstLine="440"/>
              <w:jc w:val="both"/>
            </w:pPr>
            <w:r>
              <w:rPr>
                <w:rFonts w:ascii="仿宋_GB2312" w:hAnsi="仿宋_GB2312" w:cs="仿宋_GB2312" w:eastAsia="仿宋_GB2312"/>
                <w:sz w:val="22"/>
              </w:rPr>
              <w:t>对各个项目进行数据库套合，核实占用永久基本农田、城镇开发边界、生态保护红线情况，检查批次用地与成片开发地块的对应合规性；审核项目是否符合国土空间总体规划、专项规划及国民经济和社会发展规划，核对相关材料真实性、完整性。</w:t>
            </w:r>
          </w:p>
          <w:p>
            <w:pPr>
              <w:pStyle w:val="null3"/>
              <w:ind w:firstLine="440"/>
              <w:jc w:val="both"/>
            </w:pPr>
            <w:r>
              <w:rPr>
                <w:rFonts w:ascii="仿宋_GB2312" w:hAnsi="仿宋_GB2312" w:cs="仿宋_GB2312" w:eastAsia="仿宋_GB2312"/>
                <w:sz w:val="22"/>
              </w:rPr>
              <w:t>对照自然资发〔</w:t>
            </w:r>
            <w:r>
              <w:rPr>
                <w:rFonts w:ascii="仿宋_GB2312" w:hAnsi="仿宋_GB2312" w:cs="仿宋_GB2312" w:eastAsia="仿宋_GB2312"/>
                <w:sz w:val="22"/>
              </w:rPr>
              <w:t>2023</w:t>
            </w:r>
            <w:r>
              <w:rPr>
                <w:rFonts w:ascii="仿宋_GB2312" w:hAnsi="仿宋_GB2312" w:cs="仿宋_GB2312" w:eastAsia="仿宋_GB2312"/>
                <w:sz w:val="22"/>
              </w:rPr>
              <w:t>〕</w:t>
            </w:r>
            <w:r>
              <w:rPr>
                <w:rFonts w:ascii="仿宋_GB2312" w:hAnsi="仿宋_GB2312" w:cs="仿宋_GB2312" w:eastAsia="仿宋_GB2312"/>
                <w:sz w:val="22"/>
              </w:rPr>
              <w:t>89</w:t>
            </w:r>
            <w:r>
              <w:rPr>
                <w:rFonts w:ascii="仿宋_GB2312" w:hAnsi="仿宋_GB2312" w:cs="仿宋_GB2312" w:eastAsia="仿宋_GB2312"/>
                <w:sz w:val="22"/>
              </w:rPr>
              <w:t>号、自然资办发〔</w:t>
            </w:r>
            <w:r>
              <w:rPr>
                <w:rFonts w:ascii="仿宋_GB2312" w:hAnsi="仿宋_GB2312" w:cs="仿宋_GB2312" w:eastAsia="仿宋_GB2312"/>
                <w:sz w:val="22"/>
              </w:rPr>
              <w:t>2024</w:t>
            </w:r>
            <w:r>
              <w:rPr>
                <w:rFonts w:ascii="仿宋_GB2312" w:hAnsi="仿宋_GB2312" w:cs="仿宋_GB2312" w:eastAsia="仿宋_GB2312"/>
                <w:sz w:val="22"/>
              </w:rPr>
              <w:t>〕</w:t>
            </w:r>
            <w:r>
              <w:rPr>
                <w:rFonts w:ascii="仿宋_GB2312" w:hAnsi="仿宋_GB2312" w:cs="仿宋_GB2312" w:eastAsia="仿宋_GB2312"/>
                <w:sz w:val="22"/>
              </w:rPr>
              <w:t>21</w:t>
            </w:r>
            <w:r>
              <w:rPr>
                <w:rFonts w:ascii="仿宋_GB2312" w:hAnsi="仿宋_GB2312" w:cs="仿宋_GB2312" w:eastAsia="仿宋_GB2312"/>
                <w:sz w:val="22"/>
              </w:rPr>
              <w:t>号文件，审核规划报批依据合规性</w:t>
            </w:r>
            <w:r>
              <w:rPr>
                <w:rFonts w:ascii="仿宋_GB2312" w:hAnsi="仿宋_GB2312" w:cs="仿宋_GB2312" w:eastAsia="仿宋_GB2312"/>
                <w:sz w:val="22"/>
              </w:rPr>
              <w:t>；按自然资发〔</w:t>
            </w:r>
            <w:r>
              <w:rPr>
                <w:rFonts w:ascii="仿宋_GB2312" w:hAnsi="仿宋_GB2312" w:cs="仿宋_GB2312" w:eastAsia="仿宋_GB2312"/>
                <w:sz w:val="22"/>
              </w:rPr>
              <w:t>2022</w:t>
            </w:r>
            <w:r>
              <w:rPr>
                <w:rFonts w:ascii="仿宋_GB2312" w:hAnsi="仿宋_GB2312" w:cs="仿宋_GB2312" w:eastAsia="仿宋_GB2312"/>
                <w:sz w:val="22"/>
              </w:rPr>
              <w:t>〕</w:t>
            </w:r>
            <w:r>
              <w:rPr>
                <w:rFonts w:ascii="仿宋_GB2312" w:hAnsi="仿宋_GB2312" w:cs="仿宋_GB2312" w:eastAsia="仿宋_GB2312"/>
                <w:sz w:val="22"/>
              </w:rPr>
              <w:t>142</w:t>
            </w:r>
            <w:r>
              <w:rPr>
                <w:rFonts w:ascii="仿宋_GB2312" w:hAnsi="仿宋_GB2312" w:cs="仿宋_GB2312" w:eastAsia="仿宋_GB2312"/>
                <w:sz w:val="22"/>
              </w:rPr>
              <w:t>号</w:t>
            </w:r>
            <w:r>
              <w:rPr>
                <w:rFonts w:ascii="仿宋_GB2312" w:hAnsi="仿宋_GB2312" w:cs="仿宋_GB2312" w:eastAsia="仿宋_GB2312"/>
                <w:sz w:val="22"/>
              </w:rPr>
              <w:t>文件审核生态保护红线相关合规性，核查相关认定、论证意见；审核自然保护区占用情况，严格把控林草主管部门同意意见相关要求。全程查阅资料，确保审核精准合规。</w:t>
            </w:r>
          </w:p>
          <w:p>
            <w:pPr>
              <w:pStyle w:val="null3"/>
              <w:ind w:firstLine="440"/>
              <w:jc w:val="both"/>
            </w:pPr>
            <w:r>
              <w:rPr>
                <w:rFonts w:ascii="仿宋_GB2312" w:hAnsi="仿宋_GB2312" w:cs="仿宋_GB2312" w:eastAsia="仿宋_GB2312"/>
                <w:sz w:val="22"/>
              </w:rPr>
              <w:t>4</w:t>
            </w:r>
            <w:r>
              <w:rPr>
                <w:rFonts w:ascii="仿宋_GB2312" w:hAnsi="仿宋_GB2312" w:cs="仿宋_GB2312" w:eastAsia="仿宋_GB2312"/>
                <w:sz w:val="22"/>
              </w:rPr>
              <w:t>）核查符合土地利用计划情况</w:t>
            </w:r>
          </w:p>
          <w:p>
            <w:pPr>
              <w:pStyle w:val="null3"/>
              <w:ind w:firstLine="440"/>
              <w:jc w:val="both"/>
            </w:pPr>
            <w:r>
              <w:rPr>
                <w:rFonts w:ascii="仿宋_GB2312" w:hAnsi="仿宋_GB2312" w:cs="仿宋_GB2312" w:eastAsia="仿宋_GB2312"/>
                <w:sz w:val="22"/>
              </w:rPr>
              <w:t>根据规定配置土地利用计划指标、土地利用计划管理规定，以及重大项目使用国家指标符合报备的相关要求，检查佐证材料，包括审查意见、审查专题会议纪要或会审意见截图。</w:t>
            </w:r>
          </w:p>
          <w:p>
            <w:pPr>
              <w:pStyle w:val="null3"/>
              <w:ind w:firstLine="440"/>
              <w:jc w:val="both"/>
            </w:pPr>
            <w:r>
              <w:rPr>
                <w:rFonts w:ascii="仿宋_GB2312" w:hAnsi="仿宋_GB2312" w:cs="仿宋_GB2312" w:eastAsia="仿宋_GB2312"/>
                <w:sz w:val="22"/>
              </w:rPr>
              <w:t>5</w:t>
            </w:r>
            <w:r>
              <w:rPr>
                <w:rFonts w:ascii="仿宋_GB2312" w:hAnsi="仿宋_GB2312" w:cs="仿宋_GB2312" w:eastAsia="仿宋_GB2312"/>
                <w:sz w:val="22"/>
              </w:rPr>
              <w:t>）核查耕地保护情况</w:t>
            </w:r>
          </w:p>
          <w:p>
            <w:pPr>
              <w:pStyle w:val="null3"/>
              <w:ind w:firstLine="440"/>
              <w:jc w:val="both"/>
            </w:pPr>
            <w:r>
              <w:rPr>
                <w:rFonts w:ascii="仿宋_GB2312" w:hAnsi="仿宋_GB2312" w:cs="仿宋_GB2312" w:eastAsia="仿宋_GB2312"/>
                <w:sz w:val="22"/>
              </w:rPr>
              <w:t>检查明确耕地占补平衡项目落实情况，核实未按规定在部耕地占补平衡动态监管系统中将依法批准占用的耕地、水田和标准粮食产能核销情况，检查按规定缴纳的耕地开垦费和补充耕地费用票据，确保占林草项目已取得相应的审批。</w:t>
            </w:r>
          </w:p>
          <w:p>
            <w:pPr>
              <w:pStyle w:val="null3"/>
              <w:ind w:firstLine="440"/>
              <w:jc w:val="both"/>
            </w:pPr>
            <w:r>
              <w:rPr>
                <w:rFonts w:ascii="仿宋_GB2312" w:hAnsi="仿宋_GB2312" w:cs="仿宋_GB2312" w:eastAsia="仿宋_GB2312"/>
                <w:sz w:val="22"/>
              </w:rPr>
              <w:t>6</w:t>
            </w:r>
            <w:r>
              <w:rPr>
                <w:rFonts w:ascii="仿宋_GB2312" w:hAnsi="仿宋_GB2312" w:cs="仿宋_GB2312" w:eastAsia="仿宋_GB2312"/>
                <w:sz w:val="22"/>
              </w:rPr>
              <w:t>）核查土地征收情况</w:t>
            </w:r>
          </w:p>
          <w:p>
            <w:pPr>
              <w:pStyle w:val="null3"/>
              <w:ind w:firstLine="440"/>
              <w:jc w:val="both"/>
            </w:pPr>
            <w:r>
              <w:rPr>
                <w:rFonts w:ascii="仿宋_GB2312" w:hAnsi="仿宋_GB2312" w:cs="仿宋_GB2312" w:eastAsia="仿宋_GB2312"/>
                <w:sz w:val="22"/>
              </w:rPr>
              <w:t>核查明确各项目土地征收履行情况，全面审查征地预公告、补偿安置方案公告时限长度等法定程序规范履行情况，逐项核实征地补偿费用足额拨付、及时兑付到位情况，以及被征地农民社会保障费用、参保登记等工作开展情况。</w:t>
            </w:r>
          </w:p>
          <w:p>
            <w:pPr>
              <w:pStyle w:val="null3"/>
              <w:ind w:firstLine="440"/>
              <w:jc w:val="both"/>
            </w:pPr>
            <w:r>
              <w:rPr>
                <w:rFonts w:ascii="仿宋_GB2312" w:hAnsi="仿宋_GB2312" w:cs="仿宋_GB2312" w:eastAsia="仿宋_GB2312"/>
                <w:sz w:val="22"/>
              </w:rPr>
              <w:t>对于成片开发报批用地，核实是否纳入经批准的成片开发方案范围，相应的成片开发方案（含调整后的方案）应在全国土地征收成片开发方案备案系统完成备案。</w:t>
            </w:r>
          </w:p>
          <w:p>
            <w:pPr>
              <w:pStyle w:val="null3"/>
              <w:ind w:firstLine="440"/>
              <w:jc w:val="both"/>
            </w:pPr>
            <w:r>
              <w:rPr>
                <w:rFonts w:ascii="仿宋_GB2312" w:hAnsi="仿宋_GB2312" w:cs="仿宋_GB2312" w:eastAsia="仿宋_GB2312"/>
                <w:sz w:val="22"/>
              </w:rPr>
              <w:t>7</w:t>
            </w:r>
            <w:r>
              <w:rPr>
                <w:rFonts w:ascii="仿宋_GB2312" w:hAnsi="仿宋_GB2312" w:cs="仿宋_GB2312" w:eastAsia="仿宋_GB2312"/>
                <w:sz w:val="22"/>
              </w:rPr>
              <w:t>）核查符合土地使用标准情况</w:t>
            </w:r>
          </w:p>
          <w:p>
            <w:pPr>
              <w:pStyle w:val="null3"/>
              <w:ind w:firstLine="440"/>
              <w:jc w:val="both"/>
            </w:pPr>
            <w:r>
              <w:rPr>
                <w:rFonts w:ascii="仿宋_GB2312" w:hAnsi="仿宋_GB2312" w:cs="仿宋_GB2312" w:eastAsia="仿宋_GB2312"/>
                <w:sz w:val="22"/>
              </w:rPr>
              <w:t>审核用地面积指标和功能分区是否符合土地使用标准等节约集约用地要求，检查无标准项目的节约集约用地审核意见，改扩建项目的总用地情况，原有用地情况和新增用地情况。</w:t>
            </w:r>
          </w:p>
          <w:p>
            <w:pPr>
              <w:pStyle w:val="null3"/>
              <w:ind w:firstLine="440"/>
              <w:jc w:val="both"/>
            </w:pPr>
            <w:r>
              <w:rPr>
                <w:rFonts w:ascii="仿宋_GB2312" w:hAnsi="仿宋_GB2312" w:cs="仿宋_GB2312" w:eastAsia="仿宋_GB2312"/>
                <w:sz w:val="22"/>
              </w:rPr>
              <w:t>8</w:t>
            </w:r>
            <w:r>
              <w:rPr>
                <w:rFonts w:ascii="仿宋_GB2312" w:hAnsi="仿宋_GB2312" w:cs="仿宋_GB2312" w:eastAsia="仿宋_GB2312"/>
                <w:sz w:val="22"/>
              </w:rPr>
              <w:t>）核查违法用地查处情况</w:t>
            </w:r>
          </w:p>
          <w:p>
            <w:pPr>
              <w:pStyle w:val="null3"/>
              <w:ind w:firstLine="440"/>
              <w:jc w:val="both"/>
            </w:pPr>
            <w:r>
              <w:rPr>
                <w:rFonts w:ascii="仿宋_GB2312" w:hAnsi="仿宋_GB2312" w:cs="仿宋_GB2312" w:eastAsia="仿宋_GB2312"/>
                <w:sz w:val="22"/>
              </w:rPr>
              <w:t>根据报件材料数据套合生态保护红线、占用自然保护区等矢量数据，核实是否按照自然资发〔</w:t>
            </w:r>
            <w:r>
              <w:rPr>
                <w:rFonts w:ascii="仿宋_GB2312" w:hAnsi="仿宋_GB2312" w:cs="仿宋_GB2312" w:eastAsia="仿宋_GB2312"/>
                <w:sz w:val="22"/>
              </w:rPr>
              <w:t>2022</w:t>
            </w:r>
            <w:r>
              <w:rPr>
                <w:rFonts w:ascii="仿宋_GB2312" w:hAnsi="仿宋_GB2312" w:cs="仿宋_GB2312" w:eastAsia="仿宋_GB2312"/>
                <w:sz w:val="22"/>
              </w:rPr>
              <w:t>〕</w:t>
            </w:r>
            <w:r>
              <w:rPr>
                <w:rFonts w:ascii="仿宋_GB2312" w:hAnsi="仿宋_GB2312" w:cs="仿宋_GB2312" w:eastAsia="仿宋_GB2312"/>
                <w:sz w:val="22"/>
              </w:rPr>
              <w:t>142</w:t>
            </w:r>
            <w:r>
              <w:rPr>
                <w:rFonts w:ascii="仿宋_GB2312" w:hAnsi="仿宋_GB2312" w:cs="仿宋_GB2312" w:eastAsia="仿宋_GB2312"/>
                <w:sz w:val="22"/>
              </w:rPr>
              <w:t>号最新政策要求执行，明确是否存在违法用地，以及已查处并落实到位情况。</w:t>
            </w:r>
          </w:p>
          <w:p>
            <w:pPr>
              <w:pStyle w:val="null3"/>
              <w:ind w:firstLine="440"/>
              <w:jc w:val="both"/>
            </w:pPr>
            <w:r>
              <w:rPr>
                <w:rFonts w:ascii="仿宋_GB2312" w:hAnsi="仿宋_GB2312" w:cs="仿宋_GB2312" w:eastAsia="仿宋_GB2312"/>
                <w:sz w:val="22"/>
              </w:rPr>
              <w:t>9</w:t>
            </w:r>
            <w:r>
              <w:rPr>
                <w:rFonts w:ascii="仿宋_GB2312" w:hAnsi="仿宋_GB2312" w:cs="仿宋_GB2312" w:eastAsia="仿宋_GB2312"/>
                <w:sz w:val="22"/>
              </w:rPr>
              <w:t>）核查审批效率情况</w:t>
            </w:r>
          </w:p>
          <w:p>
            <w:pPr>
              <w:pStyle w:val="null3"/>
              <w:ind w:firstLine="440"/>
              <w:jc w:val="both"/>
            </w:pPr>
            <w:r>
              <w:rPr>
                <w:rFonts w:ascii="仿宋_GB2312" w:hAnsi="仿宋_GB2312" w:cs="仿宋_GB2312" w:eastAsia="仿宋_GB2312"/>
                <w:sz w:val="22"/>
              </w:rPr>
              <w:t>随着</w:t>
            </w:r>
            <w:r>
              <w:rPr>
                <w:rFonts w:ascii="仿宋_GB2312" w:hAnsi="仿宋_GB2312" w:cs="仿宋_GB2312" w:eastAsia="仿宋_GB2312"/>
                <w:sz w:val="22"/>
              </w:rPr>
              <w:t>2025</w:t>
            </w:r>
            <w:r>
              <w:rPr>
                <w:rFonts w:ascii="仿宋_GB2312" w:hAnsi="仿宋_GB2312" w:cs="仿宋_GB2312" w:eastAsia="仿宋_GB2312"/>
                <w:sz w:val="22"/>
              </w:rPr>
              <w:t>年</w:t>
            </w:r>
            <w:r>
              <w:rPr>
                <w:rFonts w:ascii="仿宋_GB2312" w:hAnsi="仿宋_GB2312" w:cs="仿宋_GB2312" w:eastAsia="仿宋_GB2312"/>
                <w:sz w:val="22"/>
              </w:rPr>
              <w:t>3</w:t>
            </w:r>
            <w:r>
              <w:rPr>
                <w:rFonts w:ascii="仿宋_GB2312" w:hAnsi="仿宋_GB2312" w:cs="仿宋_GB2312" w:eastAsia="仿宋_GB2312"/>
                <w:sz w:val="22"/>
              </w:rPr>
              <w:t>月监管再升级，自然资源部对建设项目用地审批抽查提出了更全面、细致的要求。为此，基于陕西省国土空间用途管制监管平台，统计各项目组卷时间，与全国平均用时进行比较、分档赋分，</w:t>
            </w:r>
            <w:r>
              <w:rPr>
                <w:rFonts w:ascii="仿宋_GB2312" w:hAnsi="仿宋_GB2312" w:cs="仿宋_GB2312" w:eastAsia="仿宋_GB2312"/>
                <w:sz w:val="22"/>
              </w:rPr>
              <w:t>据此进行审批效率评分，以确保项目合规高效推进。</w:t>
            </w:r>
          </w:p>
          <w:p>
            <w:pPr>
              <w:pStyle w:val="null3"/>
              <w:jc w:val="both"/>
              <w:outlineLvl w:val="1"/>
            </w:pPr>
            <w:r>
              <w:rPr>
                <w:rFonts w:ascii="仿宋_GB2312" w:hAnsi="仿宋_GB2312" w:cs="仿宋_GB2312" w:eastAsia="仿宋_GB2312"/>
                <w:sz w:val="22"/>
                <w:b/>
              </w:rPr>
              <w:t>五、项目实施要求</w:t>
            </w:r>
          </w:p>
          <w:p>
            <w:pPr>
              <w:pStyle w:val="null3"/>
              <w:ind w:firstLine="440"/>
              <w:jc w:val="both"/>
            </w:pPr>
            <w:r>
              <w:rPr>
                <w:rFonts w:ascii="仿宋_GB2312" w:hAnsi="仿宋_GB2312" w:cs="仿宋_GB2312" w:eastAsia="仿宋_GB2312"/>
                <w:sz w:val="22"/>
              </w:rPr>
              <w:t>（一）工期要求</w:t>
            </w:r>
          </w:p>
          <w:p>
            <w:pPr>
              <w:pStyle w:val="null3"/>
              <w:ind w:firstLine="880"/>
              <w:jc w:val="both"/>
            </w:pPr>
            <w:r>
              <w:rPr>
                <w:rFonts w:ascii="仿宋_GB2312" w:hAnsi="仿宋_GB2312" w:cs="仿宋_GB2312" w:eastAsia="仿宋_GB2312"/>
                <w:sz w:val="22"/>
              </w:rPr>
              <w:t>要求中标单位</w:t>
            </w:r>
            <w:r>
              <w:rPr>
                <w:rFonts w:ascii="仿宋_GB2312" w:hAnsi="仿宋_GB2312" w:cs="仿宋_GB2312" w:eastAsia="仿宋_GB2312"/>
                <w:sz w:val="22"/>
              </w:rPr>
              <w:t>自合同签订之日起至</w:t>
            </w:r>
            <w:r>
              <w:rPr>
                <w:rFonts w:ascii="仿宋_GB2312" w:hAnsi="仿宋_GB2312" w:cs="仿宋_GB2312" w:eastAsia="仿宋_GB2312"/>
                <w:sz w:val="22"/>
              </w:rPr>
              <w:t>2026</w:t>
            </w:r>
            <w:r>
              <w:rPr>
                <w:rFonts w:ascii="仿宋_GB2312" w:hAnsi="仿宋_GB2312" w:cs="仿宋_GB2312" w:eastAsia="仿宋_GB2312"/>
                <w:sz w:val="22"/>
              </w:rPr>
              <w:t>年</w:t>
            </w:r>
            <w:r>
              <w:rPr>
                <w:rFonts w:ascii="仿宋_GB2312" w:hAnsi="仿宋_GB2312" w:cs="仿宋_GB2312" w:eastAsia="仿宋_GB2312"/>
                <w:sz w:val="22"/>
              </w:rPr>
              <w:t>12</w:t>
            </w:r>
            <w:r>
              <w:rPr>
                <w:rFonts w:ascii="仿宋_GB2312" w:hAnsi="仿宋_GB2312" w:cs="仿宋_GB2312" w:eastAsia="仿宋_GB2312"/>
                <w:sz w:val="22"/>
              </w:rPr>
              <w:t>月</w:t>
            </w:r>
            <w:r>
              <w:rPr>
                <w:rFonts w:ascii="仿宋_GB2312" w:hAnsi="仿宋_GB2312" w:cs="仿宋_GB2312" w:eastAsia="仿宋_GB2312"/>
                <w:sz w:val="22"/>
              </w:rPr>
              <w:t>31</w:t>
            </w:r>
            <w:r>
              <w:rPr>
                <w:rFonts w:ascii="仿宋_GB2312" w:hAnsi="仿宋_GB2312" w:cs="仿宋_GB2312" w:eastAsia="仿宋_GB2312"/>
                <w:sz w:val="22"/>
              </w:rPr>
              <w:t>日</w:t>
            </w:r>
            <w:r>
              <w:rPr>
                <w:rFonts w:ascii="仿宋_GB2312" w:hAnsi="仿宋_GB2312" w:cs="仿宋_GB2312" w:eastAsia="仿宋_GB2312"/>
                <w:sz w:val="22"/>
              </w:rPr>
              <w:t>内完成</w:t>
            </w:r>
            <w:r>
              <w:rPr>
                <w:rFonts w:ascii="仿宋_GB2312" w:hAnsi="仿宋_GB2312" w:cs="仿宋_GB2312" w:eastAsia="仿宋_GB2312"/>
                <w:sz w:val="22"/>
              </w:rPr>
              <w:t>项目工作</w:t>
            </w:r>
            <w:r>
              <w:rPr>
                <w:rFonts w:ascii="仿宋_GB2312" w:hAnsi="仿宋_GB2312" w:cs="仿宋_GB2312" w:eastAsia="仿宋_GB2312"/>
                <w:sz w:val="22"/>
              </w:rPr>
              <w:t>内容</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（二）项目实施保障</w:t>
            </w:r>
          </w:p>
          <w:p>
            <w:pPr>
              <w:pStyle w:val="null3"/>
              <w:ind w:firstLine="660"/>
              <w:jc w:val="both"/>
            </w:pPr>
            <w:r>
              <w:rPr>
                <w:rFonts w:ascii="仿宋_GB2312" w:hAnsi="仿宋_GB2312" w:cs="仿宋_GB2312" w:eastAsia="仿宋_GB2312"/>
                <w:sz w:val="22"/>
              </w:rPr>
              <w:t>中标单位需为项目实施提供专业化、规范化、高品质的服务，针对项目团队组织、项目进度管理、实施过程、项目管理、</w:t>
            </w:r>
            <w:r>
              <w:rPr>
                <w:rFonts w:ascii="仿宋_GB2312" w:hAnsi="仿宋_GB2312" w:cs="仿宋_GB2312" w:eastAsia="仿宋_GB2312"/>
                <w:sz w:val="22"/>
              </w:rPr>
              <w:t>驻场服务、</w:t>
            </w:r>
            <w:r>
              <w:rPr>
                <w:rFonts w:ascii="仿宋_GB2312" w:hAnsi="仿宋_GB2312" w:cs="仿宋_GB2312" w:eastAsia="仿宋_GB2312"/>
                <w:sz w:val="22"/>
              </w:rPr>
              <w:t>质量保障等方面提出一套完整的实施方案。</w:t>
            </w:r>
          </w:p>
          <w:p>
            <w:pPr>
              <w:pStyle w:val="null3"/>
              <w:ind w:firstLine="720"/>
              <w:jc w:val="both"/>
            </w:pPr>
            <w:r>
              <w:rPr>
                <w:rFonts w:ascii="仿宋_GB2312" w:hAnsi="仿宋_GB2312" w:cs="仿宋_GB2312" w:eastAsia="仿宋_GB2312"/>
                <w:sz w:val="22"/>
              </w:rPr>
              <w:t>（三）项目验收</w:t>
            </w:r>
            <w:r>
              <w:rPr>
                <w:rFonts w:ascii="仿宋_GB2312" w:hAnsi="仿宋_GB2312" w:cs="仿宋_GB2312" w:eastAsia="仿宋_GB2312"/>
                <w:sz w:val="22"/>
              </w:rPr>
              <w:t>要求</w:t>
            </w:r>
          </w:p>
          <w:p>
            <w:pPr>
              <w:pStyle w:val="null3"/>
              <w:ind w:firstLine="440"/>
              <w:jc w:val="both"/>
            </w:pPr>
            <w:r>
              <w:rPr>
                <w:rFonts w:ascii="仿宋_GB2312" w:hAnsi="仿宋_GB2312" w:cs="仿宋_GB2312" w:eastAsia="仿宋_GB2312"/>
                <w:sz w:val="22"/>
              </w:rPr>
              <w:t>1</w:t>
            </w:r>
            <w:r>
              <w:rPr>
                <w:rFonts w:ascii="仿宋_GB2312" w:hAnsi="仿宋_GB2312" w:cs="仿宋_GB2312" w:eastAsia="仿宋_GB2312"/>
                <w:sz w:val="22"/>
              </w:rPr>
              <w:t>、在提交全部相关文档、</w:t>
            </w:r>
            <w:r>
              <w:rPr>
                <w:rFonts w:ascii="仿宋_GB2312" w:hAnsi="仿宋_GB2312" w:cs="仿宋_GB2312" w:eastAsia="仿宋_GB2312"/>
                <w:sz w:val="22"/>
              </w:rPr>
              <w:t>数据</w:t>
            </w:r>
            <w:r>
              <w:rPr>
                <w:rFonts w:ascii="仿宋_GB2312" w:hAnsi="仿宋_GB2312" w:cs="仿宋_GB2312" w:eastAsia="仿宋_GB2312"/>
                <w:sz w:val="22"/>
              </w:rPr>
              <w:t>等交付物的前提下，中标单位可以向采购方提出</w:t>
            </w:r>
            <w:r>
              <w:rPr>
                <w:rFonts w:ascii="仿宋_GB2312" w:hAnsi="仿宋_GB2312" w:cs="仿宋_GB2312" w:eastAsia="仿宋_GB2312"/>
                <w:sz w:val="22"/>
              </w:rPr>
              <w:t>项目</w:t>
            </w:r>
            <w:r>
              <w:rPr>
                <w:rFonts w:ascii="仿宋_GB2312" w:hAnsi="仿宋_GB2312" w:cs="仿宋_GB2312" w:eastAsia="仿宋_GB2312"/>
                <w:sz w:val="22"/>
              </w:rPr>
              <w:t>验收申请，进行验收，验收应由采购方邀请有关专家组织现场验收。</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、项目成果提交包括以下：</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数据成果，包括陕西省批而未供批文清理认定矢量成果及清单表、</w:t>
            </w:r>
            <w:r>
              <w:rPr>
                <w:rFonts w:ascii="仿宋_GB2312" w:hAnsi="仿宋_GB2312" w:cs="仿宋_GB2312" w:eastAsia="仿宋_GB2312"/>
                <w:sz w:val="22"/>
              </w:rPr>
              <w:t>“双随机、一公开”抽查打分表等</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）项目文档</w:t>
            </w:r>
            <w:r>
              <w:rPr>
                <w:rFonts w:ascii="仿宋_GB2312" w:hAnsi="仿宋_GB2312" w:cs="仿宋_GB2312" w:eastAsia="仿宋_GB2312"/>
                <w:sz w:val="22"/>
              </w:rPr>
              <w:t>成果</w:t>
            </w:r>
            <w:r>
              <w:rPr>
                <w:rFonts w:ascii="仿宋_GB2312" w:hAnsi="仿宋_GB2312" w:cs="仿宋_GB2312" w:eastAsia="仿宋_GB2312"/>
                <w:sz w:val="22"/>
              </w:rPr>
              <w:t>，包括项目实施</w:t>
            </w:r>
            <w:r>
              <w:rPr>
                <w:rFonts w:ascii="仿宋_GB2312" w:hAnsi="仿宋_GB2312" w:cs="仿宋_GB2312" w:eastAsia="仿宋_GB2312"/>
                <w:sz w:val="22"/>
              </w:rPr>
              <w:t>方案</w:t>
            </w:r>
            <w:r>
              <w:rPr>
                <w:rFonts w:ascii="仿宋_GB2312" w:hAnsi="仿宋_GB2312" w:cs="仿宋_GB2312" w:eastAsia="仿宋_GB2312"/>
                <w:sz w:val="22"/>
              </w:rPr>
              <w:t>、工作报告、</w:t>
            </w:r>
            <w:r>
              <w:rPr>
                <w:rFonts w:ascii="仿宋_GB2312" w:hAnsi="仿宋_GB2312" w:cs="仿宋_GB2312" w:eastAsia="仿宋_GB2312"/>
                <w:sz w:val="22"/>
              </w:rPr>
              <w:t>技术报告</w:t>
            </w:r>
            <w:r>
              <w:rPr>
                <w:rFonts w:ascii="仿宋_GB2312" w:hAnsi="仿宋_GB2312" w:cs="仿宋_GB2312" w:eastAsia="仿宋_GB2312"/>
                <w:sz w:val="22"/>
              </w:rPr>
              <w:t>、核查成果分析报告等</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）项目实施过程中产生的各类</w:t>
            </w:r>
            <w:r>
              <w:rPr>
                <w:rFonts w:ascii="仿宋_GB2312" w:hAnsi="仿宋_GB2312" w:cs="仿宋_GB2312" w:eastAsia="仿宋_GB2312"/>
                <w:sz w:val="22"/>
              </w:rPr>
              <w:t>成果资料</w:t>
            </w:r>
            <w:r>
              <w:rPr>
                <w:rFonts w:ascii="仿宋_GB2312" w:hAnsi="仿宋_GB2312" w:cs="仿宋_GB2312" w:eastAsia="仿宋_GB2312"/>
                <w:sz w:val="22"/>
              </w:rPr>
              <w:t>，包括各类</w:t>
            </w:r>
            <w:r>
              <w:rPr>
                <w:rFonts w:ascii="仿宋_GB2312" w:hAnsi="仿宋_GB2312" w:cs="仿宋_GB2312" w:eastAsia="仿宋_GB2312"/>
                <w:sz w:val="22"/>
              </w:rPr>
              <w:t>佐证材料</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（四）</w:t>
            </w:r>
            <w:r>
              <w:rPr>
                <w:rFonts w:ascii="仿宋_GB2312" w:hAnsi="仿宋_GB2312" w:cs="仿宋_GB2312" w:eastAsia="仿宋_GB2312"/>
                <w:sz w:val="22"/>
              </w:rPr>
              <w:t>驻场服务要求</w:t>
            </w:r>
          </w:p>
          <w:p>
            <w:pPr>
              <w:pStyle w:val="null3"/>
              <w:ind w:firstLine="440"/>
              <w:jc w:val="both"/>
            </w:pPr>
            <w:r>
              <w:rPr>
                <w:rFonts w:ascii="仿宋_GB2312" w:hAnsi="仿宋_GB2312" w:cs="仿宋_GB2312" w:eastAsia="仿宋_GB2312"/>
                <w:sz w:val="22"/>
              </w:rPr>
              <w:t>中标单位须组建技术服务团队，实行全程驻场办公，负责批而未供数据审核、建设用地组卷核查等相关工作，为各市、县数据整改提供技术指导与培训，全程配合落实上级各项工作部署，按时出具核查成果与整改意见，严守工作保密及廉洁规范。</w:t>
            </w:r>
          </w:p>
          <w:p>
            <w:pPr>
              <w:pStyle w:val="null3"/>
              <w:ind w:firstLine="440"/>
              <w:jc w:val="both"/>
            </w:pPr>
            <w:r>
              <w:rPr>
                <w:rFonts w:ascii="仿宋_GB2312" w:hAnsi="仿宋_GB2312" w:cs="仿宋_GB2312" w:eastAsia="仿宋_GB2312"/>
                <w:sz w:val="22"/>
              </w:rPr>
              <w:t>（五）</w:t>
            </w:r>
            <w:r>
              <w:rPr>
                <w:rFonts w:ascii="仿宋_GB2312" w:hAnsi="仿宋_GB2312" w:cs="仿宋_GB2312" w:eastAsia="仿宋_GB2312"/>
                <w:sz w:val="22"/>
              </w:rPr>
              <w:t>保密工作要求</w:t>
            </w:r>
          </w:p>
          <w:p>
            <w:pPr>
              <w:pStyle w:val="null3"/>
              <w:ind w:firstLine="440"/>
              <w:jc w:val="both"/>
            </w:pPr>
            <w:r>
              <w:rPr>
                <w:rFonts w:ascii="仿宋_GB2312" w:hAnsi="仿宋_GB2312" w:cs="仿宋_GB2312" w:eastAsia="仿宋_GB2312"/>
                <w:sz w:val="22"/>
              </w:rPr>
              <w:t>中标单位须为本项目所配备的人员与采购方签订由采购方制定的保密协议，并遵照执行。</w:t>
            </w:r>
          </w:p>
          <w:p>
            <w:pPr>
              <w:pStyle w:val="null3"/>
              <w:jc w:val="both"/>
              <w:outlineLvl w:val="1"/>
            </w:pPr>
            <w:r>
              <w:rPr>
                <w:rFonts w:ascii="仿宋_GB2312" w:hAnsi="仿宋_GB2312" w:cs="仿宋_GB2312" w:eastAsia="仿宋_GB2312"/>
                <w:sz w:val="22"/>
                <w:b/>
              </w:rPr>
              <w:t>六、服务要求</w:t>
            </w:r>
          </w:p>
          <w:p>
            <w:pPr>
              <w:pStyle w:val="null3"/>
              <w:ind w:firstLine="440"/>
              <w:jc w:val="both"/>
            </w:pPr>
            <w:r>
              <w:rPr>
                <w:rFonts w:ascii="仿宋_GB2312" w:hAnsi="仿宋_GB2312" w:cs="仿宋_GB2312" w:eastAsia="仿宋_GB2312"/>
                <w:sz w:val="22"/>
              </w:rPr>
              <w:t>1</w:t>
            </w:r>
            <w:r>
              <w:rPr>
                <w:rFonts w:ascii="仿宋_GB2312" w:hAnsi="仿宋_GB2312" w:cs="仿宋_GB2312" w:eastAsia="仿宋_GB2312"/>
                <w:sz w:val="22"/>
              </w:rPr>
              <w:t>、服务</w:t>
            </w:r>
            <w:r>
              <w:rPr>
                <w:rFonts w:ascii="仿宋_GB2312" w:hAnsi="仿宋_GB2312" w:cs="仿宋_GB2312" w:eastAsia="仿宋_GB2312"/>
                <w:sz w:val="22"/>
              </w:rPr>
              <w:t>质量</w:t>
            </w:r>
            <w:r>
              <w:rPr>
                <w:rFonts w:ascii="仿宋_GB2312" w:hAnsi="仿宋_GB2312" w:cs="仿宋_GB2312" w:eastAsia="仿宋_GB2312"/>
                <w:sz w:val="22"/>
              </w:rPr>
              <w:t>：针对服务内容及要求建立适用于本</w:t>
            </w:r>
            <w:r>
              <w:rPr>
                <w:rFonts w:ascii="仿宋_GB2312" w:hAnsi="仿宋_GB2312" w:cs="仿宋_GB2312" w:eastAsia="仿宋_GB2312"/>
                <w:sz w:val="22"/>
              </w:rPr>
              <w:t>项目</w:t>
            </w:r>
            <w:r>
              <w:rPr>
                <w:rFonts w:ascii="仿宋_GB2312" w:hAnsi="仿宋_GB2312" w:cs="仿宋_GB2312" w:eastAsia="仿宋_GB2312"/>
                <w:sz w:val="22"/>
              </w:rPr>
              <w:t>的质量管理制度，控制各工作环节质量，及时发现实施过程中存在的质量隐患及问题，并提出针对性的解决措施，以满足成果质量要求。</w:t>
            </w:r>
            <w:r>
              <w:rPr>
                <w:rFonts w:ascii="仿宋_GB2312" w:hAnsi="仿宋_GB2312" w:cs="仿宋_GB2312" w:eastAsia="仿宋_GB2312"/>
                <w:sz w:val="22"/>
              </w:rPr>
              <w:t>中</w:t>
            </w:r>
            <w:r>
              <w:rPr>
                <w:rFonts w:ascii="仿宋_GB2312" w:hAnsi="仿宋_GB2312" w:cs="仿宋_GB2312" w:eastAsia="仿宋_GB2312"/>
                <w:sz w:val="22"/>
              </w:rPr>
              <w:t>标人所提供的项目成果必须经采购人审核验收，符合采购人要求，并达到技术指标先进、质量可靠、配置合理，满足招标文件要求</w:t>
            </w:r>
            <w:r>
              <w:rPr>
                <w:rFonts w:ascii="仿宋_GB2312" w:hAnsi="仿宋_GB2312" w:cs="仿宋_GB2312" w:eastAsia="仿宋_GB2312"/>
                <w:sz w:val="22"/>
              </w:rPr>
              <w:t>。</w:t>
            </w:r>
            <w:r>
              <w:rPr>
                <w:rFonts w:ascii="仿宋_GB2312" w:hAnsi="仿宋_GB2312" w:cs="仿宋_GB2312" w:eastAsia="仿宋_GB2312"/>
                <w:sz w:val="22"/>
              </w:rPr>
              <w:t>服务的质量必须符合国家标准和有关规范，确保服务达到最佳使用要求。</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、服务</w:t>
            </w:r>
            <w:r>
              <w:rPr>
                <w:rFonts w:ascii="仿宋_GB2312" w:hAnsi="仿宋_GB2312" w:cs="仿宋_GB2312" w:eastAsia="仿宋_GB2312"/>
                <w:sz w:val="22"/>
              </w:rPr>
              <w:t>团队</w:t>
            </w:r>
            <w:r>
              <w:rPr>
                <w:rFonts w:ascii="仿宋_GB2312" w:hAnsi="仿宋_GB2312" w:cs="仿宋_GB2312" w:eastAsia="仿宋_GB2312"/>
                <w:sz w:val="22"/>
              </w:rPr>
              <w:t>：</w:t>
            </w:r>
            <w:r>
              <w:rPr>
                <w:rFonts w:ascii="仿宋_GB2312" w:hAnsi="仿宋_GB2312" w:cs="仿宋_GB2312" w:eastAsia="仿宋_GB2312"/>
                <w:sz w:val="22"/>
              </w:rPr>
              <w:t>针对服务内容及要求组建适用于本</w:t>
            </w:r>
            <w:r>
              <w:rPr>
                <w:rFonts w:ascii="仿宋_GB2312" w:hAnsi="仿宋_GB2312" w:cs="仿宋_GB2312" w:eastAsia="仿宋_GB2312"/>
                <w:sz w:val="22"/>
              </w:rPr>
              <w:t>项目</w:t>
            </w:r>
            <w:r>
              <w:rPr>
                <w:rFonts w:ascii="仿宋_GB2312" w:hAnsi="仿宋_GB2312" w:cs="仿宋_GB2312" w:eastAsia="仿宋_GB2312"/>
                <w:sz w:val="22"/>
              </w:rPr>
              <w:t>的服务团队，以确保本项目按照规范要求实施和有序推进。要求人员数量充足，相关人员具有胜任相关工作的能力</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风险控制</w:t>
            </w:r>
            <w:r>
              <w:rPr>
                <w:rFonts w:ascii="仿宋_GB2312" w:hAnsi="仿宋_GB2312" w:cs="仿宋_GB2312" w:eastAsia="仿宋_GB2312"/>
                <w:sz w:val="22"/>
              </w:rPr>
              <w:t>：</w:t>
            </w:r>
            <w:r>
              <w:rPr>
                <w:rFonts w:ascii="仿宋_GB2312" w:hAnsi="仿宋_GB2312" w:cs="仿宋_GB2312" w:eastAsia="仿宋_GB2312"/>
                <w:sz w:val="22"/>
              </w:rPr>
              <w:t>针对服务内容及要求建立适用于本</w:t>
            </w:r>
            <w:r>
              <w:rPr>
                <w:rFonts w:ascii="仿宋_GB2312" w:hAnsi="仿宋_GB2312" w:cs="仿宋_GB2312" w:eastAsia="仿宋_GB2312"/>
                <w:sz w:val="22"/>
              </w:rPr>
              <w:t>项目</w:t>
            </w:r>
            <w:r>
              <w:rPr>
                <w:rFonts w:ascii="仿宋_GB2312" w:hAnsi="仿宋_GB2312" w:cs="仿宋_GB2312" w:eastAsia="仿宋_GB2312"/>
                <w:sz w:val="22"/>
              </w:rPr>
              <w:t>的风险控制制度，对可能出现的影</w:t>
            </w:r>
            <w:r>
              <w:rPr>
                <w:rFonts w:ascii="仿宋_GB2312" w:hAnsi="仿宋_GB2312" w:cs="仿宋_GB2312" w:eastAsia="仿宋_GB2312"/>
                <w:sz w:val="22"/>
              </w:rPr>
              <w:t>响</w:t>
            </w:r>
            <w:r>
              <w:rPr>
                <w:rFonts w:ascii="仿宋_GB2312" w:hAnsi="仿宋_GB2312" w:cs="仿宋_GB2312" w:eastAsia="仿宋_GB2312"/>
                <w:sz w:val="22"/>
              </w:rPr>
              <w:t>项目实施的各类风险进行全面梳理、评估并制定相应的应急预案，</w:t>
            </w:r>
            <w:r>
              <w:rPr>
                <w:rFonts w:ascii="仿宋_GB2312" w:hAnsi="仿宋_GB2312" w:cs="仿宋_GB2312" w:eastAsia="仿宋_GB2312"/>
                <w:sz w:val="22"/>
              </w:rPr>
              <w:t>以确保本项目顺利实施</w:t>
            </w:r>
            <w:r>
              <w:rPr>
                <w:rFonts w:ascii="仿宋_GB2312" w:hAnsi="仿宋_GB2312" w:cs="仿宋_GB2312" w:eastAsia="仿宋_GB2312"/>
                <w:sz w:val="22"/>
              </w:rPr>
              <w:t>。</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自合同签订之日起至2026年12月31日，供应商需完成所有招标文件要求工作，并通过项目验收。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1、在提交全部相关文档、数据等交付物的前提下，中标单位可以向采购方提出项目验收申请，进行验收，验收应由采购方邀请有关专家组织现场验收。 2、项目成果提交包括以下： （1）数据成果，包括陕西省批而未供批文清理认定矢量成果及清单表、“双随机、一公开”抽查打分表等； （2）项目文档成果，包括项目实施方案、工作报告、 技术报告、核查成果分析报告等； （3）项目实施过程中产生的各类成果资料，包括各类佐证材料。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预付款，合同签订起，达到付款条件起15个工作日内，支付合同总金额的60.0%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进度款，完成项目建设内容并验收合格后，达到付款条件起15个工作日内，支付合同总金额的40.0%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2.未按合同或招标文件要求提供产品或供应的产品质量不能满足甲方技术要求，甲方单位有权终止合同，甚至对乙方违约行为进行追究。 3.乙方的响应文件为签订正式书面合同书不可分割的部分，乙方应履行相应的责任。</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中标供应商需在项目结束后提交纸投标文件正本壹份、副本贰份、（与线上电子投标文件一致，胶装后封面盖鲜章）。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有效的资格主体证明</w:t>
            </w:r>
          </w:p>
        </w:tc>
        <w:tc>
          <w:tcPr>
            <w:tcW w:type="dxa" w:w="3322"/>
          </w:tcPr>
          <w:p>
            <w:pPr>
              <w:pStyle w:val="null3"/>
            </w:pPr>
            <w:r>
              <w:rPr>
                <w:rFonts w:ascii="仿宋_GB2312" w:hAnsi="仿宋_GB2312" w:cs="仿宋_GB2312" w:eastAsia="仿宋_GB2312"/>
              </w:rPr>
              <w:t>供应商应为具有独立承担民事责任能力的法人或其他组织，提供法人或者其他组织的营业执照等证明文件，自然人的身份证明。供应商需在项目电子化交易系统中按要求提供相关证明材料并进行电子签章。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法⼈代表授权委托书</w:t>
            </w:r>
          </w:p>
        </w:tc>
        <w:tc>
          <w:tcPr>
            <w:tcW w:type="dxa" w:w="3322"/>
          </w:tcPr>
          <w:p>
            <w:pPr>
              <w:pStyle w:val="null3"/>
            </w:pPr>
            <w:r>
              <w:rPr>
                <w:rFonts w:ascii="仿宋_GB2312" w:hAnsi="仿宋_GB2312" w:cs="仿宋_GB2312" w:eastAsia="仿宋_GB2312"/>
              </w:rPr>
              <w:t>供应商为法人单位的法定代表人亲自参加投标时，须提供本人身份证复印件;法定代表人授权他人参加投标时，须提供法定代表人委托授权书，同时提供被授权代表开标前六月内任意一个月在投标人单位的社保缴纳证明材料。（投标人为非法人单位的）投标文件中凡是需要法定代表人签字或盖章之处，非法人单位的负责人均参照执行。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法定代表人身份证明书及法人委托授权书格式.docx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的财务报告或提交投标文件截止时间前六个月内其基本账户开户银行出具的资信证明；其他组织和自然人提供银行出具的资信证明或财务报表；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2025年8月至今任意一个月已缴存的社会保障资金缴存单据或社保机构开具的社会保险参保缴费证明，依法不需要缴纳社会保障资金的单位应提供相关证明材料，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提供2025年8月至今任意一个月的纳税证明或税务机关开具的完税证明，依法免税的单位应提供相关证明材料;供应商需在项目电子化交易系统中按要求提供相关证明材料并进行电子签章。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供应商须具有并提供有效期内的乙级及以上测绘资质证书及乙级及以上城乡规划（国土空间规划）资质证书。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信⽤记录查询</w:t>
            </w:r>
          </w:p>
        </w:tc>
        <w:tc>
          <w:tcPr>
            <w:tcW w:type="dxa" w:w="3322"/>
          </w:tcPr>
          <w:p>
            <w:pPr>
              <w:pStyle w:val="null3"/>
            </w:pPr>
            <w:r>
              <w:rPr>
                <w:rFonts w:ascii="仿宋_GB2312" w:hAnsi="仿宋_GB2312" w:cs="仿宋_GB2312" w:eastAsia="仿宋_GB2312"/>
              </w:rPr>
              <w:t>供应商不得为“信用中国”网站（www.creditchina.gov.cn）被列入“失信被执行人”“重大税收违法案件当事人名单”的供应商，不得为“中国政府采购网”（www.ccgp.gov.cn）被列入“政府采购严重违法失信行为记录名单”的供应商。以代理机构开标当天在相关网站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参加政府采购活动前三年内，在经营活动中没有重大违法记录提供书面声明；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具有履⾏合同所必需的设备和专业技术能⼒</w:t>
            </w:r>
          </w:p>
        </w:tc>
        <w:tc>
          <w:tcPr>
            <w:tcW w:type="dxa" w:w="3322"/>
          </w:tcPr>
          <w:p>
            <w:pPr>
              <w:pStyle w:val="null3"/>
            </w:pPr>
            <w:r>
              <w:rPr>
                <w:rFonts w:ascii="仿宋_GB2312" w:hAnsi="仿宋_GB2312" w:cs="仿宋_GB2312" w:eastAsia="仿宋_GB2312"/>
              </w:rPr>
              <w:t>提供书面声明，包括声明具有履行合同所必需的设备和专业技术能力；供应商需在项目电子化交易系统中按要求提供相关证明材料并进行电子签章。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投标文件中项目名称、项目编号与本项目一致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满足招标文件要求的服务期限</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同时满足以下条款：（1）货币单位符合采购文件要求（2）报价符合唯一性要求（3）未超出采购预算或最高限价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投标文件签章均符合采购文件要求，且无遗漏。</w:t>
            </w:r>
          </w:p>
        </w:tc>
        <w:tc>
          <w:tcPr>
            <w:tcW w:type="dxa" w:w="1661"/>
          </w:tcPr>
          <w:p>
            <w:pPr>
              <w:pStyle w:val="null3"/>
            </w:pPr>
            <w:r>
              <w:rPr>
                <w:rFonts w:ascii="仿宋_GB2312" w:hAnsi="仿宋_GB2312" w:cs="仿宋_GB2312" w:eastAsia="仿宋_GB2312"/>
              </w:rPr>
              <w:t>开标一览表 投标函 商务应答表 服务内容及服务要求应答表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商务应答表 服务方案 服务内容及服务要求应答表 标的清单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没有出现法律法规或招标文件明确规定的其他被视为“无效投标”的情形及未实质性响应招标文件的情况。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开标一览表 投标函 中小企业声明函 商务应答表 服务方案 服务内容及服务要求应答表 标的清单 投标文件封面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根据供应商提供的对本项目的响应方案包含但不限于①总体思路、目标定位、业务分析、②项目需求的分析理解和把握情况：③项目背景、目标、相关政策理解分析；④方案目标清晰满足采购人的需求等；以上内容无缺项，专门针对本项目编制，得8分。每缺失一项扣2分； 每一小项缺项或者内容非针对于本项目的扣2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项目实施方案（1）.docx</w:t>
            </w:r>
          </w:p>
        </w:tc>
      </w:tr>
      <w:tr>
        <w:tc>
          <w:tcPr>
            <w:tcW w:type="dxa" w:w="831"/>
            <w:vMerge/>
          </w:tcPr>
          <w:p/>
        </w:tc>
        <w:tc>
          <w:tcPr>
            <w:tcW w:type="dxa" w:w="1661"/>
          </w:tcPr>
          <w:p>
            <w:pPr>
              <w:pStyle w:val="null3"/>
            </w:pPr>
            <w:r>
              <w:rPr>
                <w:rFonts w:ascii="仿宋_GB2312" w:hAnsi="仿宋_GB2312" w:cs="仿宋_GB2312" w:eastAsia="仿宋_GB2312"/>
              </w:rPr>
              <w:t>服务方案（方案的完整性）</w:t>
            </w:r>
          </w:p>
        </w:tc>
        <w:tc>
          <w:tcPr>
            <w:tcW w:type="dxa" w:w="2492"/>
          </w:tcPr>
          <w:p>
            <w:pPr>
              <w:pStyle w:val="null3"/>
            </w:pPr>
            <w:r>
              <w:rPr>
                <w:rFonts w:ascii="仿宋_GB2312" w:hAnsi="仿宋_GB2312" w:cs="仿宋_GB2312" w:eastAsia="仿宋_GB2312"/>
              </w:rPr>
              <w:t>对供应商提供的服务方案完整性进行打分。服务方案主体内容应包括项目需求分析、组织部署计划、省级核查规则、数据库设计、分类处置计划、人员配置、项目实施、数据安全、驻场服务、项目验收等。上述主体内容全部提供完整且满足采购文件要求，每提供1个内容得0.5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项目实施方案（1）.docx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服务方案（针对性）</w:t>
            </w:r>
          </w:p>
        </w:tc>
        <w:tc>
          <w:tcPr>
            <w:tcW w:type="dxa" w:w="2492"/>
          </w:tcPr>
          <w:p>
            <w:pPr>
              <w:pStyle w:val="null3"/>
            </w:pPr>
            <w:r>
              <w:rPr>
                <w:rFonts w:ascii="仿宋_GB2312" w:hAnsi="仿宋_GB2312" w:cs="仿宋_GB2312" w:eastAsia="仿宋_GB2312"/>
              </w:rPr>
              <w:t>在服务方案完整性的基础上，①供应商提供10项核心服务内容全部完整、无缺项、无敷衍内容，且所有内容完全贴合本项目实际场景、完全响应采购文件全部要求得4-6分；②供应商提供10项核心服务内容全部完整无缺项，整体响应采购文件要求，方案具备基本落地性，但存在部分内容针对性不足：少量内容为通用模板、未完全结合本项目场景，部分保障措施、实施细节、规则对标内容不够细化，无实质性偏差、无违规缺陷，可满足项目基本工作需求的3-5分；③供应商10项核心服务内容全部齐全无缺项，仅简单响应采购基础要求，方案整体通用性强、项目针对性弱，核心流程、技术设计、服务保障、核查对标等关键内容较为简略，无具体实施细则，落地性一般，但不存在重大偏差和漏项得1-3分；④多项内容空白、敷衍堆砌、无实质服务内容；核心内容与项目需求、采购要求、省级核查规则存在实质性偏差，无法满足项目基本实施需求得0-1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项目实施方案（1）.docx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根据供应商提供的质量保障方方案内容包含但不限于①保障原则与目标、②控制体系、③保障措施等；以上内容无缺项，专门针对本项目编制，得3分。每缺失一项扣1分； 每一小项缺项或者内容非针对于本项目的扣1分，每一小项有一处缺陷的扣0.2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项目实施方案（1）.docx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进度管理方案</w:t>
            </w:r>
          </w:p>
        </w:tc>
        <w:tc>
          <w:tcPr>
            <w:tcW w:type="dxa" w:w="2492"/>
          </w:tcPr>
          <w:p>
            <w:pPr>
              <w:pStyle w:val="null3"/>
            </w:pPr>
            <w:r>
              <w:rPr>
                <w:rFonts w:ascii="仿宋_GB2312" w:hAnsi="仿宋_GB2312" w:cs="仿宋_GB2312" w:eastAsia="仿宋_GB2312"/>
              </w:rPr>
              <w:t>根据供应商提供的进度保证实施方案，包含但不限于①项目保障工期计划制定②主要人员及设备投入计划；③进度控制与调整④资源调配与保障等。以上内容无缺项，专门针对本项目编制，得4分。每缺失一项扣1分； 每一小项缺项或者内容非针对于本项目的扣1分，每一小项有一处缺陷的扣0.2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项目实施方案（1）.docx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根据供应商提供的安全保密方案内容须包括①制度建设、②人员管理、③设备管理、④泄密风险处置等；以上内容无缺项，专门针对本项目编制，得4分。每缺失一项扣1分； 每一小项缺项或者内容非针对于本项目的扣1分，每一小项有一处缺陷的扣0.2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项目实施方案（1）.docx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风险控制方案</w:t>
            </w:r>
          </w:p>
        </w:tc>
        <w:tc>
          <w:tcPr>
            <w:tcW w:type="dxa" w:w="2492"/>
          </w:tcPr>
          <w:p>
            <w:pPr>
              <w:pStyle w:val="null3"/>
            </w:pPr>
            <w:r>
              <w:rPr>
                <w:rFonts w:ascii="仿宋_GB2312" w:hAnsi="仿宋_GB2312" w:cs="仿宋_GB2312" w:eastAsia="仿宋_GB2312"/>
              </w:rPr>
              <w:t>根据供应商提供的风险控制方案内容须包括①风险点分析、②风险评估、③应急预案等；以上内容无缺项，专门针对本项目编制，得6分。每缺失一项扣2分； 每一小项缺项或者内容非针对于本项目的扣2分，每一小项有一处缺陷的扣0.5分，扣完为止。 （缺陷是指：内容不完整、条理不清晰、缺少关键点、措施不具体、针对性不强、内容无紧扣项目实际情况、表述前后不一致及其他不利于项目实施的情形等任意一种情形）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项目实施方案（1）.docx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根据供应商提供的售后服务方案内容须包括①本地化服务能力、②故障响应时间、③售后服务体系、④售后服务期限和售后服务人员等；以上内容无缺项，专门针对本项目编制，得4分。每缺失一项扣1分； 每一小项缺项或者内容非针对于本项目的扣1分，每一小项有一处缺陷的扣0.2分，扣完为止。 （缺陷是指：内容不完整、条理不清晰、缺少关键点、措施不具体、针对性不强、内容无紧扣项目实际情况、表述前后不一致及其他不利于项目实施的情形等任意一种情形）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项目实施方案（1）.docx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供应商具备ISO9001质量管理体系、ISO14001环境管理体系、ISO45001职业健康安全管理体系，ISO27001信息安全管理体系、ISO20000信息技术服务管理体系认证证书每提供一个证书得2分。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保密管理体系认证</w:t>
            </w:r>
          </w:p>
        </w:tc>
        <w:tc>
          <w:tcPr>
            <w:tcW w:type="dxa" w:w="2492"/>
          </w:tcPr>
          <w:p>
            <w:pPr>
              <w:pStyle w:val="null3"/>
            </w:pPr>
            <w:r>
              <w:rPr>
                <w:rFonts w:ascii="仿宋_GB2312" w:hAnsi="仿宋_GB2312" w:cs="仿宋_GB2312" w:eastAsia="仿宋_GB2312"/>
              </w:rPr>
              <w:t>供应商提供涉密信息系统集成资质（或国家保密局认可的保密管理体系认证）且针对本项目提供保密承诺得3分，仅针对本项目提供保密承诺得2分；未提供不得分。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项目实施方案（1）.docx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驻场服务</w:t>
            </w:r>
          </w:p>
        </w:tc>
        <w:tc>
          <w:tcPr>
            <w:tcW w:type="dxa" w:w="2492"/>
          </w:tcPr>
          <w:p>
            <w:pPr>
              <w:pStyle w:val="null3"/>
            </w:pPr>
            <w:r>
              <w:rPr>
                <w:rFonts w:ascii="仿宋_GB2312" w:hAnsi="仿宋_GB2312" w:cs="仿宋_GB2312" w:eastAsia="仿宋_GB2312"/>
              </w:rPr>
              <w:t>供应商针对本项目提交驻场服务声明，声明中需驻场服务团队人员，分工、工作内容及保密要求等。提供得3分，未提供不得分。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项目实施方案（1）.docx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1、拟派项目负责人拥有正高级工程师职称（得3分），同时具备注册规划师或注册测绘师的得6分，本项最高得6分。 2、拟派项目组成员（项目负责人除外）具有中级工程师及以上职称的每有1个得1分，本项最高得5分。 3、拟派项目组成员（项目负责人除外）专业涵盖土地类、测绘类（注册测绘师）、规划类（注册城乡规划师）的得6分，涵盖不全不得分。 注：应提供职称证书复印件（或扫描件）加盖单位公章及投标人半年内任意连续三个月为其缴纳社保的证明，未提供或材料不合格者不得分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项目实施方案（1）.docx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供应商提供2023年1月1日至今同类项目（规划、用地报批等相关）业绩（以合同签订日期为准），每提供1个得2分，最高得16分。 注：提供合同复印件及结算发票（至少一份发票，开票时间在投标截止日前30日内的不认可）等佐证材料用于核验真实性；未提供或材料信息不全的，本业绩不得分。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详见附件：项目实施方案（1）.docx</w:t>
      </w:r>
    </w:p>
    <w:p>
      <w:pPr>
        <w:pStyle w:val="null3"/>
        <w:ind w:firstLine="960"/>
      </w:pPr>
      <w:r>
        <w:rPr>
          <w:rFonts w:ascii="仿宋_GB2312" w:hAnsi="仿宋_GB2312" w:cs="仿宋_GB2312" w:eastAsia="仿宋_GB2312"/>
        </w:rPr>
        <w:t>详见附件：法定代表人身份证明书及法人委托授权书格式.docx</w:t>
      </w:r>
    </w:p>
    <w:p>
      <w:pPr>
        <w:pStyle w:val="null3"/>
        <w:ind w:firstLine="960"/>
      </w:pPr>
      <w:r>
        <w:rPr>
          <w:rFonts w:ascii="仿宋_GB2312" w:hAnsi="仿宋_GB2312" w:cs="仿宋_GB2312" w:eastAsia="仿宋_GB2312"/>
        </w:rPr>
        <w:t>详见附件：类似业绩一览表（1）.docx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详见附件：政府采购合同0807.定.docx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