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版本号：ZHZB2026-003.1B120260616001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报纸媒体宣传专项经费项目(二次)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ZHZB2026-003.1B1</w:t>
      </w:r>
      <w:r>
        <w:br/>
      </w:r>
      <w:r>
        <w:br/>
      </w:r>
      <w:r>
        <w:br/>
      </w:r>
    </w:p>
    <w:p>
      <w:pPr>
        <w:pStyle w:val="null3"/>
        <w:jc w:val="center"/>
        <w:outlineLvl w:val="2"/>
      </w:pPr>
      <w:r>
        <w:rPr>
          <w:rFonts w:ascii="仿宋_GB2312" w:hAnsi="仿宋_GB2312" w:cs="仿宋_GB2312" w:eastAsia="仿宋_GB2312"/>
          <w:sz w:val="28"/>
          <w:b/>
        </w:rPr>
        <w:t>中共西安市委金融委员会办公室</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中共西安市委金融委员会办公室</w:t>
      </w:r>
      <w:r>
        <w:rPr>
          <w:rFonts w:ascii="仿宋_GB2312" w:hAnsi="仿宋_GB2312" w:cs="仿宋_GB2312" w:eastAsia="仿宋_GB2312"/>
        </w:rPr>
        <w:t>委托，拟对</w:t>
      </w:r>
      <w:r>
        <w:rPr>
          <w:rFonts w:ascii="仿宋_GB2312" w:hAnsi="仿宋_GB2312" w:cs="仿宋_GB2312" w:eastAsia="仿宋_GB2312"/>
        </w:rPr>
        <w:t>报纸媒体宣传专项经费项目(二次)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报纸媒体宣传专项经费项目(二次)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中共西安市委金融委员会办公室报纸媒体宣传专项经费项目。本项目所属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采购包1（报纸媒体宣传专项经费项目）：属于专门面向中小企业采购。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报纸媒体宣传专项经费项目)特定资格要求如下：（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中共西安市委金融委员会办公室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张俊姣、王佩雨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029-86686703、18189293644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代理服务费收费标准：招标代理服务费国家计委印发的《招标代理服务收费管理暂行办法的通知》（计价格[2002]1980号）规定收费标准计取，不足6000元按6000元计取。 代理服务费缴纳账户信息： 银行户名：中昊泰达咨询集团有限公司 开户银行：招商银行西安文景路支行 账 号：129913618710606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中共西安市委金融委员会办公室</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中共西安市委金融委员会办公室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中共西安市委金融委员会办公室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按磋商文件、乙方响应文件、本合同约定及国家 / 行业相关规范执行；国家发布新标准的，按新标准执行；所有服务成果需满足采购人的实际工作需求，无质量缺陷。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联系人：张俊姣、王佩雨</w:t>
      </w:r>
    </w:p>
    <w:p>
      <w:pPr>
        <w:pStyle w:val="null3"/>
      </w:pPr>
      <w:r>
        <w:rPr>
          <w:rFonts w:ascii="仿宋_GB2312" w:hAnsi="仿宋_GB2312" w:cs="仿宋_GB2312" w:eastAsia="仿宋_GB2312"/>
        </w:rPr>
        <w:t>联系电话：029-86686703、18189293644</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报纸媒体宣传专项经费项目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采购1家媒体供应商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标的名称：采购1家媒体供应商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结合我市对</w:t>
            </w:r>
            <w:r>
              <w:rPr>
                <w:rFonts w:ascii="仿宋_GB2312" w:hAnsi="仿宋_GB2312" w:cs="仿宋_GB2312" w:eastAsia="仿宋_GB2312"/>
              </w:rPr>
              <w:t>金融媒体宣传的工作需求</w:t>
            </w:r>
            <w:r>
              <w:rPr>
                <w:rFonts w:ascii="仿宋_GB2312" w:hAnsi="仿宋_GB2312" w:cs="仿宋_GB2312" w:eastAsia="仿宋_GB2312"/>
              </w:rPr>
              <w:t>及工作实际，我</w:t>
            </w:r>
            <w:r>
              <w:rPr>
                <w:rFonts w:ascii="仿宋_GB2312" w:hAnsi="仿宋_GB2312" w:cs="仿宋_GB2312" w:eastAsia="仿宋_GB2312"/>
              </w:rPr>
              <w:t>办</w:t>
            </w:r>
            <w:r>
              <w:rPr>
                <w:rFonts w:ascii="仿宋_GB2312" w:hAnsi="仿宋_GB2312" w:cs="仿宋_GB2312" w:eastAsia="仿宋_GB2312"/>
              </w:rPr>
              <w:t>拟</w:t>
            </w:r>
            <w:r>
              <w:rPr>
                <w:rFonts w:ascii="仿宋_GB2312" w:hAnsi="仿宋_GB2312" w:cs="仿宋_GB2312" w:eastAsia="仿宋_GB2312"/>
              </w:rPr>
              <w:t>请媒体通过报纸、网络、公号端等平台，刊发打非活动及打非政策、知识的文、图宣传稿件，进一步提升社会公众防范非法金融活动的意识和能力；制作各种宣传文、图稿件以及视频、网页等宣传内容，并通过报刊、网站、权威微信公</w:t>
            </w:r>
            <w:r>
              <w:rPr>
                <w:rFonts w:ascii="仿宋_GB2312" w:hAnsi="仿宋_GB2312" w:cs="仿宋_GB2312" w:eastAsia="仿宋_GB2312"/>
              </w:rPr>
              <w:t>众</w:t>
            </w:r>
            <w:r>
              <w:rPr>
                <w:rFonts w:ascii="仿宋_GB2312" w:hAnsi="仿宋_GB2312" w:cs="仿宋_GB2312" w:eastAsia="仿宋_GB2312"/>
              </w:rPr>
              <w:t>号、</w:t>
            </w:r>
            <w:r>
              <w:rPr>
                <w:rFonts w:ascii="仿宋_GB2312" w:hAnsi="仿宋_GB2312" w:cs="仿宋_GB2312" w:eastAsia="仿宋_GB2312"/>
              </w:rPr>
              <w:t>APP等全媒体渠道宣传，进一步优化全市金融营商环境；加强宣传引导，围绕企业上市挂牌融资和股权投资相关政策开展宣传，推广企业成功上市案例和先进经验，营造鼓励企业上市融资发展的良好氛围；聚焦科创金融展开报刊等全媒体渠道宣传工作，推动科创金融服务“硬科技”改革试点落地，营造科创金融发展的良好氛围。</w:t>
            </w:r>
          </w:p>
          <w:p>
            <w:pPr>
              <w:pStyle w:val="null3"/>
            </w:pPr>
            <w:r>
              <w:rPr>
                <w:rFonts w:ascii="仿宋_GB2312" w:hAnsi="仿宋_GB2312" w:cs="仿宋_GB2312" w:eastAsia="仿宋_GB2312"/>
              </w:rPr>
              <w:t>一、</w:t>
            </w:r>
            <w:r>
              <w:rPr>
                <w:rFonts w:ascii="仿宋_GB2312" w:hAnsi="仿宋_GB2312" w:cs="仿宋_GB2312" w:eastAsia="仿宋_GB2312"/>
              </w:rPr>
              <w:t>项目内容</w:t>
            </w:r>
          </w:p>
          <w:p>
            <w:pPr>
              <w:pStyle w:val="null3"/>
              <w:ind w:firstLine="400"/>
            </w:pPr>
            <w:r>
              <w:rPr>
                <w:rFonts w:ascii="仿宋_GB2312" w:hAnsi="仿宋_GB2312" w:cs="仿宋_GB2312" w:eastAsia="仿宋_GB2312"/>
              </w:rPr>
              <w:t>1.采购1家媒体供应商；</w:t>
            </w:r>
          </w:p>
          <w:p>
            <w:pPr>
              <w:pStyle w:val="null3"/>
              <w:ind w:firstLine="400"/>
            </w:pPr>
            <w:r>
              <w:rPr>
                <w:rFonts w:ascii="仿宋_GB2312" w:hAnsi="仿宋_GB2312" w:cs="仿宋_GB2312" w:eastAsia="仿宋_GB2312"/>
              </w:rPr>
              <w:t>2.完成企业上市挂牌融资和股权投资相关政策宣传工作，宣传推广企业成功上市案例和经验，营造鼓励企业上市融资发展的良好氛围；</w:t>
            </w:r>
          </w:p>
          <w:p>
            <w:pPr>
              <w:pStyle w:val="null3"/>
              <w:ind w:firstLine="400"/>
            </w:pPr>
            <w:r>
              <w:rPr>
                <w:rFonts w:ascii="仿宋_GB2312" w:hAnsi="仿宋_GB2312" w:cs="仿宋_GB2312" w:eastAsia="仿宋_GB2312"/>
              </w:rPr>
              <w:t>3.完成优化金融领域营商环境指标任务专项工作，制作各种宣传稿件、视频、网页等，并在报刊、网站等多媒体宣传，优化营商环境；</w:t>
            </w:r>
          </w:p>
          <w:p>
            <w:pPr>
              <w:pStyle w:val="null3"/>
              <w:ind w:firstLine="400"/>
            </w:pPr>
            <w:r>
              <w:rPr>
                <w:rFonts w:ascii="仿宋_GB2312" w:hAnsi="仿宋_GB2312" w:cs="仿宋_GB2312" w:eastAsia="仿宋_GB2312"/>
              </w:rPr>
              <w:t>4.完成科创金融媒体报刊宣传工作，推动科创金融服务“硬科技”改革试点落地，积极开展创新案例的搜集和宣传推广，营造科创金融发展的良好氛围；</w:t>
            </w:r>
          </w:p>
          <w:p>
            <w:pPr>
              <w:pStyle w:val="null3"/>
              <w:jc w:val="both"/>
            </w:pPr>
            <w:r>
              <w:rPr>
                <w:rFonts w:ascii="仿宋_GB2312" w:hAnsi="仿宋_GB2312" w:cs="仿宋_GB2312" w:eastAsia="仿宋_GB2312"/>
                <w:sz w:val="21"/>
              </w:rPr>
              <w:t>5.完成防范和打击非法集资专项工作，通过报纸、网络等全媒体平台刊发打非宣传稿件，助力专项工作顺利推进，进一步提升社会公众防范非法集资等非法金融活动的意识和能力，切实筑牢金融安全防线。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供应商应按采购需求配置履行服务所需的设施设备，以便提高服务质量及效率。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和磋商文件的要求、供应商提交的磋商响应文件、合同以及国家标准与行业规范的标准和规定执行；在实施过程中，如果国家或有关部门颁布了新的标准和规定，则供应商应采用新的标准和规定进行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本合同签订后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完成所有服务内容并提交甲方认可的成果文件、成果文件通过甲方验收合格后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一、成交供应商在领取成交通知书时提供纸质版响应文件3套，应通过专用制作软件直接打印，确保与电子响应文件保持一致，不允许修改和补充。提交地点：西安市未央区未央路113号雅荷花园A18栋。 二、供应商的磋商报价包括人工费、管理费、材料与设备费、保险费、采购代理费、税金、利润、风险、责任等与本项目有关的一切费用。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提供2023年度或2024年度经审计的财务会计报告或其提交响应文件截止时间前3个月内银行出具的资信证明。（以上形式的资料提供任何一种即可） 要求：（1）供应商是企业法人的，应提供2023或2024全年度经审计的财务报告，包括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2023或2024全年度经审计的财务报告，至少包括 《资产负债表》《利润表》《现金流量表》及其附注，或者提交响应文件截止时间前3个月内其基本账户开户银行出具的资信证明（附基本存款账户信息）； （2）供应商是事业单位法人的，应提供2023或2024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合同包1(报纸媒体宣传专项经费项目)特定资格要求如下</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应符合磋商文件中的要求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提供2023年1月1日至今类似项目业绩，每提供一个得2分，满分8分。 注：供应商需提供合同（含服务内容、签字盖章页）复印件或扫描件需加盖供应商公章，以合同签订日期为准，否则业绩不予认可。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一、评审内容 供应商针对本项目 4 大宣传核心（企业上市融资政策宣传、金融营商环境优化宣传、科创金融宣传、防范打击非法集资宣传）制定的需求响应方案，包括但不限于：①项目核心目标理解；②4 大宣传板块的需求拆解与适配分析；③项目实施重难点（如政策解读准确性、全媒体渠道协同、宣传效果量化）分析； 二、赋分标准 以上内容完全覆盖采购需求，贴合金融宣传政策导向，重难点分析精准的得 9 分；每缺少一项核心内容（如未分析某一宣传板块需求）扣 3 分；每有一处内容与金融宣传实际需求不符、套用其他行业方案或政策解读错误的扣 2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 4 大宣传板块及全媒体发布要求，提供的完整实施方案，包括：①各板块宣传内容规划（政策解读深度、案例筛选标准、稿件 / 视频 / 网页等内容形式）；②全媒体渠道配置方案（报纸、网站、权威公众号、APP 等渠道的选择依据、发布频次、覆盖人群匹配度）；③内容制作流程（选题、撰稿、审核、修改闭环）；④发布执行计划（分阶段推进节点、各渠道协同节奏）； 二、赋分标准 方案完全贴合项目需求，4 大板块内容规划具体、渠道配置合理、流程闭环、节点清晰，可直接落地执行的计 27 分；任意一项核心内容缺项扣 9 分，扣完为止；任意一项内容存在明显缺陷（如渠道与宣传板块不匹配、节点逻辑混乱）的扣 6 分；任意一项缺少关键点（如未明确审核流程）的扣 4 分；任意一项内容表述模糊、不具可操作性的扣 2 分；未提供方案或只有标题无实质性内容的不得分。 注：“缺陷” 指内容与金融宣传特性不符、套用非媒体类项目方案、无法满足实际执行需求等情形。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 1 年服务期限及分阶段宣传需求，制定的进度保障方案，包括：①分阶段工作流程（前期策划、内容制作、渠道发布、效果跟踪各阶段衔接）；②关键进度计划目标（如每月 / 每季度各板块宣传完成量、成果交付节点）；③进度控制措施（人员保障、审核效率保障、渠道对接保障、逾期应急预案）； 二、赋分标准 方案完全贴合媒体宣传项目特性，流程清晰、目标量化、措施可行的，每项计 4 分，最高 12 分；任意一项缺项扣 4 分；任意一项内容明显错误（如进度节点与服务期限冲突）的扣 1 分；任意一项缺少关键点（如未明确季度成果交付节点）的扣 2 分；任意一项措施不具可操作性（如仅提 “加强管控” 无具体手段）的扣 3 分；未提供方案或只有标题无实质性内容的不得分。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媒体宣传服务质量（内容合规性、发布及时性、成果准确性）制定的保证措施，包含：①质量控制目标（如内容零违法违规、发布零逾期、成果零差错）；②全流程质量管控措施（政策解读审核、内容原创性审核、发布前校对、渠道发布确认）；③客户反馈与整改机制（甲方意见响应时限、内容修改流程、质量问题追溯与改进）； 二、赋分标准 方案内容具体、贴合金融宣传合规要求，每个要点均有详细落地措施的计 12 分；任意一项缺项扣 4 分，扣完为止；任意一项内容明显错误（如违反金融宣传政策）的扣 1 分；任意一项缺少关键点（如未明确审核责任人）的扣 2 分；任意一项措施不具可操作性的扣 3 分；未提供方案或只有标题无实质性内容的不得分。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媒体宣传项目可能发生的突发情况（如内容合规风险、渠道发布故障、公众负面反响、人员变动）制定的应急预案，包括：①突发情况分类分析（结合金融宣传特性明确高风险场景）；②针对性处置方案（如合规问题紧急下架、发布故障备用渠道切换、负面反响回应流程）；③预防与防护措施（前期合规培训、渠道备用方案、动态风险监测机制）； 二、赋分标准 方案覆盖金融宣传核心风险场景，处置流程清晰、防护措施到位，能有效保障项目推进的计 9 分；任意一项缺项扣 3 分，扣完为止；任意一项内容明显错误（如处置流程违反宣传管理规定）的扣 1 分；任意一项缺少关键点（如未明确处置时限）的扣 1.5 分；任意一项措施不具可操作性的扣 2.5 分；未提供方案或只有标题无实质性内容的不得分。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专业的执行服务团队，包括但不限于（项目负责人、金融政策解读专员、文案策划、视频制作、渠道对接等核心岗位）①配备方案科学合理、管理方案可操作性强、内容齐全、完全满足项目需求，得7-10分； ②配备方案科学合理，管理方案可操作性较强、内容较齐全，满足项目需求，得4-7分； ③配备方案较科学合理、管理方案有一定的操作性、内容较齐全，基本满足项目需求得2-4分； ④ 配备方案一般，管理方案基本合理，内容基本齐全，基本满足项目需求得0-2分； 未提供或只有标题没有实质性内容的不得分。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针对本项目服务要求能够充分保证达到项目实施目的，有详细的服务承诺，且承诺内容具有可行性，满足采购人实际需求，定期向采购人进行工作的进展和工作阶段成果的例行汇报等。 二、评审标准 1、完整性：承诺内容必须全面、详细； 2、可实施性：承诺内容切合本项目实际情况，内容具有可行性； 3、针对性：承诺内容科学合理，能够满足采购人实际需求。 三、赋分标准 每完全满足一项评审标准得1分，满分3分，针对评审标准存在有不合理处的得0.5分；内容与本项目无关或未提供的得0分。 注:“不合理”指内容明显错误，或内容不完整或缺少关键点，或不适用本项目特性、套用其他项目内容或内容不能满足本项目实际需求等情形。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终最低报价为磋商基准价，其磋商报价为满分。其他供应商的价格分，统一按照下列公式计算：磋商报价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