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版本号：SZT2026-SN-SC-ZC-HW-0699.1.2B220260815001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天然气管道输送实验环道、动态信号采集和实时分析仪采购项目(三次)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SZT2026-SN-SC-ZC-HW-0699.1.2B2</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天然气管道输送实验环道、动态信号采集和实时分析仪采购项目(三次)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SZT2026-SN-SC-ZC-HW-0699.1.2B2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天然气管道输送实验环道、动态信号采集和实时分析仪采购项目(三次)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天然气管道输送实验环道、动态信号采集和实时分析仪采购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谈判，其中法定代表人直接参加谈判的，须提供法定代表人身份证，并与营业执照上信息一致。法定代表人授权代表参加谈判的，须提供法定代表人授权书；（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供应商应授权合法的人员参加谈判，其中法定代表人直接参加谈判的，须提供法定代表人身份证，并与营业执照上信息一致。法定代表人授权代表参加谈判的，须提供法定代表人授权书；（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王馨、毛冠奇、肖娇娇、李文俊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029-87304306-807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采购包1：1,440,000.00元</w:t>
            </w:r>
          </w:p>
          <w:p>
            <w:pPr>
              <w:pStyle w:val="null3"/>
            </w:pPr>
            <w:r>
              <w:rPr>
                <w:rFonts w:ascii="仿宋_GB2312" w:hAnsi="仿宋_GB2312" w:cs="仿宋_GB2312" w:eastAsia="仿宋_GB2312"/>
              </w:rPr>
              <w:t>采购包2：450,000.00元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采购包1保证金金额：28,000.00元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开户名称：陕西中技招标有限公司（转账备注项目编号后四位数字及包号）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说明：1.合同签订前，成交人须向采购人提交合同总价的5%作为履约保证金；2.产品交付并由采购人验收合格后，成交人申请，采购人将履约保证金（无息）退还成交人。</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说明：1.合同签订前，成交人须向采购人提交合同总价的5%作为履约保证金；2.产品交付并由采购人验收合格后，成交人申请，采购人将履约保证金（无息）退还成交人。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包：成交供应商同意代理机构的招标代理服务费参见国家计委颁布的《招标代理服务收费管理暂行办法》（计价格〔2002〕1980号）和（发改办价格〔2011〕534号）货物类收费标准，按照成交金额差额定率累进法下浮10%计算。 2包：成交供应商同意代理机构的招标代理服务费参见国家计委颁布的《招标代理服务收费管理暂行办法》（计价格〔2002〕1980号）和（发改办价格〔2011〕534号）货物类收费标准，按照成交金额差额定率累进法下浮10%计算。（不足人民币陆仟元按陆仟元整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按照招标文件、中标人投标文件及合同文本执行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按照招标文件、中标人投标文件及合同文本执行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1包：</w:t>
      </w:r>
      <w:r>
        <w:rPr>
          <w:rFonts w:ascii="仿宋_GB2312" w:hAnsi="仿宋_GB2312" w:cs="仿宋_GB2312" w:eastAsia="仿宋_GB2312"/>
          <w:sz w:val="24"/>
        </w:rPr>
        <w:t>本项目是西安石油大学极端条件下天然气管道输送与流动安全保障实验子平台的重要部分，实验环道主要用于提供稳定、可控的</w:t>
      </w:r>
      <w:r>
        <w:rPr>
          <w:rFonts w:ascii="仿宋_GB2312" w:hAnsi="仿宋_GB2312" w:cs="仿宋_GB2312" w:eastAsia="仿宋_GB2312"/>
          <w:sz w:val="24"/>
        </w:rPr>
        <w:t>气、液</w:t>
      </w:r>
      <w:r>
        <w:rPr>
          <w:rFonts w:ascii="仿宋_GB2312" w:hAnsi="仿宋_GB2312" w:cs="仿宋_GB2312" w:eastAsia="仿宋_GB2312"/>
          <w:sz w:val="24"/>
        </w:rPr>
        <w:t>单相流体的输入和均匀混合，模拟极端条件下天然气</w:t>
      </w:r>
      <w:r>
        <w:rPr>
          <w:rFonts w:ascii="仿宋_GB2312" w:hAnsi="仿宋_GB2312" w:cs="仿宋_GB2312" w:eastAsia="仿宋_GB2312"/>
          <w:sz w:val="24"/>
        </w:rPr>
        <w:t>、氢、氨</w:t>
      </w:r>
      <w:r>
        <w:rPr>
          <w:rFonts w:ascii="仿宋_GB2312" w:hAnsi="仿宋_GB2312" w:cs="仿宋_GB2312" w:eastAsia="仿宋_GB2312"/>
          <w:sz w:val="24"/>
        </w:rPr>
        <w:t>等多相流体在管道输送过程中的真实流动状态，能够精确控制单相流体的流量、压力和温度等参数，可用于高水平油气储运专业本、硕、</w:t>
      </w:r>
      <w:r>
        <w:rPr>
          <w:rFonts w:ascii="仿宋_GB2312" w:hAnsi="仿宋_GB2312" w:cs="仿宋_GB2312" w:eastAsia="仿宋_GB2312"/>
          <w:sz w:val="24"/>
        </w:rPr>
        <w:t>博</w:t>
      </w:r>
      <w:r>
        <w:rPr>
          <w:rFonts w:ascii="仿宋_GB2312" w:hAnsi="仿宋_GB2312" w:cs="仿宋_GB2312" w:eastAsia="仿宋_GB2312"/>
          <w:sz w:val="24"/>
        </w:rPr>
        <w:t>学生的理论教学、前沿技术认识及专业技能培养，以及为油气储运工程中多相流量计、流型在线监测仪、积液检测与预警系统的研制、测试和标定提供关键技术支撑。</w:t>
      </w:r>
    </w:p>
    <w:p>
      <w:pPr>
        <w:pStyle w:val="null3"/>
      </w:pPr>
      <w:r>
        <w:rPr>
          <w:rFonts w:ascii="仿宋_GB2312" w:hAnsi="仿宋_GB2312" w:cs="仿宋_GB2312" w:eastAsia="仿宋_GB2312"/>
        </w:rPr>
        <w:t>2包：</w:t>
      </w:r>
      <w:r>
        <w:rPr>
          <w:rFonts w:ascii="仿宋_GB2312" w:hAnsi="仿宋_GB2312" w:cs="仿宋_GB2312" w:eastAsia="仿宋_GB2312"/>
          <w:sz w:val="24"/>
        </w:rPr>
        <w:t>本项目是西安石油大学极端条件下天然气管道输送与流动安全保障实验子平台的重要部分，实验环道主要用于测量油、气、水多相流体在实验环道中的温度、压力及流体激振引发的管道内壁应变、位移等流动与管道振动特征参数，以监控和表征多相流体在管道输送过程中的真实流动状态，可用于高水平油气储运专业本、硕、博学生的理论教学、前沿技术认识及专业技能培养，以及为油气储运工程中多相流量计、流型在线监测仪、积液检测与预警系统的研制、测试和标定提供关键技术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1,440,000.00</w:t>
      </w:r>
    </w:p>
    <w:p>
      <w:pPr>
        <w:pStyle w:val="null3"/>
      </w:pPr>
      <w:r>
        <w:rPr>
          <w:rFonts w:ascii="仿宋_GB2312" w:hAnsi="仿宋_GB2312" w:cs="仿宋_GB2312" w:eastAsia="仿宋_GB2312"/>
        </w:rPr>
        <w:t>采购包最高限价（元）: 1,440,000.00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天然气管道输送实验环道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动态信号采集和实时分析仪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标的名称：天然气管道输送实验环道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采购目的：</w:t>
            </w:r>
            <w:r>
              <w:rPr>
                <w:rFonts w:ascii="仿宋_GB2312" w:hAnsi="仿宋_GB2312" w:cs="仿宋_GB2312" w:eastAsia="仿宋_GB2312"/>
                <w:sz w:val="21"/>
              </w:rPr>
              <w:t>天然气管道输送实验环道可实现在高压下多相流体在管道内真实流动状态等模拟及单相气、液流体流量的精准调控。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8"/>
              <w:gridCol w:w="251"/>
              <w:gridCol w:w="1914"/>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参数性质</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实验环道形式为现场模块化组装</w:t>
                  </w:r>
                  <w:r>
                    <w:rPr>
                      <w:rFonts w:ascii="仿宋_GB2312" w:hAnsi="仿宋_GB2312" w:cs="仿宋_GB2312" w:eastAsia="仿宋_GB2312"/>
                      <w:sz w:val="19"/>
                    </w:rPr>
                    <w:t>（管道系统除外）</w:t>
                  </w:r>
                  <w:r>
                    <w:rPr>
                      <w:rFonts w:ascii="仿宋_GB2312" w:hAnsi="仿宋_GB2312" w:cs="仿宋_GB2312" w:eastAsia="仿宋_GB2312"/>
                      <w:sz w:val="19"/>
                    </w:rPr>
                    <w:t>，各模块可分别运输、吊装，环道外预留外接水和强弱点接口</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主实验管段水压试验</w:t>
                  </w:r>
                  <w:r>
                    <w:rPr>
                      <w:rFonts w:ascii="仿宋_GB2312" w:hAnsi="仿宋_GB2312" w:cs="仿宋_GB2312" w:eastAsia="仿宋_GB2312"/>
                      <w:sz w:val="19"/>
                    </w:rPr>
                    <w:t>压力：</w:t>
                  </w:r>
                  <w:r>
                    <w:rPr>
                      <w:rFonts w:ascii="仿宋_GB2312" w:hAnsi="仿宋_GB2312" w:cs="仿宋_GB2312" w:eastAsia="仿宋_GB2312"/>
                      <w:sz w:val="19"/>
                    </w:rPr>
                    <w:t>≥</w:t>
                  </w:r>
                  <w:r>
                    <w:rPr>
                      <w:rFonts w:ascii="仿宋_GB2312" w:hAnsi="仿宋_GB2312" w:cs="仿宋_GB2312" w:eastAsia="仿宋_GB2312"/>
                      <w:sz w:val="19"/>
                    </w:rPr>
                    <w:t>20 MPa</w:t>
                  </w:r>
                  <w:r>
                    <w:rPr>
                      <w:rFonts w:ascii="仿宋_GB2312" w:hAnsi="仿宋_GB2312" w:cs="仿宋_GB2312" w:eastAsia="仿宋_GB2312"/>
                      <w:sz w:val="19"/>
                    </w:rPr>
                    <w:t>，</w:t>
                  </w:r>
                  <w:r>
                    <w:rPr>
                      <w:rFonts w:ascii="仿宋_GB2312" w:hAnsi="仿宋_GB2312" w:cs="仿宋_GB2312" w:eastAsia="仿宋_GB2312"/>
                      <w:sz w:val="19"/>
                    </w:rPr>
                    <w:t>其它系统水压试验压：≥6MPa。</w:t>
                  </w:r>
                  <w:r>
                    <w:rPr>
                      <w:rFonts w:ascii="仿宋_GB2312" w:hAnsi="仿宋_GB2312" w:cs="仿宋_GB2312" w:eastAsia="仿宋_GB2312"/>
                      <w:sz w:val="19"/>
                    </w:rPr>
                    <w:t>设计温度：</w:t>
                  </w:r>
                  <w:r>
                    <w:rPr>
                      <w:rFonts w:ascii="仿宋_GB2312" w:hAnsi="仿宋_GB2312" w:cs="仿宋_GB2312" w:eastAsia="仿宋_GB2312"/>
                      <w:sz w:val="19"/>
                    </w:rPr>
                    <w:t>-20-100</w:t>
                  </w:r>
                  <w:r>
                    <w:rPr>
                      <w:rFonts w:ascii="仿宋_GB2312" w:hAnsi="仿宋_GB2312" w:cs="仿宋_GB2312" w:eastAsia="仿宋_GB2312"/>
                      <w:sz w:val="19"/>
                    </w:rPr>
                    <w:t>℃，材料：</w:t>
                  </w:r>
                  <w:r>
                    <w:rPr>
                      <w:rFonts w:ascii="仿宋_GB2312" w:hAnsi="仿宋_GB2312" w:cs="仿宋_GB2312" w:eastAsia="仿宋_GB2312"/>
                      <w:sz w:val="19"/>
                    </w:rPr>
                    <w:t>304</w:t>
                  </w:r>
                  <w:r>
                    <w:rPr>
                      <w:rFonts w:ascii="仿宋_GB2312" w:hAnsi="仿宋_GB2312" w:cs="仿宋_GB2312" w:eastAsia="仿宋_GB2312"/>
                      <w:sz w:val="19"/>
                    </w:rPr>
                    <w:t>不锈钢，管道连接方式焊接或钢制法兰连接，安装框架及支撑可采用碳钢结构，需做防锈处理</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气体、液体供应系统：输出压力：0.5-20 Mpa（可调）。配套能够维持设计流量的空压机、储气罐，配套能够维持设计流量的高压泵（配变频器）、缓冲罐、气相\液相过滤器，配套用于调节压力流量的电控、阀门控制组件。</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气体供应系统</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★大气背压下最大瞬时流量≥600 Nm</w:t>
                  </w:r>
                  <w:r>
                    <w:rPr>
                      <w:rFonts w:ascii="仿宋_GB2312" w:hAnsi="仿宋_GB2312" w:cs="仿宋_GB2312" w:eastAsia="仿宋_GB2312"/>
                      <w:sz w:val="19"/>
                      <w:vertAlign w:val="superscript"/>
                    </w:rPr>
                    <w:t>3</w:t>
                  </w:r>
                  <w:r>
                    <w:rPr>
                      <w:rFonts w:ascii="仿宋_GB2312" w:hAnsi="仿宋_GB2312" w:cs="仿宋_GB2312" w:eastAsia="仿宋_GB2312"/>
                      <w:sz w:val="19"/>
                    </w:rPr>
                    <w:t>/h，最大输出压力≥20 MPa。</w:t>
                  </w:r>
                </w:p>
                <w:p>
                  <w:pPr>
                    <w:pStyle w:val="null3"/>
                  </w:pPr>
                  <w:r>
                    <w:rPr>
                      <w:rFonts w:ascii="仿宋_GB2312" w:hAnsi="仿宋_GB2312" w:cs="仿宋_GB2312" w:eastAsia="仿宋_GB2312"/>
                      <w:sz w:val="19"/>
                    </w:rPr>
                    <w:t>储气罐≥2个，形式为高压/低压两级串、并联可调。</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液体供应系统</w:t>
                  </w:r>
                  <w:r>
                    <w:rPr>
                      <w:rFonts w:ascii="仿宋_GB2312" w:hAnsi="仿宋_GB2312" w:cs="仿宋_GB2312" w:eastAsia="仿宋_GB2312"/>
                      <w:sz w:val="19"/>
                    </w:rPr>
                    <w:t>：</w:t>
                  </w:r>
                  <w:r>
                    <w:rPr>
                      <w:rFonts w:ascii="仿宋_GB2312" w:hAnsi="仿宋_GB2312" w:cs="仿宋_GB2312" w:eastAsia="仿宋_GB2312"/>
                      <w:sz w:val="19"/>
                    </w:rPr>
                    <w:t>大气背压下最大瞬时流量</w:t>
                  </w:r>
                  <w:r>
                    <w:rPr>
                      <w:rFonts w:ascii="仿宋_GB2312" w:hAnsi="仿宋_GB2312" w:cs="仿宋_GB2312" w:eastAsia="仿宋_GB2312"/>
                      <w:sz w:val="19"/>
                    </w:rPr>
                    <w:t>≥</w:t>
                  </w:r>
                  <w:r>
                    <w:rPr>
                      <w:rFonts w:ascii="仿宋_GB2312" w:hAnsi="仿宋_GB2312" w:cs="仿宋_GB2312" w:eastAsia="仿宋_GB2312"/>
                      <w:sz w:val="19"/>
                    </w:rPr>
                    <w:t>30</w:t>
                  </w:r>
                  <w:r>
                    <w:rPr>
                      <w:rFonts w:ascii="仿宋_GB2312" w:hAnsi="仿宋_GB2312" w:cs="仿宋_GB2312" w:eastAsia="仿宋_GB2312"/>
                      <w:sz w:val="19"/>
                    </w:rPr>
                    <w:t xml:space="preserve"> </w:t>
                  </w:r>
                  <w:r>
                    <w:rPr>
                      <w:rFonts w:ascii="仿宋_GB2312" w:hAnsi="仿宋_GB2312" w:cs="仿宋_GB2312" w:eastAsia="仿宋_GB2312"/>
                      <w:sz w:val="19"/>
                    </w:rPr>
                    <w:t>Nm</w:t>
                  </w:r>
                  <w:r>
                    <w:rPr>
                      <w:rFonts w:ascii="仿宋_GB2312" w:hAnsi="仿宋_GB2312" w:cs="仿宋_GB2312" w:eastAsia="仿宋_GB2312"/>
                      <w:sz w:val="19"/>
                      <w:vertAlign w:val="superscript"/>
                    </w:rPr>
                    <w:t>3</w:t>
                  </w:r>
                  <w:r>
                    <w:rPr>
                      <w:rFonts w:ascii="仿宋_GB2312" w:hAnsi="仿宋_GB2312" w:cs="仿宋_GB2312" w:eastAsia="仿宋_GB2312"/>
                      <w:sz w:val="19"/>
                    </w:rPr>
                    <w:t>/h</w:t>
                  </w:r>
                  <w:r>
                    <w:rPr>
                      <w:rFonts w:ascii="仿宋_GB2312" w:hAnsi="仿宋_GB2312" w:cs="仿宋_GB2312" w:eastAsia="仿宋_GB2312"/>
                      <w:sz w:val="19"/>
                    </w:rPr>
                    <w:t>，最大</w:t>
                  </w:r>
                  <w:r>
                    <w:rPr>
                      <w:rFonts w:ascii="仿宋_GB2312" w:hAnsi="仿宋_GB2312" w:cs="仿宋_GB2312" w:eastAsia="仿宋_GB2312"/>
                      <w:sz w:val="19"/>
                    </w:rPr>
                    <w:t>输出</w:t>
                  </w:r>
                  <w:r>
                    <w:rPr>
                      <w:rFonts w:ascii="仿宋_GB2312" w:hAnsi="仿宋_GB2312" w:cs="仿宋_GB2312" w:eastAsia="仿宋_GB2312"/>
                      <w:sz w:val="19"/>
                    </w:rPr>
                    <w:t>压力</w:t>
                  </w:r>
                  <w:r>
                    <w:rPr>
                      <w:rFonts w:ascii="仿宋_GB2312" w:hAnsi="仿宋_GB2312" w:cs="仿宋_GB2312" w:eastAsia="仿宋_GB2312"/>
                      <w:sz w:val="19"/>
                    </w:rPr>
                    <w:t>≥</w:t>
                  </w:r>
                  <w:r>
                    <w:rPr>
                      <w:rFonts w:ascii="仿宋_GB2312" w:hAnsi="仿宋_GB2312" w:cs="仿宋_GB2312" w:eastAsia="仿宋_GB2312"/>
                      <w:sz w:val="19"/>
                    </w:rPr>
                    <w:t>20</w:t>
                  </w:r>
                  <w:r>
                    <w:rPr>
                      <w:rFonts w:ascii="仿宋_GB2312" w:hAnsi="仿宋_GB2312" w:cs="仿宋_GB2312" w:eastAsia="仿宋_GB2312"/>
                      <w:sz w:val="19"/>
                    </w:rPr>
                    <w:t xml:space="preserve"> </w:t>
                  </w:r>
                  <w:r>
                    <w:rPr>
                      <w:rFonts w:ascii="仿宋_GB2312" w:hAnsi="仿宋_GB2312" w:cs="仿宋_GB2312" w:eastAsia="仿宋_GB2312"/>
                      <w:sz w:val="19"/>
                    </w:rPr>
                    <w:t>MPa</w:t>
                  </w:r>
                  <w:r>
                    <w:rPr>
                      <w:rFonts w:ascii="仿宋_GB2312" w:hAnsi="仿宋_GB2312" w:cs="仿宋_GB2312" w:eastAsia="仿宋_GB2312"/>
                      <w:sz w:val="19"/>
                    </w:rPr>
                    <w:t>，配备变频器</w:t>
                  </w:r>
                  <w:r>
                    <w:rPr>
                      <w:rFonts w:ascii="仿宋_GB2312" w:hAnsi="仿宋_GB2312" w:cs="仿宋_GB2312" w:eastAsia="仿宋_GB2312"/>
                      <w:sz w:val="19"/>
                    </w:rPr>
                    <w:t>，</w:t>
                  </w:r>
                  <w:r>
                    <w:rPr>
                      <w:rFonts w:ascii="仿宋_GB2312" w:hAnsi="仿宋_GB2312" w:cs="仿宋_GB2312" w:eastAsia="仿宋_GB2312"/>
                      <w:sz w:val="19"/>
                    </w:rPr>
                    <w:t>液相缓冲罐体积</w:t>
                  </w:r>
                  <w:r>
                    <w:rPr>
                      <w:rFonts w:ascii="仿宋_GB2312" w:hAnsi="仿宋_GB2312" w:cs="仿宋_GB2312" w:eastAsia="仿宋_GB2312"/>
                      <w:sz w:val="19"/>
                    </w:rPr>
                    <w:t>≥</w:t>
                  </w:r>
                  <w:r>
                    <w:rPr>
                      <w:rFonts w:ascii="仿宋_GB2312" w:hAnsi="仿宋_GB2312" w:cs="仿宋_GB2312" w:eastAsia="仿宋_GB2312"/>
                      <w:sz w:val="19"/>
                    </w:rPr>
                    <w:t>1.0 m</w:t>
                  </w:r>
                  <w:r>
                    <w:rPr>
                      <w:rFonts w:ascii="仿宋_GB2312" w:hAnsi="仿宋_GB2312" w:cs="仿宋_GB2312" w:eastAsia="仿宋_GB2312"/>
                      <w:sz w:val="19"/>
                      <w:vertAlign w:val="superscript"/>
                    </w:rPr>
                    <w:t>3</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液相容器：</w:t>
                  </w:r>
                  <w:r>
                    <w:rPr>
                      <w:rFonts w:ascii="仿宋_GB2312" w:hAnsi="仿宋_GB2312" w:cs="仿宋_GB2312" w:eastAsia="仿宋_GB2312"/>
                      <w:sz w:val="19"/>
                    </w:rPr>
                    <w:t>2</w:t>
                  </w:r>
                  <w:r>
                    <w:rPr>
                      <w:rFonts w:ascii="仿宋_GB2312" w:hAnsi="仿宋_GB2312" w:cs="仿宋_GB2312" w:eastAsia="仿宋_GB2312"/>
                      <w:sz w:val="19"/>
                    </w:rPr>
                    <w:t>套，可各储存液相体积</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.0 m</w:t>
                  </w:r>
                  <w:r>
                    <w:rPr>
                      <w:rFonts w:ascii="仿宋_GB2312" w:hAnsi="仿宋_GB2312" w:cs="仿宋_GB2312" w:eastAsia="仿宋_GB2312"/>
                      <w:sz w:val="19"/>
                      <w:vertAlign w:val="superscript"/>
                    </w:rPr>
                    <w:t>3</w:t>
                  </w:r>
                  <w:r>
                    <w:rPr>
                      <w:rFonts w:ascii="仿宋_GB2312" w:hAnsi="仿宋_GB2312" w:cs="仿宋_GB2312" w:eastAsia="仿宋_GB2312"/>
                      <w:sz w:val="19"/>
                    </w:rPr>
                    <w:t>，</w:t>
                  </w:r>
                  <w:r>
                    <w:rPr>
                      <w:rFonts w:ascii="仿宋_GB2312" w:hAnsi="仿宋_GB2312" w:cs="仿宋_GB2312" w:eastAsia="仿宋_GB2312"/>
                      <w:sz w:val="19"/>
                    </w:rPr>
                    <w:t>表面做防锈处理，</w:t>
                  </w:r>
                  <w:r>
                    <w:rPr>
                      <w:rFonts w:ascii="仿宋_GB2312" w:hAnsi="仿宋_GB2312" w:cs="仿宋_GB2312" w:eastAsia="仿宋_GB2312"/>
                      <w:sz w:val="19"/>
                    </w:rPr>
                    <w:t>带液位显示装置。</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气液混合器：气液相均匀混合，材质</w:t>
                  </w:r>
                  <w:r>
                    <w:rPr>
                      <w:rFonts w:ascii="仿宋_GB2312" w:hAnsi="仿宋_GB2312" w:cs="仿宋_GB2312" w:eastAsia="仿宋_GB2312"/>
                      <w:sz w:val="19"/>
                    </w:rPr>
                    <w:t>304</w:t>
                  </w:r>
                  <w:r>
                    <w:rPr>
                      <w:rFonts w:ascii="仿宋_GB2312" w:hAnsi="仿宋_GB2312" w:cs="仿宋_GB2312" w:eastAsia="仿宋_GB2312"/>
                      <w:sz w:val="19"/>
                    </w:rPr>
                    <w:t>不锈钢，</w:t>
                  </w:r>
                  <w:r>
                    <w:rPr>
                      <w:rFonts w:ascii="仿宋_GB2312" w:hAnsi="仿宋_GB2312" w:cs="仿宋_GB2312" w:eastAsia="仿宋_GB2312"/>
                      <w:sz w:val="19"/>
                    </w:rPr>
                    <w:t>水压试验</w:t>
                  </w:r>
                  <w:r>
                    <w:rPr>
                      <w:rFonts w:ascii="仿宋_GB2312" w:hAnsi="仿宋_GB2312" w:cs="仿宋_GB2312" w:eastAsia="仿宋_GB2312"/>
                      <w:sz w:val="19"/>
                    </w:rPr>
                    <w:t>压力</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 xml:space="preserve"> </w:t>
                  </w:r>
                  <w:r>
                    <w:rPr>
                      <w:rFonts w:ascii="仿宋_GB2312" w:hAnsi="仿宋_GB2312" w:cs="仿宋_GB2312" w:eastAsia="仿宋_GB2312"/>
                      <w:sz w:val="19"/>
                    </w:rPr>
                    <w:t>MPa</w:t>
                  </w:r>
                  <w:r>
                    <w:rPr>
                      <w:rFonts w:ascii="仿宋_GB2312" w:hAnsi="仿宋_GB2312" w:cs="仿宋_GB2312" w:eastAsia="仿宋_GB2312"/>
                      <w:sz w:val="19"/>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气液分离器：采用重力分离结构，材质304不锈钢，水压试验压力≥6 MPa，容积≥1m³，各出口均配置高压气动/电动控制阀，分离器带视觉、远传液位计。</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管道系统：工作流程为单相气、液流体经计量后进入气液混合器流经测量环路，在分离器内分离后气体外排，液体返回储存箱。设计温度：-20-100℃，管道DN100。其中：气液两相混合实验管段长度≥10m，水压试验压力：≥20MPa；长输实验管段长度≥100m，水压试验压：≥6MPa，采用回形盘管布置，具备环路正常使用的调节阀、止回阀、排气阀、排污阀、压力安全阀等。</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高压调节阀：</w:t>
                  </w:r>
                </w:p>
                <w:p>
                  <w:pPr>
                    <w:pStyle w:val="null3"/>
                    <w:jc w:val="both"/>
                  </w:pPr>
                  <w:r>
                    <w:rPr>
                      <w:rFonts w:ascii="仿宋_GB2312" w:hAnsi="仿宋_GB2312" w:cs="仿宋_GB2312" w:eastAsia="仿宋_GB2312"/>
                      <w:sz w:val="19"/>
                    </w:rPr>
                    <w:t>采用气动阀，数量≥3套，分别安装于分离器气相、液相排出管段、分离器气液两相入口管段，行程开度0~100%，远程控制（4-20mA电流输入控制）；</w:t>
                  </w:r>
                </w:p>
                <w:p>
                  <w:pPr>
                    <w:pStyle w:val="null3"/>
                  </w:pPr>
                  <w:r>
                    <w:rPr>
                      <w:rFonts w:ascii="仿宋_GB2312" w:hAnsi="仿宋_GB2312" w:cs="仿宋_GB2312" w:eastAsia="仿宋_GB2312"/>
                      <w:sz w:val="19"/>
                    </w:rPr>
                    <w:t>水压试验压</w:t>
                  </w:r>
                  <w:r>
                    <w:rPr>
                      <w:rFonts w:ascii="仿宋_GB2312" w:hAnsi="仿宋_GB2312" w:cs="仿宋_GB2312" w:eastAsia="仿宋_GB2312"/>
                      <w:sz w:val="19"/>
                    </w:rPr>
                    <w:t>力</w:t>
                  </w:r>
                  <w:r>
                    <w:rPr>
                      <w:rFonts w:ascii="仿宋_GB2312" w:hAnsi="仿宋_GB2312" w:cs="仿宋_GB2312" w:eastAsia="仿宋_GB2312"/>
                      <w:sz w:val="19"/>
                    </w:rPr>
                    <w:t>≥6 MPa，控制时间（全开/全闭）≤10 s。</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可视化视窗：</w:t>
                  </w:r>
                </w:p>
                <w:p>
                  <w:pPr>
                    <w:pStyle w:val="null3"/>
                    <w:jc w:val="both"/>
                  </w:pPr>
                  <w:r>
                    <w:rPr>
                      <w:rFonts w:ascii="仿宋_GB2312" w:hAnsi="仿宋_GB2312" w:cs="仿宋_GB2312" w:eastAsia="仿宋_GB2312"/>
                      <w:sz w:val="19"/>
                    </w:rPr>
                    <w:t>★水压试验压</w:t>
                  </w:r>
                  <w:r>
                    <w:rPr>
                      <w:rFonts w:ascii="仿宋_GB2312" w:hAnsi="仿宋_GB2312" w:cs="仿宋_GB2312" w:eastAsia="仿宋_GB2312"/>
                      <w:sz w:val="19"/>
                    </w:rPr>
                    <w:t>力</w:t>
                  </w:r>
                  <w:r>
                    <w:rPr>
                      <w:rFonts w:ascii="仿宋_GB2312" w:hAnsi="仿宋_GB2312" w:cs="仿宋_GB2312" w:eastAsia="仿宋_GB2312"/>
                      <w:sz w:val="19"/>
                    </w:rPr>
                    <w:t>≥5MPa，外部平行布置一对视窗，单个尺寸≥1倍管道截面积，无色透光；</w:t>
                  </w:r>
                </w:p>
                <w:p>
                  <w:pPr>
                    <w:pStyle w:val="null3"/>
                  </w:pPr>
                  <w:r>
                    <w:rPr>
                      <w:rFonts w:ascii="仿宋_GB2312" w:hAnsi="仿宋_GB2312" w:cs="仿宋_GB2312" w:eastAsia="仿宋_GB2312"/>
                      <w:sz w:val="19"/>
                    </w:rPr>
                    <w:t>可更换</w:t>
                  </w:r>
                  <w:r>
                    <w:rPr>
                      <w:rFonts w:ascii="仿宋_GB2312" w:hAnsi="仿宋_GB2312" w:cs="仿宋_GB2312" w:eastAsia="仿宋_GB2312"/>
                      <w:sz w:val="21"/>
                    </w:rPr>
                    <w:t>，</w:t>
                  </w:r>
                  <w:r>
                    <w:rPr>
                      <w:rFonts w:ascii="仿宋_GB2312" w:hAnsi="仿宋_GB2312" w:cs="仿宋_GB2312" w:eastAsia="仿宋_GB2312"/>
                      <w:sz w:val="19"/>
                    </w:rPr>
                    <w:t>可配合PIV/PDA使用，另配等尺寸的水压试验压</w:t>
                  </w:r>
                  <w:r>
                    <w:rPr>
                      <w:rFonts w:ascii="仿宋_GB2312" w:hAnsi="仿宋_GB2312" w:cs="仿宋_GB2312" w:eastAsia="仿宋_GB2312"/>
                      <w:sz w:val="19"/>
                    </w:rPr>
                    <w:t>力</w:t>
                  </w:r>
                  <w:r>
                    <w:rPr>
                      <w:rFonts w:ascii="仿宋_GB2312" w:hAnsi="仿宋_GB2312" w:cs="仿宋_GB2312" w:eastAsia="仿宋_GB2312"/>
                      <w:sz w:val="19"/>
                    </w:rPr>
                    <w:t>≥6 MPa不锈钢替换段。</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控制</w:t>
                  </w:r>
                  <w:r>
                    <w:rPr>
                      <w:rFonts w:ascii="仿宋_GB2312" w:hAnsi="仿宋_GB2312" w:cs="仿宋_GB2312" w:eastAsia="仿宋_GB2312"/>
                      <w:sz w:val="19"/>
                    </w:rPr>
                    <w:t>系统</w:t>
                  </w:r>
                  <w:r>
                    <w:rPr>
                      <w:rFonts w:ascii="仿宋_GB2312" w:hAnsi="仿宋_GB2312" w:cs="仿宋_GB2312" w:eastAsia="仿宋_GB2312"/>
                      <w:sz w:val="19"/>
                    </w:rPr>
                    <w:t>：远程</w:t>
                  </w:r>
                  <w:r>
                    <w:rPr>
                      <w:rFonts w:ascii="仿宋_GB2312" w:hAnsi="仿宋_GB2312" w:cs="仿宋_GB2312" w:eastAsia="仿宋_GB2312"/>
                      <w:sz w:val="19"/>
                    </w:rPr>
                    <w:t>监测</w:t>
                  </w:r>
                  <w:r>
                    <w:rPr>
                      <w:rFonts w:ascii="仿宋_GB2312" w:hAnsi="仿宋_GB2312" w:cs="仿宋_GB2312" w:eastAsia="仿宋_GB2312"/>
                      <w:sz w:val="19"/>
                    </w:rPr>
                    <w:t>，</w:t>
                  </w:r>
                  <w:r>
                    <w:rPr>
                      <w:rFonts w:ascii="仿宋_GB2312" w:hAnsi="仿宋_GB2312" w:cs="仿宋_GB2312" w:eastAsia="仿宋_GB2312"/>
                      <w:sz w:val="19"/>
                    </w:rPr>
                    <w:t>满足</w:t>
                  </w:r>
                  <w:r>
                    <w:rPr>
                      <w:rFonts w:ascii="仿宋_GB2312" w:hAnsi="仿宋_GB2312" w:cs="仿宋_GB2312" w:eastAsia="仿宋_GB2312"/>
                      <w:sz w:val="19"/>
                    </w:rPr>
                    <w:t>8</w:t>
                  </w:r>
                  <w:r>
                    <w:rPr>
                      <w:rFonts w:ascii="仿宋_GB2312" w:hAnsi="仿宋_GB2312" w:cs="仿宋_GB2312" w:eastAsia="仿宋_GB2312"/>
                      <w:sz w:val="19"/>
                    </w:rPr>
                    <w:t>路监控视频信号显示</w:t>
                  </w:r>
                  <w:r>
                    <w:rPr>
                      <w:rFonts w:ascii="仿宋_GB2312" w:hAnsi="仿宋_GB2312" w:cs="仿宋_GB2312" w:eastAsia="仿宋_GB2312"/>
                      <w:sz w:val="19"/>
                    </w:rPr>
                    <w:t>，具备空气压缩机、高压泵等动力设备远程正常启动、停机、紧急停机、运行状态监测等功能，配备高性能</w:t>
                  </w:r>
                  <w:r>
                    <w:rPr>
                      <w:rFonts w:ascii="仿宋_GB2312" w:hAnsi="仿宋_GB2312" w:cs="仿宋_GB2312" w:eastAsia="仿宋_GB2312"/>
                      <w:sz w:val="19"/>
                    </w:rPr>
                    <w:t>工作站，配套</w:t>
                  </w:r>
                  <w:r>
                    <w:rPr>
                      <w:rFonts w:ascii="仿宋_GB2312" w:hAnsi="仿宋_GB2312" w:cs="仿宋_GB2312" w:eastAsia="仿宋_GB2312"/>
                      <w:sz w:val="19"/>
                    </w:rPr>
                    <w:t>主机屏幕显示器</w:t>
                  </w:r>
                  <w:r>
                    <w:rPr>
                      <w:rFonts w:ascii="仿宋_GB2312" w:hAnsi="仿宋_GB2312" w:cs="仿宋_GB2312" w:eastAsia="仿宋_GB2312"/>
                      <w:sz w:val="19"/>
                    </w:rPr>
                    <w:t>≥</w:t>
                  </w:r>
                  <w:r>
                    <w:rPr>
                      <w:rFonts w:ascii="仿宋_GB2312" w:hAnsi="仿宋_GB2312" w:cs="仿宋_GB2312" w:eastAsia="仿宋_GB2312"/>
                      <w:sz w:val="19"/>
                    </w:rPr>
                    <w:t>55</w:t>
                  </w:r>
                  <w:r>
                    <w:rPr>
                      <w:rFonts w:ascii="仿宋_GB2312" w:hAnsi="仿宋_GB2312" w:cs="仿宋_GB2312" w:eastAsia="仿宋_GB2312"/>
                      <w:sz w:val="19"/>
                    </w:rPr>
                    <w:t>寸</w:t>
                  </w:r>
                  <w:r>
                    <w:rPr>
                      <w:rFonts w:ascii="仿宋_GB2312" w:hAnsi="仿宋_GB2312" w:cs="仿宋_GB2312" w:eastAsia="仿宋_GB2312"/>
                      <w:sz w:val="19"/>
                    </w:rPr>
                    <w:t>。</w:t>
                  </w:r>
                  <w:r>
                    <w:rPr>
                      <w:rFonts w:ascii="仿宋_GB2312" w:hAnsi="仿宋_GB2312" w:cs="仿宋_GB2312" w:eastAsia="仿宋_GB2312"/>
                      <w:sz w:val="19"/>
                    </w:rPr>
                    <w:t>配备含控制面板和物理按钮的强弱电控制柜</w:t>
                  </w:r>
                  <w:r>
                    <w:rPr>
                      <w:rFonts w:ascii="仿宋_GB2312" w:hAnsi="仿宋_GB2312" w:cs="仿宋_GB2312" w:eastAsia="仿宋_GB2312"/>
                      <w:sz w:val="19"/>
                    </w:rPr>
                    <w:t>，</w:t>
                  </w:r>
                  <w:r>
                    <w:rPr>
                      <w:rFonts w:ascii="仿宋_GB2312" w:hAnsi="仿宋_GB2312" w:cs="仿宋_GB2312" w:eastAsia="仿宋_GB2312"/>
                      <w:sz w:val="19"/>
                    </w:rPr>
                    <w:t>具备远控条件能力</w:t>
                  </w:r>
                  <w:r>
                    <w:rPr>
                      <w:rFonts w:ascii="仿宋_GB2312" w:hAnsi="仿宋_GB2312" w:cs="仿宋_GB2312" w:eastAsia="仿宋_GB2312"/>
                      <w:sz w:val="19"/>
                    </w:rPr>
                    <w:t>。</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rPr>
              <w:t>场地基础承载要求</w:t>
            </w:r>
            <w:r>
              <w:rPr>
                <w:rFonts w:ascii="仿宋_GB2312" w:hAnsi="仿宋_GB2312" w:cs="仿宋_GB2312" w:eastAsia="仿宋_GB2312"/>
                <w:sz w:val="21"/>
              </w:rPr>
              <w:t>（如涉及）</w:t>
            </w:r>
            <w:r>
              <w:rPr>
                <w:rFonts w:ascii="仿宋_GB2312" w:hAnsi="仿宋_GB2312" w:cs="仿宋_GB2312" w:eastAsia="仿宋_GB2312"/>
                <w:sz w:val="21"/>
              </w:rPr>
              <w:t>：供货方需根据本次重型仪器整机自重、设备重心分布、配套附属构件总荷载，提供完整设备基础施工图纸、地面荷载验算报告及地面加固技术方案；设备放置区域地面均布承载力不得低于仪器满载总重量</w:t>
            </w:r>
            <w:r>
              <w:rPr>
                <w:rFonts w:ascii="仿宋_GB2312" w:hAnsi="仿宋_GB2312" w:cs="仿宋_GB2312" w:eastAsia="仿宋_GB2312"/>
                <w:sz w:val="21"/>
              </w:rPr>
              <w:t>1.5倍，局部集中承重点位需满足设备支脚单点承重需求，</w:t>
            </w:r>
            <w:r>
              <w:rPr>
                <w:rFonts w:ascii="仿宋_GB2312" w:hAnsi="仿宋_GB2312" w:cs="仿宋_GB2312" w:eastAsia="仿宋_GB2312"/>
                <w:sz w:val="21"/>
              </w:rPr>
              <w:t>地面按照设备工作要求平整</w:t>
            </w:r>
            <w:r>
              <w:rPr>
                <w:rFonts w:ascii="仿宋_GB2312" w:hAnsi="仿宋_GB2312" w:cs="仿宋_GB2312" w:eastAsia="仿宋_GB2312"/>
                <w:sz w:val="21"/>
              </w:rPr>
              <w:t>，地面无沉降、空鼓、开裂缺陷；若现场原有地面承载力不满足安装条件，</w:t>
            </w:r>
            <w:r>
              <w:rPr>
                <w:rFonts w:ascii="仿宋_GB2312" w:hAnsi="仿宋_GB2312" w:cs="仿宋_GB2312" w:eastAsia="仿宋_GB2312"/>
                <w:sz w:val="21"/>
              </w:rPr>
              <w:t>成交供应商</w:t>
            </w:r>
            <w:r>
              <w:rPr>
                <w:rFonts w:ascii="仿宋_GB2312" w:hAnsi="仿宋_GB2312" w:cs="仿宋_GB2312" w:eastAsia="仿宋_GB2312"/>
                <w:sz w:val="21"/>
              </w:rPr>
              <w:t>须免费提供地面加固、承重基座制作全套施工方案并完成施工，所有施工材料、人工、检测费用全部包含在投标总价内。</w:t>
            </w:r>
          </w:p>
          <w:p>
            <w:pPr>
              <w:pStyle w:val="null3"/>
              <w:numPr>
                <w:ilvl w:val="0"/>
                <w:numId w:val="1"/>
              </w:numPr>
              <w:jc w:val="both"/>
            </w:pPr>
            <w:r>
              <w:rPr>
                <w:rFonts w:ascii="仿宋_GB2312" w:hAnsi="仿宋_GB2312" w:cs="仿宋_GB2312" w:eastAsia="仿宋_GB2312"/>
                <w:sz w:val="21"/>
              </w:rPr>
              <w:t>整机就位、调平与减震安装要求</w:t>
            </w:r>
            <w:r>
              <w:rPr>
                <w:rFonts w:ascii="仿宋_GB2312" w:hAnsi="仿宋_GB2312" w:cs="仿宋_GB2312" w:eastAsia="仿宋_GB2312"/>
                <w:sz w:val="21"/>
              </w:rPr>
              <w:t>（如涉及）</w:t>
            </w:r>
            <w:r>
              <w:rPr>
                <w:rFonts w:ascii="仿宋_GB2312" w:hAnsi="仿宋_GB2312" w:cs="仿宋_GB2312" w:eastAsia="仿宋_GB2312"/>
                <w:sz w:val="21"/>
              </w:rPr>
              <w:t>：设备进场就位后，</w:t>
            </w:r>
            <w:r>
              <w:rPr>
                <w:rFonts w:ascii="仿宋_GB2312" w:hAnsi="仿宋_GB2312" w:cs="仿宋_GB2312" w:eastAsia="仿宋_GB2312"/>
                <w:sz w:val="21"/>
              </w:rPr>
              <w:t>成交供应商</w:t>
            </w:r>
            <w:r>
              <w:rPr>
                <w:rFonts w:ascii="仿宋_GB2312" w:hAnsi="仿宋_GB2312" w:cs="仿宋_GB2312" w:eastAsia="仿宋_GB2312"/>
                <w:sz w:val="21"/>
              </w:rPr>
              <w:t>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w:t>
            </w:r>
          </w:p>
          <w:p>
            <w:pPr>
              <w:pStyle w:val="null3"/>
              <w:numPr>
                <w:ilvl w:val="0"/>
                <w:numId w:val="1"/>
              </w:numPr>
              <w:jc w:val="both"/>
            </w:pPr>
            <w:r>
              <w:rPr>
                <w:rFonts w:ascii="仿宋_GB2312" w:hAnsi="仿宋_GB2312" w:cs="仿宋_GB2312" w:eastAsia="仿宋_GB2312"/>
                <w:sz w:val="21"/>
              </w:rPr>
              <w:t>质保期内</w:t>
            </w:r>
            <w:r>
              <w:rPr>
                <w:rFonts w:ascii="仿宋_GB2312" w:hAnsi="仿宋_GB2312" w:cs="仿宋_GB2312" w:eastAsia="仿宋_GB2312"/>
                <w:sz w:val="21"/>
              </w:rPr>
              <w:t>供应商</w:t>
            </w:r>
            <w:r>
              <w:rPr>
                <w:rFonts w:ascii="仿宋_GB2312" w:hAnsi="仿宋_GB2312" w:cs="仿宋_GB2312" w:eastAsia="仿宋_GB2312"/>
                <w:sz w:val="21"/>
              </w:rPr>
              <w:t>提供免费搬迁和安装调试</w:t>
            </w:r>
            <w:r>
              <w:rPr>
                <w:rFonts w:ascii="仿宋_GB2312" w:hAnsi="仿宋_GB2312" w:cs="仿宋_GB2312" w:eastAsia="仿宋_GB2312"/>
                <w:sz w:val="21"/>
              </w:rPr>
              <w:t>1次，本次搬迁和安装调试过程中所产生的一切费用由</w:t>
            </w:r>
            <w:r>
              <w:rPr>
                <w:rFonts w:ascii="仿宋_GB2312" w:hAnsi="仿宋_GB2312" w:cs="仿宋_GB2312" w:eastAsia="仿宋_GB2312"/>
                <w:sz w:val="21"/>
              </w:rPr>
              <w:t>供应商</w:t>
            </w:r>
            <w:r>
              <w:rPr>
                <w:rFonts w:ascii="仿宋_GB2312" w:hAnsi="仿宋_GB2312" w:cs="仿宋_GB2312" w:eastAsia="仿宋_GB2312"/>
                <w:sz w:val="21"/>
              </w:rPr>
              <w:t>承担；本次搬迁和安装调试过程中仪器出现的一切故障和损坏由</w:t>
            </w:r>
            <w:r>
              <w:rPr>
                <w:rFonts w:ascii="仿宋_GB2312" w:hAnsi="仿宋_GB2312" w:cs="仿宋_GB2312" w:eastAsia="仿宋_GB2312"/>
                <w:sz w:val="21"/>
              </w:rPr>
              <w:t>供应商</w:t>
            </w:r>
            <w:r>
              <w:rPr>
                <w:rFonts w:ascii="仿宋_GB2312" w:hAnsi="仿宋_GB2312" w:cs="仿宋_GB2312" w:eastAsia="仿宋_GB2312"/>
                <w:sz w:val="21"/>
              </w:rPr>
              <w:t>免费修复。</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标的名称：动态信号采集和实时分析仪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8"/>
              <w:gridCol w:w="251"/>
              <w:gridCol w:w="1914"/>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参数性质</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装置形式为模块化组装后整体撬装结构，整体运输、吊装，外部预留强弱电接口。</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装置组成：温度、压力、压差、应变力、加速度、位移脉动变送器、数据采集模块、工控平台、自适应电桥、时</w:t>
                  </w:r>
                  <w:r>
                    <w:rPr>
                      <w:rFonts w:ascii="仿宋_GB2312" w:hAnsi="仿宋_GB2312" w:cs="仿宋_GB2312" w:eastAsia="仿宋_GB2312"/>
                      <w:sz w:val="21"/>
                      <w:color w:val="000000"/>
                    </w:rPr>
                    <w:t>/频域分析模块等组件，撬装框架材料：装框架及支撑可采用碳钢结构，需做防锈处理，配备电气连接线缆以及含控制面板和物理按钮的强弱电控制柜。</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仪表系统，所有直接接触仪表耐压：</w:t>
                  </w:r>
                  <w:r>
                    <w:rPr>
                      <w:rFonts w:ascii="仿宋_GB2312" w:hAnsi="仿宋_GB2312" w:cs="仿宋_GB2312" w:eastAsia="仿宋_GB2312"/>
                      <w:sz w:val="21"/>
                      <w:color w:val="000000"/>
                    </w:rPr>
                    <w:t>≥20MPa，所有直接接触仪表耐温：-20-100℃。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温度变送器：铠装式温度变送器，可直接接触测温介质，适合长期使用及动态测量。测量灵敏度</w:t>
                  </w:r>
                  <w:r>
                    <w:rPr>
                      <w:rFonts w:ascii="仿宋_GB2312" w:hAnsi="仿宋_GB2312" w:cs="仿宋_GB2312" w:eastAsia="仿宋_GB2312"/>
                      <w:sz w:val="21"/>
                      <w:color w:val="000000"/>
                    </w:rPr>
                    <w:t>≤±0.5℃，套管材质为316不锈钢，固定装置为法兰连接，输出信号4-20mA，数量≥6个。</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压力变送器：高压流体管道用压力变送器，可直接接触测量介质，带数显表头，量程范围内可调，输出信号4-20mA，数量≥4个。</w:t>
                  </w:r>
                  <w:r>
                    <w:rPr>
                      <w:rFonts w:ascii="仿宋_GB2312" w:hAnsi="仿宋_GB2312" w:cs="仿宋_GB2312" w:eastAsia="仿宋_GB2312"/>
                      <w:sz w:val="21"/>
                      <w:color w:val="000000"/>
                    </w:rPr>
                    <w:t>★压力变送器精度等级≤0.075%，最高测量范围0-20MPa。</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压差变送器：高压流体管道用压差变送器，可直接接触测量介质，带数显表头，量程范围内可调，输出信号4-20mA,数量≥4个。</w:t>
                  </w:r>
                  <w:r>
                    <w:rPr>
                      <w:rFonts w:ascii="仿宋_GB2312" w:hAnsi="仿宋_GB2312" w:cs="仿宋_GB2312" w:eastAsia="仿宋_GB2312"/>
                      <w:sz w:val="21"/>
                      <w:color w:val="000000"/>
                    </w:rPr>
                    <w:t>★压差变送器精度等级≤0.075%，最高测量范围500kPa。</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应变力变送器：高压流体管道管外壁用应变力变送器，不直接接触测量介质，灵敏度</w:t>
                  </w:r>
                  <w:r>
                    <w:rPr>
                      <w:rFonts w:ascii="仿宋_GB2312" w:hAnsi="仿宋_GB2312" w:cs="仿宋_GB2312" w:eastAsia="仿宋_GB2312"/>
                      <w:sz w:val="21"/>
                      <w:color w:val="000000"/>
                    </w:rPr>
                    <w:t>≤1.0mV/N，量程≤1000N,输出信号4-20mA,数量≥6个。</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≤0.1%。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加速度变送器：高压流体管道管外壁用加速度变送器，不直接接触测量介质，XYZ三轴测量，输出信号4-20mA，数量≥6个。</w:t>
                  </w:r>
                  <w:r>
                    <w:rPr>
                      <w:rFonts w:ascii="仿宋_GB2312" w:hAnsi="仿宋_GB2312" w:cs="仿宋_GB2312" w:eastAsia="仿宋_GB2312"/>
                      <w:sz w:val="21"/>
                      <w:color w:val="000000"/>
                    </w:rPr>
                    <w:t>加速度变送器灵敏度≤100mV/g，量程≤100g，精度：±5mg。</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位移脉动变送器：高压流体管道管外壁用电涡流式位移变送器，不直接接触测量介质，</w:t>
                  </w:r>
                  <w:r>
                    <w:rPr>
                      <w:rFonts w:ascii="仿宋_GB2312" w:hAnsi="仿宋_GB2312" w:cs="仿宋_GB2312" w:eastAsia="仿宋_GB2312"/>
                      <w:sz w:val="21"/>
                      <w:color w:val="000000"/>
                    </w:rPr>
                    <w:t>采样频率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10kHz，非线性误差≤2%，量程≤20mm,输出信号4-20mA</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输出信号精度：</w:t>
                  </w:r>
                  <w:r>
                    <w:rPr>
                      <w:rFonts w:ascii="仿宋_GB2312" w:hAnsi="仿宋_GB2312" w:cs="仿宋_GB2312" w:eastAsia="仿宋_GB2312"/>
                      <w:sz w:val="21"/>
                      <w:color w:val="000000"/>
                    </w:rPr>
                    <w:t>±0.1%</w:t>
                  </w:r>
                  <w:r>
                    <w:rPr>
                      <w:rFonts w:ascii="仿宋_GB2312" w:hAnsi="仿宋_GB2312" w:cs="仿宋_GB2312" w:eastAsia="仿宋_GB2312"/>
                      <w:sz w:val="21"/>
                      <w:color w:val="000000"/>
                    </w:rPr>
                    <w:t>,数量≥6个。</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数据采集装置：各通道同时采样，可采集压力、压差、温度、应力应变、加速度、位移测量信号。满足同步测量，具备必要线缆、采集程序、必要外设。</w:t>
                  </w:r>
                  <w:r>
                    <w:rPr>
                      <w:rFonts w:ascii="仿宋_GB2312" w:hAnsi="仿宋_GB2312" w:cs="仿宋_GB2312" w:eastAsia="仿宋_GB2312"/>
                      <w:sz w:val="21"/>
                      <w:color w:val="000000"/>
                    </w:rPr>
                    <w:t>★数据采集装置采集通道≥50个，单通道采样频率≥1kHz。</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工控平台：采集终端及数据储存、处理装置，包含高性能</w:t>
                  </w:r>
                  <w:r>
                    <w:rPr>
                      <w:rFonts w:ascii="仿宋_GB2312" w:hAnsi="仿宋_GB2312" w:cs="仿宋_GB2312" w:eastAsia="仿宋_GB2312"/>
                      <w:sz w:val="21"/>
                      <w:color w:val="000000"/>
                    </w:rPr>
                    <w:t>工作站</w:t>
                  </w:r>
                  <w:r>
                    <w:rPr>
                      <w:rFonts w:ascii="仿宋_GB2312" w:hAnsi="仿宋_GB2312" w:cs="仿宋_GB2312" w:eastAsia="仿宋_GB2312"/>
                      <w:sz w:val="21"/>
                      <w:color w:val="000000"/>
                    </w:rPr>
                    <w:t>、数控显示屏、数据采集和处理程序等，</w:t>
                  </w:r>
                  <w:r>
                    <w:rPr>
                      <w:rFonts w:ascii="仿宋_GB2312" w:hAnsi="仿宋_GB2312" w:cs="仿宋_GB2312" w:eastAsia="仿宋_GB2312"/>
                      <w:sz w:val="21"/>
                      <w:color w:val="000000"/>
                    </w:rPr>
                    <w:t>CPU物理核心数≥128，</w:t>
                  </w: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≥128G,数据存储能力≥40T,</w:t>
                  </w:r>
                  <w:r>
                    <w:rPr>
                      <w:rFonts w:ascii="仿宋_GB2312" w:hAnsi="仿宋_GB2312" w:cs="仿宋_GB2312" w:eastAsia="仿宋_GB2312"/>
                      <w:sz w:val="21"/>
                      <w:color w:val="000000"/>
                    </w:rPr>
                    <w:t>显卡显存</w:t>
                  </w:r>
                  <w:r>
                    <w:rPr>
                      <w:rFonts w:ascii="仿宋_GB2312" w:hAnsi="仿宋_GB2312" w:cs="仿宋_GB2312" w:eastAsia="仿宋_GB2312"/>
                      <w:sz w:val="21"/>
                      <w:color w:val="000000"/>
                    </w:rPr>
                    <w:t>≥16G，</w:t>
                  </w:r>
                  <w:r>
                    <w:rPr>
                      <w:rFonts w:ascii="仿宋_GB2312" w:hAnsi="仿宋_GB2312" w:cs="仿宋_GB2312" w:eastAsia="仿宋_GB2312"/>
                      <w:sz w:val="21"/>
                      <w:color w:val="000000"/>
                    </w:rPr>
                    <w:t>配备相应的直流电源、自适应电桥、功率放大器、信号调理器等部件。</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时</w:t>
                  </w:r>
                  <w:r>
                    <w:rPr>
                      <w:rFonts w:ascii="仿宋_GB2312" w:hAnsi="仿宋_GB2312" w:cs="仿宋_GB2312" w:eastAsia="仿宋_GB2312"/>
                      <w:sz w:val="21"/>
                      <w:color w:val="000000"/>
                    </w:rPr>
                    <w:t>/频域分析模块：具备FFT、自定义滤波、测量工程自定义、图/表数据生成、数据管理等功能，可实现数据实时显示及图像导出，带屏幕显示。</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numPr>
                <w:ilvl w:val="0"/>
                <w:numId w:val="1"/>
              </w:numPr>
            </w:pPr>
            <w:r>
              <w:rPr>
                <w:rFonts w:ascii="仿宋_GB2312" w:hAnsi="仿宋_GB2312" w:cs="仿宋_GB2312" w:eastAsia="仿宋_GB2312"/>
              </w:rPr>
              <w:t>场地基础承载要求</w:t>
            </w:r>
            <w:r>
              <w:rPr>
                <w:rFonts w:ascii="仿宋_GB2312" w:hAnsi="仿宋_GB2312" w:cs="仿宋_GB2312" w:eastAsia="仿宋_GB2312"/>
                <w:sz w:val="21"/>
              </w:rPr>
              <w:t>（如涉及）</w:t>
            </w:r>
            <w:r>
              <w:rPr>
                <w:rFonts w:ascii="仿宋_GB2312" w:hAnsi="仿宋_GB2312" w:cs="仿宋_GB2312" w:eastAsia="仿宋_GB2312"/>
              </w:rPr>
              <w:t>：供货方需根据本次重型仪器整机自重、设备重心分布、配套附属构件总荷载，提供完整设备基础施工图纸、地面荷载验算报告及地面加固技术方案；设备放置区域地面均布承载力不得低于仪器满载总重量</w:t>
            </w:r>
            <w:r>
              <w:rPr>
                <w:rFonts w:ascii="仿宋_GB2312" w:hAnsi="仿宋_GB2312" w:cs="仿宋_GB2312" w:eastAsia="仿宋_GB2312"/>
              </w:rPr>
              <w:t>1.5倍，局部集中承重点位需满足设备支脚单点承重需求，</w:t>
            </w:r>
            <w:r>
              <w:rPr>
                <w:rFonts w:ascii="仿宋_GB2312" w:hAnsi="仿宋_GB2312" w:cs="仿宋_GB2312" w:eastAsia="仿宋_GB2312"/>
                <w:sz w:val="21"/>
              </w:rPr>
              <w:t>地面按照设备工作要求平整</w:t>
            </w:r>
            <w:r>
              <w:rPr>
                <w:rFonts w:ascii="仿宋_GB2312" w:hAnsi="仿宋_GB2312" w:cs="仿宋_GB2312" w:eastAsia="仿宋_GB2312"/>
              </w:rPr>
              <w:t>，地面无沉降、空鼓、开裂缺陷；若现场原有地面承载力不满足安装条件，</w:t>
            </w:r>
            <w:r>
              <w:rPr>
                <w:rFonts w:ascii="仿宋_GB2312" w:hAnsi="仿宋_GB2312" w:cs="仿宋_GB2312" w:eastAsia="仿宋_GB2312"/>
              </w:rPr>
              <w:t>成交供应商</w:t>
            </w:r>
            <w:r>
              <w:rPr>
                <w:rFonts w:ascii="仿宋_GB2312" w:hAnsi="仿宋_GB2312" w:cs="仿宋_GB2312" w:eastAsia="仿宋_GB2312"/>
              </w:rPr>
              <w:t>须免费提供地面加固、承重基座制作全套施工方案并完成施工，所有施工材料、人工、检测费用全部包含在投标总价内。</w:t>
            </w:r>
          </w:p>
          <w:p>
            <w:pPr>
              <w:pStyle w:val="null3"/>
              <w:numPr>
                <w:ilvl w:val="0"/>
                <w:numId w:val="1"/>
              </w:numPr>
            </w:pPr>
            <w:r>
              <w:rPr>
                <w:rFonts w:ascii="仿宋_GB2312" w:hAnsi="仿宋_GB2312" w:cs="仿宋_GB2312" w:eastAsia="仿宋_GB2312"/>
              </w:rPr>
              <w:t>整机就位、调平与减震安装要求</w:t>
            </w:r>
            <w:r>
              <w:rPr>
                <w:rFonts w:ascii="仿宋_GB2312" w:hAnsi="仿宋_GB2312" w:cs="仿宋_GB2312" w:eastAsia="仿宋_GB2312"/>
                <w:sz w:val="21"/>
              </w:rPr>
              <w:t>（如涉及）</w:t>
            </w:r>
            <w:r>
              <w:rPr>
                <w:rFonts w:ascii="仿宋_GB2312" w:hAnsi="仿宋_GB2312" w:cs="仿宋_GB2312" w:eastAsia="仿宋_GB2312"/>
              </w:rPr>
              <w:t>：设备进场就位后，</w:t>
            </w:r>
            <w:r>
              <w:rPr>
                <w:rFonts w:ascii="仿宋_GB2312" w:hAnsi="仿宋_GB2312" w:cs="仿宋_GB2312" w:eastAsia="仿宋_GB2312"/>
              </w:rPr>
              <w:t>成交供应商</w:t>
            </w:r>
            <w:r>
              <w:rPr>
                <w:rFonts w:ascii="仿宋_GB2312" w:hAnsi="仿宋_GB2312" w:cs="仿宋_GB2312" w:eastAsia="仿宋_GB2312"/>
              </w:rPr>
              <w:t>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w:t>
            </w:r>
          </w:p>
          <w:p>
            <w:pPr>
              <w:pStyle w:val="null3"/>
              <w:ind w:left="105"/>
            </w:pPr>
            <w:r>
              <w:rPr>
                <w:rFonts w:ascii="仿宋_GB2312" w:hAnsi="仿宋_GB2312" w:cs="仿宋_GB2312" w:eastAsia="仿宋_GB2312"/>
              </w:rPr>
              <w:t xml:space="preserve">  3.</w:t>
            </w:r>
            <w:r>
              <w:rPr>
                <w:rFonts w:ascii="仿宋_GB2312" w:hAnsi="仿宋_GB2312" w:cs="仿宋_GB2312" w:eastAsia="仿宋_GB2312"/>
              </w:rPr>
              <w:t>质保期内</w:t>
            </w:r>
            <w:r>
              <w:rPr>
                <w:rFonts w:ascii="仿宋_GB2312" w:hAnsi="仿宋_GB2312" w:cs="仿宋_GB2312" w:eastAsia="仿宋_GB2312"/>
              </w:rPr>
              <w:t>成交供应商</w:t>
            </w:r>
            <w:r>
              <w:rPr>
                <w:rFonts w:ascii="仿宋_GB2312" w:hAnsi="仿宋_GB2312" w:cs="仿宋_GB2312" w:eastAsia="仿宋_GB2312"/>
              </w:rPr>
              <w:t>提供免费搬迁和安装调试</w:t>
            </w:r>
            <w:r>
              <w:rPr>
                <w:rFonts w:ascii="仿宋_GB2312" w:hAnsi="仿宋_GB2312" w:cs="仿宋_GB2312" w:eastAsia="仿宋_GB2312"/>
              </w:rPr>
              <w:t>1次，本次搬迁和安装调试过程中所产生的一切费用由</w:t>
            </w:r>
            <w:r>
              <w:rPr>
                <w:rFonts w:ascii="仿宋_GB2312" w:hAnsi="仿宋_GB2312" w:cs="仿宋_GB2312" w:eastAsia="仿宋_GB2312"/>
              </w:rPr>
              <w:t>成交供应商</w:t>
            </w:r>
            <w:r>
              <w:rPr>
                <w:rFonts w:ascii="仿宋_GB2312" w:hAnsi="仿宋_GB2312" w:cs="仿宋_GB2312" w:eastAsia="仿宋_GB2312"/>
              </w:rPr>
              <w:t>承担；本次搬迁和安装调试过程中仪器出现的一切故障和损坏由</w:t>
            </w:r>
            <w:r>
              <w:rPr>
                <w:rFonts w:ascii="仿宋_GB2312" w:hAnsi="仿宋_GB2312" w:cs="仿宋_GB2312" w:eastAsia="仿宋_GB2312"/>
              </w:rPr>
              <w:t>成交供应商</w:t>
            </w:r>
            <w:r>
              <w:rPr>
                <w:rFonts w:ascii="仿宋_GB2312" w:hAnsi="仿宋_GB2312" w:cs="仿宋_GB2312" w:eastAsia="仿宋_GB2312"/>
              </w:rPr>
              <w:t>免费修复。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本合同生效后180天内到货并安装调试交付使用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本合同生效后180天内到货并安装调试交付使用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进度款，“一次性付清”为系统固定推述内容，具体付款方式以下列内容为准：合同签订后，供应商开具预付款等额银行保函，采购人收到银行保函正本后10个工作日内支付预付款，最多支付至129万元， 剩余款项待验收合格后，并出具增值税专用发票，达到付款条件起10个工作日内，支付合同总金额的100.0%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进度款，“一次性付清”为系统固定推述内容，具体付款方式以下列内容为准：合同签订后，供应商开具预付款等额银行保函，采购人收到银行保函正本后10个工作日内支付预付款，最多支付至40万元， 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质保期：自验收合格之日起3年。 售后服务效率要求：7*24 即时响应（包括电话响应）；电话响应无法解决时，24小时内到达现场。修复时间48小时内；如48小时内无法修复，应提供相应解决方案。售后服务标准要求： 技术服务： 1. 卖方应在合同生效后的1个月内向用户提供详细的安装要求并提供技术咨询。 2. 仪器到达用户所在地，在接到用户通知后一周内进行安装调试，直至通过验收。 3. 技术培训：在用户所在地对用户进行为期1周的培训，培训费由供应商承担。培训内容包括仪器的技术原理、操作、数据处理、基本维护等。验收后半年内组织买方相关人员2人参加举办的相关应用培训班。4. 保修期：卖方提供三年的免费保修,保修期自仪器验收签字之日起计算。保修期间维修及零件更换费用由厂家负担。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质保期：自验收合格之日起3年。 售后服务效率要求：7*24 即时响应（包括电话响应）；电话响应无法解决时，24小时内到达现场。修复时间48小时内；如48小时内无法修复，应提供相应解决方案。售后服务标准要求： 技术服务： 1. 卖方应在合同生效后的1个月内向用户提供详细的安装要求并提供技术咨询。 2. 仪器到达用户所在地，在接到用户通知后一周内进行安装调试，直至通过验收。 3. 技术培训：在用户所在地对用户进行为期1周的培训，培训费由供应商承担。培训内容包括仪器的技术原理、操作、数据处理、基本维护等。验收后半年内组织买方相关人员2人参加举办的相关应用培训班。 4. 保修期：卖方提供三年的免费保修,保修期自仪器验收签字之日起计算。保修期间维修及零件更换费用由厂家负担。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按照招标文件、中标人投标文件及合同文本执行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按照招标文件、中标人投标文件及合同文本执行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1.培训要求：在用户所在地对用户进行为期1周的培训，培训费用由供货商承担。培训内容包括：仪器的技术原理、操作、数据处理、基本维护等。验收后半年内组织买方相关人员2人参加举办的相关应用培训班。 2.报价要求：（1）供应商应当根据采购文件的要求和范围，以人民币为货币，以元为报价单位。 （2）报价：谈判报价是指到达使用地点、验收合格达到正常使用条件前的所有费用，包括但不限于以下费用：货物价值、安装调试费、国内运杂费（含保险）、仓储保管费、技术培训费、检测费、施工费、人工费等全部相关费用； 3.谈判保证金注意事项：（1）谈判保证金缴纳截止时间：同响应文件递交截止时间一致。（2）谈判保证金须从供应商户名支付，如从个人户名或非供应商户名支付，将被拒绝，视为自动放弃谈判权利（该个人是供应商的情形除外）；以保函形式交纳谈判保证金的，供应商应在谈判截止时间前将保函扫描成清晰的PDF文件，发送至邮箱wangxin@sxzjtc.com（邮件命名：项目编号）。保函必须由具有开具投标保函资格的单位开具；若供应商违约，开具保函单位承担连带责任；（3）供应商递交文件前，需在陕西省政府采购网电子化系统中完成保证金缴纳信息的填写及材料上传。 4.根据采购人档案管理要求，供应商需要在线提交所有通过电子化交易平台实施的政府采购项目的响应文件。同时，线下提交响应文件正本 壹 份、副本壹 份。若系统电子响应文件与纸质响应文件不一致的，以系统电子响应文件为准。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同1包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1、供应商为合法注册的法人、其他组织或自然人，具有独立承担民事责任的能力，提供具有统一社会信用代码证的营业执照（或事业单位法人证）；供应商为自然人的提供身份证； 2、供应商提供2025年度经审计财务审计报告（成立时间至提交响应文件截止时间不足一年的可提供成立后任意时段的资产负债表），或其谈判前12个月内银行出具的资信证明，或财政部门认可的政府采购专业担保机构出具的投标担保函； 3、提供具有履行本合同所必需专业技术能力的说明及承诺； 4、税收缴纳证明：提供谈判截止时间前12个月内以来任意时段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5、社会保障资金缴纳证明：提供谈判截止时间前12个月内任意时段的社会保障资金缴存单据或社保机构开具的社会保险参保缴费情况证明。依法不需要缴纳社会保障资金的供应商应提供相关文件证明；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为合法注册的法人、其他组织或自然人，具有独立承担民事责任的能力，提供具有统一社会信用代码证的营业执照（或事业单位法人证）；供应商为自然人的提供身份证； 2、供应商提供2025年度经审计财务审计报告（成立时间至提交响应文件截止时间不足一年的可提供成立后任意时段的资产负债表），或其谈判前12个月内银行出具的资信证明，或财政部门认可的政府采购专业担保机构出具的投标担保函； 3、提供具有履行本合同所必需专业技术能力的说明及承诺； 4、税收缴纳证明：提供谈判截止时间前12个月内以来任意时段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5、社会保障资金缴纳证明：提供谈判截止时间前12个月内任意时段的社会保障资金缴存单据或社保机构开具的社会保险参保缴费情况证明。依法不需要缴纳社会保障资金的供应商应提供相关文件证明；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谈判的，须提供法定代表人身份证，并与营业执照上信息一致。法定代表人授权代表参加谈判的，须提供法定代表人授权书；（授权代表需提供谈判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谈判的，须提供法定代表人身份证，并与营业执照上信息一致。法定代表人授权代表参加谈判的，须提供法定代表人授权书；（授权代表需提供谈判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谈判报价表及分项报价表.docx 标的清单 报价表 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交货时间为本合同生效后180天内到货并安装调试交付使用</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质保期：自验收合格之日起3年。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合同签订后，供应商开具预付款等额银行保函，采购人收到银行保函正本后10个工作日内支付预付款，最多支付至129万元， 剩余款项待验收合格后，并出具增值税专用发票，达到付款条件后10个工作日内付清，达到付款条件起10个工作日内，支付合同总金额的100.0%。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3.3技术要求</w:t>
            </w:r>
          </w:p>
        </w:tc>
        <w:tc>
          <w:tcPr>
            <w:tcW w:type="dxa" w:w="3322"/>
          </w:tcPr>
          <w:p>
            <w:pPr>
              <w:pStyle w:val="null3"/>
            </w:pPr>
            <w:r>
              <w:rPr>
                <w:rFonts w:ascii="仿宋_GB2312" w:hAnsi="仿宋_GB2312" w:cs="仿宋_GB2312" w:eastAsia="仿宋_GB2312"/>
              </w:rPr>
              <w:t>参数需求带“★”的参数需求为实质性要求，需提供证明材料（“★项”证明材料提供第三方检测报告或厂家出具的技术说明书），供应商应完全满足参数需求，其余参数指标无负偏离。</w:t>
            </w:r>
          </w:p>
        </w:tc>
        <w:tc>
          <w:tcPr>
            <w:tcW w:type="dxa" w:w="1661"/>
          </w:tcPr>
          <w:p>
            <w:pPr>
              <w:pStyle w:val="null3"/>
            </w:pPr>
            <w:r>
              <w:rPr>
                <w:rFonts w:ascii="仿宋_GB2312" w:hAnsi="仿宋_GB2312" w:cs="仿宋_GB2312" w:eastAsia="仿宋_GB2312"/>
              </w:rPr>
              <w:t>业绩一览表.docx 技术偏离表.docx 1包“★”项证明材料.docx 实施方案、人员表及供应商认为有必要提供的其他内容.docx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没有采购人不能接受的条款</w:t>
            </w:r>
          </w:p>
        </w:tc>
        <w:tc>
          <w:tcPr>
            <w:tcW w:type="dxa" w:w="3322"/>
          </w:tcPr>
          <w:p>
            <w:pPr>
              <w:pStyle w:val="null3"/>
            </w:pPr>
            <w:r>
              <w:rPr>
                <w:rFonts w:ascii="仿宋_GB2312" w:hAnsi="仿宋_GB2312" w:cs="仿宋_GB2312" w:eastAsia="仿宋_GB2312"/>
              </w:rPr>
              <w:t>没有采购人不能接受的条款</w:t>
            </w:r>
          </w:p>
        </w:tc>
        <w:tc>
          <w:tcPr>
            <w:tcW w:type="dxa" w:w="1661"/>
          </w:tcPr>
          <w:p>
            <w:pPr>
              <w:pStyle w:val="null3"/>
            </w:pPr>
            <w:r>
              <w:rPr>
                <w:rFonts w:ascii="仿宋_GB2312" w:hAnsi="仿宋_GB2312" w:cs="仿宋_GB2312" w:eastAsia="仿宋_GB2312"/>
              </w:rPr>
              <w:t>技术偏离表.docx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谈判报价表及分项报价表.docx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交货时间为本合同生效后180天内到货并安装调试交付使用</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质保期：自验收合格之日起3年。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合同签订后，供应商开具预付款等额银行保函，采购人收到银行保函正本后10个工作日内支付预付款，最多支付至40万元， 剩余款项待验收合格后，并出具增值税专用发票，达到付款条件后10个工作日内付清，达到付款条件起10个工作日内，支付合同总金额的100.0%。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3.3技术要求</w:t>
            </w:r>
          </w:p>
        </w:tc>
        <w:tc>
          <w:tcPr>
            <w:tcW w:type="dxa" w:w="3322"/>
          </w:tcPr>
          <w:p>
            <w:pPr>
              <w:pStyle w:val="null3"/>
            </w:pPr>
            <w:r>
              <w:rPr>
                <w:rFonts w:ascii="仿宋_GB2312" w:hAnsi="仿宋_GB2312" w:cs="仿宋_GB2312" w:eastAsia="仿宋_GB2312"/>
              </w:rPr>
              <w:t>参数需求带“★”的参数需求为实质性要求，需提供证明材料（“★项”证明材料提供第三方检测报告或厂家出具的技术说明书），供应商应完全满足参数需求，其余参数指标无负偏离。</w:t>
            </w:r>
          </w:p>
        </w:tc>
        <w:tc>
          <w:tcPr>
            <w:tcW w:type="dxa" w:w="1661"/>
          </w:tcPr>
          <w:p>
            <w:pPr>
              <w:pStyle w:val="null3"/>
            </w:pPr>
            <w:r>
              <w:rPr>
                <w:rFonts w:ascii="仿宋_GB2312" w:hAnsi="仿宋_GB2312" w:cs="仿宋_GB2312" w:eastAsia="仿宋_GB2312"/>
              </w:rPr>
              <w:t>业绩一览表.docx 技术偏离表.docx 实施方案、人员表及供应商认为有必要提供的其他内容.docx 2包★项证明材料.docx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没有采购人不能接受的条款</w:t>
            </w:r>
          </w:p>
        </w:tc>
        <w:tc>
          <w:tcPr>
            <w:tcW w:type="dxa" w:w="3322"/>
          </w:tcPr>
          <w:p>
            <w:pPr>
              <w:pStyle w:val="null3"/>
            </w:pPr>
            <w:r>
              <w:rPr>
                <w:rFonts w:ascii="仿宋_GB2312" w:hAnsi="仿宋_GB2312" w:cs="仿宋_GB2312" w:eastAsia="仿宋_GB2312"/>
              </w:rPr>
              <w:t>没有采购人不能接受的条款</w:t>
            </w:r>
          </w:p>
        </w:tc>
        <w:tc>
          <w:tcPr>
            <w:tcW w:type="dxa" w:w="1661"/>
          </w:tcPr>
          <w:p>
            <w:pPr>
              <w:pStyle w:val="null3"/>
            </w:pPr>
            <w:r>
              <w:rPr>
                <w:rFonts w:ascii="仿宋_GB2312" w:hAnsi="仿宋_GB2312" w:cs="仿宋_GB2312" w:eastAsia="仿宋_GB2312"/>
              </w:rPr>
              <w:t>技术偏离表.docx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 中国境内生产的组件成本核算基本规则.docx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详见附件：1包“★”项证明材料.docx</w:t>
      </w:r>
    </w:p>
    <w:p>
      <w:pPr>
        <w:pStyle w:val="null3"/>
        <w:ind w:firstLine="960"/>
      </w:pPr>
      <w:r>
        <w:rPr>
          <w:rFonts w:ascii="仿宋_GB2312" w:hAnsi="仿宋_GB2312" w:cs="仿宋_GB2312" w:eastAsia="仿宋_GB2312"/>
        </w:rPr>
        <w:t>详见附件：谈判报价表及分项报价表.docx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详见附件：2包★项证明材料.docx</w:t>
      </w:r>
    </w:p>
    <w:p>
      <w:pPr>
        <w:pStyle w:val="null3"/>
        <w:ind w:firstLine="960"/>
      </w:pPr>
      <w:r>
        <w:rPr>
          <w:rFonts w:ascii="仿宋_GB2312" w:hAnsi="仿宋_GB2312" w:cs="仿宋_GB2312" w:eastAsia="仿宋_GB2312"/>
        </w:rPr>
        <w:t>详见附件：谈判报价表及分项报价表.docx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