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8D9F2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36"/>
        </w:rPr>
        <w:t>供应商与CALIS联合目录服务协议有效的证明材料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；</w:t>
      </w:r>
    </w:p>
    <w:p w14:paraId="42DAA91E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br w:type="page"/>
      </w:r>
    </w:p>
    <w:p w14:paraId="2574DFEC"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2、供应商提供中文编目员三级及以上证书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；</w:t>
      </w:r>
    </w:p>
    <w:p w14:paraId="617E28BC"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br w:type="page"/>
      </w:r>
    </w:p>
    <w:p w14:paraId="0B2BFAB9">
      <w:pPr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3、供应商提供2024年以来组织线上或线下订货会的证明及相关材料(包括但不限于会场照片或网站截图)。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2026-07-20T03:23:39Z</dcterms:created>
  <dc:creator>Administrator</dc:creator>
  <cp:lastModifiedBy>小丸紫</cp:lastModifiedBy>
  <dcterms:modified xsi:type="dcterms:W3CDTF">2026-07-20T03:25:17Z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EED7FEBD8D9348A1AC06C607A6A378FD_12</vt:lpwstr>
  </property>
</Properties>
</file>