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B49F2">
      <w:pPr>
        <w:pStyle w:val="4"/>
        <w:pageBreakBefore w:val="0"/>
        <w:wordWrap/>
        <w:spacing w:before="0" w:after="0" w:line="640" w:lineRule="exact"/>
        <w:ind w:left="0" w:right="0"/>
        <w:jc w:val="center"/>
        <w:textAlignment w:val="auto"/>
        <w:rPr>
          <w:rFonts w:hint="eastAsia" w:ascii="仿宋" w:hAnsi="仿宋" w:eastAsia="仿宋" w:cs="仿宋"/>
          <w:b/>
          <w:i w:val="0"/>
          <w:spacing w:val="0"/>
          <w:sz w:val="32"/>
          <w:szCs w:val="18"/>
        </w:rPr>
      </w:pPr>
      <w:bookmarkStart w:id="0" w:name="0edc95124bff4d16945a98b21c7fa442"/>
      <w:r>
        <w:rPr>
          <w:rFonts w:hint="eastAsia" w:ascii="仿宋" w:hAnsi="仿宋" w:eastAsia="仿宋" w:cs="仿宋"/>
          <w:b/>
          <w:i w:val="0"/>
          <w:spacing w:val="0"/>
          <w:sz w:val="32"/>
          <w:szCs w:val="18"/>
        </w:rPr>
        <w:t>陕西省第十八届运动会开幕式</w:t>
      </w:r>
    </w:p>
    <w:p w14:paraId="22FF29F3">
      <w:pPr>
        <w:pStyle w:val="4"/>
        <w:pageBreakBefore w:val="0"/>
        <w:wordWrap/>
        <w:spacing w:before="0" w:after="0" w:line="640" w:lineRule="exact"/>
        <w:ind w:left="0" w:right="0"/>
        <w:jc w:val="center"/>
        <w:textAlignment w:val="auto"/>
        <w:rPr>
          <w:rFonts w:hint="eastAsia" w:ascii="仿宋" w:hAnsi="仿宋" w:eastAsia="仿宋" w:cs="仿宋"/>
          <w:sz w:val="32"/>
          <w:szCs w:val="18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18"/>
        </w:rPr>
        <w:t>设备及技术服务保障合同</w:t>
      </w:r>
      <w:bookmarkEnd w:id="0"/>
    </w:p>
    <w:p w14:paraId="6BA1971B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</w:pPr>
      <w:bookmarkStart w:id="1" w:name="2f61aed3b48f426f83f946c73eb5413e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甲方（采购方）： </w:t>
      </w:r>
      <w:bookmarkEnd w:id="1"/>
      <w:bookmarkStart w:id="2" w:name="9d24eaac5d224babbc117dfb20354485"/>
    </w:p>
    <w:p w14:paraId="49B221B9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乙方（服务方）： </w:t>
      </w:r>
      <w:bookmarkEnd w:id="2"/>
    </w:p>
    <w:p w14:paraId="3AA529EA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3" w:name="046b31e1614541878a75c9fbbfddd9fa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鉴于陕西省第十八届运动会开幕式（以下简称“本项目”）的筹备与举办需要，甲乙双方本着平等、自愿、公平和诚实信用的原则，根据《中华人民共和国民法典》及相关法律法规，就乙方为甲方提供开幕式相关设备租赁及技术服务保障事宜，经友好协商，达成如下协议：</w:t>
      </w:r>
      <w:bookmarkEnd w:id="3"/>
    </w:p>
    <w:p w14:paraId="2433FCF5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4" w:name="ba82f45e4b9e4532ab7330b16ea78d0b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第一条 项目概况与服务内容</w:t>
      </w:r>
      <w:bookmarkEnd w:id="4"/>
    </w:p>
    <w:p w14:paraId="6B546D81">
      <w:pPr>
        <w:pStyle w:val="5"/>
        <w:pageBreakBefore w:val="0"/>
        <w:numPr>
          <w:ilvl w:val="0"/>
          <w:numId w:val="1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项目名称： 陕西省第十八届运动会开幕式设备租赁及技术服务保障项目。</w:t>
      </w:r>
    </w:p>
    <w:p w14:paraId="358119B8">
      <w:pPr>
        <w:pStyle w:val="5"/>
        <w:pageBreakBefore w:val="0"/>
        <w:numPr>
          <w:ilvl w:val="0"/>
          <w:numId w:val="1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活动地点： 渭南市体育中心体育场。</w:t>
      </w:r>
    </w:p>
    <w:p w14:paraId="6A901035">
      <w:pPr>
        <w:pStyle w:val="5"/>
        <w:pageBreakBefore w:val="0"/>
        <w:numPr>
          <w:ilvl w:val="0"/>
          <w:numId w:val="1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服务内容： 乙方负责为本项目提供以下设备的租赁、安装、调试、运行及撤场等全流程技术保障服务：</w:t>
      </w:r>
    </w:p>
    <w:p w14:paraId="7B541C05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5" w:name="d6f1bb4e-290f-4851-a045-cb1ff14e0a49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无人机编队表演系统；</w:t>
      </w:r>
      <w:bookmarkEnd w:id="5"/>
    </w:p>
    <w:p w14:paraId="202D479D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6" w:name="fe97995b-c7eb-4fce-b6f0-fd58d55a8db5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空中威亚表演系统；</w:t>
      </w:r>
      <w:bookmarkEnd w:id="6"/>
    </w:p>
    <w:p w14:paraId="0415183F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7" w:name="76b9776a-c5c3-4fbd-b210-66a4c347c86d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背景网幕及支撑系统；</w:t>
      </w:r>
      <w:bookmarkEnd w:id="7"/>
    </w:p>
    <w:p w14:paraId="391F27BB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8" w:name="7f278e02-9881-4bec-8699-295165b59c95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雷亚架搭设与拆卸；</w:t>
      </w:r>
      <w:bookmarkEnd w:id="8"/>
    </w:p>
    <w:p w14:paraId="5F120272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9" w:name="71ab2afa-b9fc-41f1-8d77-9b2e2c57bbb6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空飘道具系统；</w:t>
      </w:r>
      <w:bookmarkEnd w:id="9"/>
    </w:p>
    <w:p w14:paraId="76D112EB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10" w:name="15e3abd5-d6ea-4418-becd-216983bcd444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激光表演设备；</w:t>
      </w:r>
      <w:bookmarkEnd w:id="10"/>
    </w:p>
    <w:p w14:paraId="1003B1A7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11" w:name="5983cf73-390e-4927-811a-9a71a9fab646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环保电子冷烟花设备；</w:t>
      </w:r>
      <w:bookmarkEnd w:id="11"/>
    </w:p>
    <w:p w14:paraId="777A1922">
      <w:pPr>
        <w:pStyle w:val="5"/>
        <w:pageBreakBefore w:val="0"/>
        <w:numPr>
          <w:ilvl w:val="1"/>
          <w:numId w:val="1"/>
        </w:numPr>
        <w:wordWrap/>
        <w:spacing w:before="0" w:after="0" w:line="560" w:lineRule="exact"/>
        <w:ind w:left="1100" w:right="0" w:hanging="66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12" w:name="22ebb0c0-a7d7-486d-a7c5-33b92ba982c3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LED地屏显示系统。</w:t>
      </w:r>
      <w:bookmarkEnd w:id="12"/>
    </w:p>
    <w:p w14:paraId="799FAA2B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13" w:name="187885ab4f914759a8ac6419bf67e430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第二条 合同金额</w:t>
      </w:r>
      <w:bookmarkEnd w:id="13"/>
    </w:p>
    <w:p w14:paraId="0F381B78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14" w:name="0bd88c8be1bf4ca3a2ede2d4949f1e3d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本合同总金额为人民币（大写）：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元整（¥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）。该金额为固定总价，包含设备租赁费、运输费、人工费、安装调试费、保险费、税费及不可预见风险等履行本合同所需的一切费用。</w:t>
      </w:r>
      <w:bookmarkEnd w:id="14"/>
    </w:p>
    <w:p w14:paraId="6A448582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15" w:name="cb96bba091e04fd3b15089c2b5297544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第三条 付款方式</w:t>
      </w:r>
      <w:bookmarkEnd w:id="15"/>
    </w:p>
    <w:p w14:paraId="7C256F86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16" w:name="6efc30b53a0e4f90a178c4daeade28dd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双方同意按照以下节点及比例进行款项支付：</w:t>
      </w:r>
      <w:bookmarkEnd w:id="16"/>
    </w:p>
    <w:p w14:paraId="6AD05BAA">
      <w:pPr>
        <w:pStyle w:val="5"/>
        <w:pageBreakBefore w:val="0"/>
        <w:numPr>
          <w:ilvl w:val="0"/>
          <w:numId w:val="2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首付款： 本合同签订生效后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个工作日内，甲方向乙方支付合同总金额的 50% 作为预付款；</w:t>
      </w:r>
    </w:p>
    <w:p w14:paraId="7B950277">
      <w:pPr>
        <w:pStyle w:val="5"/>
        <w:pageBreakBefore w:val="0"/>
        <w:numPr>
          <w:ilvl w:val="0"/>
          <w:numId w:val="2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进场款： 乙方将所有约定设备运抵渭南市体育中心体育场指定位置，完成初步安装并经甲方现场核验无误后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 个工作日内，甲方向乙方支付合同总金额的 40%；</w:t>
      </w:r>
    </w:p>
    <w:p w14:paraId="7F899C7C">
      <w:pPr>
        <w:pStyle w:val="5"/>
        <w:pageBreakBefore w:val="0"/>
        <w:numPr>
          <w:ilvl w:val="0"/>
          <w:numId w:val="2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尾款： 2026年8月15日开幕式活动圆满结束，且乙方按甲方要求完成所有设备的拆除、场地清理及安全撤离，经甲方最终验收合格后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个工作日内，甲方向乙方支付合同总金额的 10%。</w:t>
      </w:r>
    </w:p>
    <w:p w14:paraId="013B4C7F">
      <w:pPr>
        <w:pStyle w:val="5"/>
        <w:pageBreakBefore w:val="0"/>
        <w:wordWrap/>
        <w:spacing w:before="0" w:after="0" w:line="560" w:lineRule="exact"/>
        <w:ind w:left="0" w:leftChars="0" w:right="0" w:firstLine="0" w:firstLineChars="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17" w:name="9f49e3b44db349ff9bc671f023ef9916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每次付款前，乙方须向甲方提供等额、合法、有效的增值税发票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>税率6%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。</w:t>
      </w:r>
      <w:bookmarkEnd w:id="17"/>
    </w:p>
    <w:p w14:paraId="0EBA3D8D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18" w:name="453f7fa7cfd14e54854df6cfc63bce6a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第四条 甲方的权利与义务</w:t>
      </w:r>
      <w:bookmarkEnd w:id="18"/>
    </w:p>
    <w:p w14:paraId="38C3E458">
      <w:pPr>
        <w:pStyle w:val="5"/>
        <w:pageBreakBefore w:val="0"/>
        <w:numPr>
          <w:ilvl w:val="0"/>
          <w:numId w:val="3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甲方有权对乙方的设备质量、安装进度、安全保障措施等进行全程监督与检查，对不符合约定的事项有权要求乙方限期整改。</w:t>
      </w:r>
    </w:p>
    <w:p w14:paraId="20832373">
      <w:pPr>
        <w:pStyle w:val="5"/>
        <w:pageBreakBefore w:val="0"/>
        <w:numPr>
          <w:ilvl w:val="0"/>
          <w:numId w:val="3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甲方应按本合同约定按时向乙方支付各项款项。</w:t>
      </w:r>
    </w:p>
    <w:p w14:paraId="7C1BFC74">
      <w:pPr>
        <w:pStyle w:val="5"/>
        <w:pageBreakBefore w:val="0"/>
        <w:numPr>
          <w:ilvl w:val="0"/>
          <w:numId w:val="3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甲方负责协调场馆方，为乙方进场施工、设备安装及调试提供必要的场地、水电接入等基础便利条件。</w:t>
      </w:r>
    </w:p>
    <w:p w14:paraId="00F5F3D3">
      <w:pPr>
        <w:pStyle w:val="5"/>
        <w:pageBreakBefore w:val="0"/>
        <w:numPr>
          <w:ilvl w:val="0"/>
          <w:numId w:val="3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因甲方原因导致活动延期或取消的，双方应另行协商后续处理方案及费用结算。</w:t>
      </w:r>
    </w:p>
    <w:p w14:paraId="6A1C787D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19" w:name="c4d72a1ecd284caf9d6fe32c2bd3c8db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第五条 乙方的权利与义务</w:t>
      </w:r>
      <w:bookmarkEnd w:id="19"/>
    </w:p>
    <w:p w14:paraId="3593E5C3">
      <w:pPr>
        <w:pStyle w:val="5"/>
        <w:pageBreakBefore w:val="0"/>
        <w:numPr>
          <w:ilvl w:val="0"/>
          <w:numId w:val="4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乙方须确保所提供的全部设备符合国家质量标准、安全规范及环保要求，且不存在任何知识产权侵权问题。</w:t>
      </w:r>
    </w:p>
    <w:p w14:paraId="730F22EE">
      <w:pPr>
        <w:pStyle w:val="5"/>
        <w:pageBreakBefore w:val="0"/>
        <w:numPr>
          <w:ilvl w:val="0"/>
          <w:numId w:val="4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highlight w:val="none"/>
        </w:rPr>
        <w:t>乙方应制定详尽的《进场施工及安全保障方案》报甲方备案，严格按照时间节点完成设备的搭建、调试及彩排配合工作。</w:t>
      </w:r>
    </w:p>
    <w:p w14:paraId="4568BA02">
      <w:pPr>
        <w:pStyle w:val="5"/>
        <w:pageBreakBefore w:val="0"/>
        <w:numPr>
          <w:ilvl w:val="0"/>
          <w:numId w:val="4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安全责任： 乙方是本项目设备运行及人员安全的直接责任主体。在设备安装、调试、演出及拆除全过程中，必须严格遵守安全生产规定。若因乙方设备故障或操作不当导致的人身伤亡、财产损失或第三方损害，由乙方承担全部法律与经济赔偿责任。</w:t>
      </w:r>
    </w:p>
    <w:p w14:paraId="3C212DB9">
      <w:pPr>
        <w:pStyle w:val="5"/>
        <w:pageBreakBefore w:val="0"/>
        <w:numPr>
          <w:ilvl w:val="0"/>
          <w:numId w:val="4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活动结束后，乙方应在规定时间内完成设备拆除并恢复场地原貌。</w:t>
      </w:r>
    </w:p>
    <w:p w14:paraId="548C0235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20" w:name="f5b32ecaf1af4e97adec38e3ca5168e0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第六条 验收标准</w:t>
      </w:r>
      <w:bookmarkEnd w:id="20"/>
    </w:p>
    <w:p w14:paraId="69DF0B22">
      <w:pPr>
        <w:pStyle w:val="5"/>
        <w:pageBreakBefore w:val="0"/>
        <w:numPr>
          <w:ilvl w:val="0"/>
          <w:numId w:val="5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设备进场后，由甲乙双方共同进行现场清点与初步验收。</w:t>
      </w:r>
    </w:p>
    <w:p w14:paraId="36477F14">
      <w:pPr>
        <w:pStyle w:val="5"/>
        <w:pageBreakBefore w:val="0"/>
        <w:numPr>
          <w:ilvl w:val="0"/>
          <w:numId w:val="5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演出顺利完成且无重大设备安全事故，作为最终验收合格的依据。</w:t>
      </w:r>
    </w:p>
    <w:p w14:paraId="0B3639A9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21" w:name="0ccd4d0e9db546fcaba58345c7ccbceb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第七条 违约责任</w:t>
      </w:r>
      <w:bookmarkEnd w:id="21"/>
    </w:p>
    <w:p w14:paraId="4A77DB6E">
      <w:pPr>
        <w:pStyle w:val="5"/>
        <w:pageBreakBefore w:val="0"/>
        <w:numPr>
          <w:ilvl w:val="0"/>
          <w:numId w:val="6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甲方未按约定时间付款的，每逾期一日，应按逾期未付款项的万分之五向乙方支付违约金。</w:t>
      </w:r>
    </w:p>
    <w:p w14:paraId="695FAF44">
      <w:pPr>
        <w:pStyle w:val="5"/>
        <w:pageBreakBefore w:val="0"/>
        <w:numPr>
          <w:ilvl w:val="0"/>
          <w:numId w:val="6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乙方未按约定时间完成进场或调试的，每逾期一日，应按合同总额的万分之五向甲方支付违约金；逾期超过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 xml:space="preserve"> 日严重影响开幕式筹备的，甲方有权单方解除合同，乙方应退还已收全款并赔偿甲方损失。</w:t>
      </w:r>
    </w:p>
    <w:p w14:paraId="120FCED4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22" w:name="11f38d6a8e5146eba22d2c14a0479ca6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第八条 不可抗力</w:t>
      </w:r>
      <w:bookmarkEnd w:id="22"/>
    </w:p>
    <w:p w14:paraId="64C3B52D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23" w:name="c4b96f79a8f147b3b8029337fa8a2535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因地震、台风、水灾、火灾、战争、重大疫情或政府指令性政策调整等不可抗力因素，导致本合同无法履行的，遭受不可抗力的一方应及时通知对方并提供相关证明。双方可根据不可抗力的影响程度，协商延期履行、部分履行或解除合同，互不承担违约责任。</w:t>
      </w:r>
      <w:bookmarkEnd w:id="23"/>
    </w:p>
    <w:p w14:paraId="4BB24C28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24" w:name="2c2aceb6a371417d8460932622b2f0d3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第九条 争议解决</w:t>
      </w:r>
      <w:bookmarkEnd w:id="24"/>
    </w:p>
    <w:p w14:paraId="4BBFCAF9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25" w:name="3a8a68ecfbe54b92ab242631747a7a35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因履行本合同发生的争议，双方应本着公平公正的原则协商解决；协商不成的，任何一方均有权向甲方所在地有管辖权的人民法院提起诉讼。</w:t>
      </w:r>
      <w:bookmarkEnd w:id="25"/>
    </w:p>
    <w:p w14:paraId="02A2AF3E">
      <w:pPr>
        <w:pStyle w:val="6"/>
        <w:pageBreakBefore w:val="0"/>
        <w:wordWrap/>
        <w:spacing w:before="0" w:after="0" w:line="560" w:lineRule="exact"/>
        <w:ind w:left="0" w:right="0" w:firstLine="720"/>
        <w:jc w:val="both"/>
        <w:textAlignment w:val="auto"/>
        <w:rPr>
          <w:rFonts w:hint="eastAsia" w:ascii="仿宋" w:hAnsi="仿宋" w:eastAsia="仿宋" w:cs="仿宋"/>
          <w:sz w:val="28"/>
          <w:szCs w:val="20"/>
        </w:rPr>
      </w:pPr>
      <w:bookmarkStart w:id="26" w:name="760833fa5bf7462687a6188036925a5d"/>
      <w:r>
        <w:rPr>
          <w:rFonts w:hint="eastAsia" w:ascii="仿宋" w:hAnsi="仿宋" w:eastAsia="仿宋" w:cs="仿宋"/>
          <w:b/>
          <w:i w:val="0"/>
          <w:spacing w:val="0"/>
          <w:sz w:val="28"/>
          <w:szCs w:val="20"/>
        </w:rPr>
        <w:t>第十条 附则</w:t>
      </w:r>
      <w:bookmarkEnd w:id="26"/>
    </w:p>
    <w:p w14:paraId="7F78D42B">
      <w:pPr>
        <w:pStyle w:val="5"/>
        <w:pageBreakBefore w:val="0"/>
        <w:numPr>
          <w:ilvl w:val="0"/>
          <w:numId w:val="7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本合同一式  份，甲方执 份，乙方执份，具有同等法律效力。</w:t>
      </w:r>
    </w:p>
    <w:p w14:paraId="034A9108">
      <w:pPr>
        <w:pStyle w:val="5"/>
        <w:pageBreakBefore w:val="0"/>
        <w:numPr>
          <w:ilvl w:val="0"/>
          <w:numId w:val="7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本合同自双方法定代表人或授权代表签字并加盖公章之日起生效。</w:t>
      </w:r>
    </w:p>
    <w:p w14:paraId="26BB4502">
      <w:pPr>
        <w:pStyle w:val="5"/>
        <w:pageBreakBefore w:val="0"/>
        <w:numPr>
          <w:ilvl w:val="0"/>
          <w:numId w:val="7"/>
        </w:numPr>
        <w:wordWrap/>
        <w:spacing w:before="0" w:after="0" w:line="560" w:lineRule="exact"/>
        <w:ind w:left="440" w:right="0" w:hanging="4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招投标文件、技术方案、报价清单等均为本合同不可分割的附件。</w:t>
      </w:r>
    </w:p>
    <w:p w14:paraId="339C3059">
      <w:pPr>
        <w:pStyle w:val="7"/>
        <w:pageBreakBefore w:val="0"/>
        <w:wordWrap/>
        <w:spacing w:before="0" w:after="0" w:line="56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27" w:name="51ddefaaed2d412dad4a7f90c6d3d4a6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甲方（盖章）：                                  乙方（盖章）：</w:t>
      </w:r>
      <w:bookmarkEnd w:id="27"/>
    </w:p>
    <w:p w14:paraId="00FF2B9C">
      <w:pPr>
        <w:pStyle w:val="7"/>
        <w:pageBreakBefore w:val="0"/>
        <w:wordWrap/>
        <w:spacing w:before="0" w:after="0" w:line="56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28" w:name="4d85fa407a8d4dd792b32a52e95f89b0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法定代表人/授权代表：                         法定代表人/授权代表：</w:t>
      </w:r>
      <w:bookmarkEnd w:id="28"/>
    </w:p>
    <w:p w14:paraId="5E143346">
      <w:pPr>
        <w:pStyle w:val="8"/>
        <w:pageBreakBefore w:val="0"/>
        <w:wordWrap/>
        <w:spacing w:before="0" w:after="0" w:line="56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29" w:name="5aa7f2890680469999816ba94236d4a6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签订日期：2026年    月    日                   签订日期：2026年    月    日</w:t>
      </w:r>
      <w:bookmarkEnd w:id="29"/>
    </w:p>
    <w:p w14:paraId="0E563AB7">
      <w:pPr>
        <w:pStyle w:val="5"/>
        <w:pageBreakBefore w:val="0"/>
        <w:wordWrap/>
        <w:spacing w:before="0" w:after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sz w:val="24"/>
          <w:szCs w:val="20"/>
        </w:rPr>
      </w:pPr>
      <w:bookmarkStart w:id="30" w:name="45830a5ea0274937805adbf756a72bc9"/>
      <w:bookmarkStart w:id="31" w:name="_GoBack"/>
      <w:bookmarkEnd w:id="31"/>
      <w:r>
        <w:rPr>
          <w:rFonts w:hint="eastAsia" w:ascii="仿宋" w:hAnsi="仿宋" w:eastAsia="仿宋" w:cs="仿宋"/>
          <w:b w:val="0"/>
          <w:i w:val="0"/>
          <w:spacing w:val="0"/>
          <w:sz w:val="24"/>
          <w:szCs w:val="20"/>
        </w:rPr>
        <w:t>签订地点：陕西省渭南市</w:t>
      </w:r>
      <w:bookmarkEnd w:id="30"/>
    </w:p>
    <w:p w14:paraId="57AEE3E9">
      <w:pPr>
        <w:jc w:val="left"/>
        <w:rPr>
          <w:rFonts w:hint="eastAsia" w:ascii="仿宋" w:hAnsi="仿宋" w:eastAsia="仿宋" w:cs="仿宋"/>
          <w:sz w:val="18"/>
          <w:szCs w:val="20"/>
        </w:rPr>
      </w:pPr>
    </w:p>
    <w:sectPr>
      <w:headerReference r:id="rId3" w:type="default"/>
      <w:footerReference r:id="rId4" w:type="default"/>
      <w:pgSz w:w="11900" w:h="16820"/>
      <w:pgMar w:top="1440" w:right="1780" w:bottom="1440" w:left="1780" w:header="840" w:footer="9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1223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03AA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decimal"/>
      <w:lvlText w:val="%1.%2."/>
      <w:lvlJc w:val="left"/>
      <w:pPr>
        <w:ind w:left="1100" w:hanging="660"/>
      </w:pPr>
    </w:lvl>
    <w:lvl w:ilvl="2" w:tentative="0">
      <w:start w:val="1"/>
      <w:numFmt w:val="decimal"/>
      <w:lvlRestart w:val="1"/>
      <w:lvlText w:val="%1.%2.%3."/>
      <w:lvlJc w:val="left"/>
      <w:pPr>
        <w:ind w:left="1760" w:hanging="880"/>
      </w:pPr>
    </w:lvl>
    <w:lvl w:ilvl="3" w:tentative="0">
      <w:start w:val="1"/>
      <w:numFmt w:val="decimal"/>
      <w:lvlRestart w:val="1"/>
      <w:lvlText w:val="%1.%2.%3.%4."/>
      <w:lvlJc w:val="left"/>
      <w:pPr>
        <w:ind w:left="2420" w:hanging="1100"/>
      </w:pPr>
    </w:lvl>
    <w:lvl w:ilvl="4" w:tentative="0">
      <w:start w:val="1"/>
      <w:numFmt w:val="decimal"/>
      <w:lvlRestart w:val="1"/>
      <w:lvlText w:val="%1.%2.%3.%4.%5."/>
      <w:lvlJc w:val="left"/>
      <w:pPr>
        <w:ind w:left="3080" w:hanging="1320"/>
      </w:pPr>
    </w:lvl>
    <w:lvl w:ilvl="5" w:tentative="0">
      <w:start w:val="1"/>
      <w:numFmt w:val="decimal"/>
      <w:lvlRestart w:val="1"/>
      <w:lvlText w:val="%1.%2.%3.%4.%5.%6."/>
      <w:lvlJc w:val="left"/>
      <w:pPr>
        <w:ind w:left="3740" w:hanging="1540"/>
      </w:pPr>
    </w:lvl>
    <w:lvl w:ilvl="6" w:tentative="0">
      <w:start w:val="1"/>
      <w:numFmt w:val="decimal"/>
      <w:lvlRestart w:val="1"/>
      <w:lvlText w:val="%1.%2.%3.%4.%5.%6.%7."/>
      <w:lvlJc w:val="left"/>
      <w:pPr>
        <w:ind w:left="4400" w:hanging="1760"/>
      </w:pPr>
    </w:lvl>
    <w:lvl w:ilvl="7" w:tentative="0">
      <w:start w:val="1"/>
      <w:numFmt w:val="decimal"/>
      <w:lvlRestart w:val="1"/>
      <w:lvlText w:val="%1.%2.%3.%4.%5.%6.%7.%8."/>
      <w:lvlJc w:val="left"/>
      <w:pPr>
        <w:ind w:left="5060" w:hanging="1980"/>
      </w:pPr>
    </w:lvl>
    <w:lvl w:ilvl="8" w:tentative="0">
      <w:start w:val="1"/>
      <w:numFmt w:val="decimal"/>
      <w:lvlRestart w:val="1"/>
      <w:lvlText w:val="%1.%2.%3.%4.%5.%6.%7.%8.%9."/>
      <w:lvlJc w:val="left"/>
      <w:pPr>
        <w:ind w:left="5720" w:hanging="220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6F7C53CF"/>
    <w:rsid w:val="79925C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全文一级大标题"/>
    <w:qFormat/>
    <w:uiPriority w:val="1"/>
    <w:pPr>
      <w:spacing w:line="640" w:lineRule="exact"/>
      <w:ind w:left="0" w:right="0"/>
      <w:jc w:val="center"/>
    </w:pPr>
    <w:rPr>
      <w:rFonts w:ascii="黑体" w:eastAsia="黑体" w:hAnsiTheme="minorHAnsi" w:cstheme="minorBidi"/>
      <w:b/>
      <w:sz w:val="44"/>
      <w:szCs w:val="22"/>
    </w:rPr>
  </w:style>
  <w:style w:type="paragraph" w:customStyle="1" w:styleId="5">
    <w:name w:val="正文 文本"/>
    <w:qFormat/>
    <w:uiPriority w:val="1"/>
    <w:pPr>
      <w:spacing w:line="560" w:lineRule="exact"/>
      <w:ind w:left="0" w:right="0" w:firstLine="640"/>
      <w:jc w:val="both"/>
    </w:pPr>
    <w:rPr>
      <w:rFonts w:ascii="宋体" w:eastAsia="宋体" w:hAnsiTheme="minorHAnsi" w:cstheme="minorBidi"/>
      <w:sz w:val="32"/>
      <w:szCs w:val="22"/>
    </w:rPr>
  </w:style>
  <w:style w:type="paragraph" w:customStyle="1" w:styleId="6">
    <w:name w:val="正文一级标题"/>
    <w:qFormat/>
    <w:uiPriority w:val="1"/>
    <w:pPr>
      <w:spacing w:line="560" w:lineRule="exact"/>
      <w:ind w:left="0" w:right="0" w:firstLine="720"/>
      <w:jc w:val="both"/>
    </w:pPr>
    <w:rPr>
      <w:rFonts w:ascii="黑体" w:eastAsia="黑体" w:hAnsiTheme="minorHAnsi" w:cstheme="minorBidi"/>
      <w:b/>
      <w:sz w:val="36"/>
      <w:szCs w:val="22"/>
    </w:rPr>
  </w:style>
  <w:style w:type="paragraph" w:customStyle="1" w:styleId="7">
    <w:name w:val="落款或署名"/>
    <w:qFormat/>
    <w:uiPriority w:val="1"/>
    <w:pPr>
      <w:spacing w:line="560" w:lineRule="exact"/>
      <w:ind w:left="0" w:right="0"/>
      <w:jc w:val="left"/>
    </w:pPr>
    <w:rPr>
      <w:rFonts w:ascii="宋体" w:eastAsia="宋体" w:hAnsiTheme="minorHAnsi" w:cstheme="minorBidi"/>
      <w:sz w:val="32"/>
      <w:szCs w:val="22"/>
    </w:rPr>
  </w:style>
  <w:style w:type="paragraph" w:customStyle="1" w:styleId="8">
    <w:name w:val="日期或时间"/>
    <w:qFormat/>
    <w:uiPriority w:val="1"/>
    <w:pPr>
      <w:spacing w:line="560" w:lineRule="exact"/>
      <w:ind w:left="0" w:right="0"/>
      <w:jc w:val="left"/>
    </w:pPr>
    <w:rPr>
      <w:rFonts w:ascii="宋体" w:eastAsia="宋体" w:hAnsiTheme="minorHAnsi" w:cstheme="minorBidi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1621</Words>
  <Characters>1640</Characters>
  <TotalTime>8</TotalTime>
  <ScaleCrop>false</ScaleCrop>
  <LinksUpToDate>false</LinksUpToDate>
  <CharactersWithSpaces>1774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2026-06-15T05:30:00Z</dcterms:created>
  <dc:creator>Apache POI</dc:creator>
  <cp:lastModifiedBy>呜呼拉嘿</cp:lastModifiedBy>
  <dcterms:modified xsi:type="dcterms:W3CDTF">2026-06-15T08:01:48Z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EADkhUMmaOJgaWkz6Vik/Y0oNZ6lIP9jVkI8VmoXQ5Q=","ProduceID":"doc_sgs:99da385a2dd24cacbc27ddb1aff2aa02","ReservedCode2":"EADkhUMmaOJgaWkz6Vik/Y0oNZ6lIP9jVkI8VmoXQ5Q=","PropagateID":"doc_sgs:99da385a2dd24cacbc27ddb1aff2aa02","ContentProducer":"001191440101MA9Y9T4H7A00000"}</vt:lpwstr>
  </property>
  <property fmtid="{D5CDD505-2E9C-101B-9397-08002B2CF9AE}" pid="3" name="KSOTemplateDocerSaveRecord">
    <vt:lpwstr>eyJoZGlkIjoiMjFmNjVmNDI4NWNiZGI2MWNjNDcyOWQ1MWJmY2VkYjciLCJ1c2VySWQiOiIzMTk1NTk3MDEifQ==</vt:lpwstr>
  </property>
  <property fmtid="{D5CDD505-2E9C-101B-9397-08002B2CF9AE}" pid="4" name="KSOProductBuildVer">
    <vt:lpwstr>2052-12.1.0.26895</vt:lpwstr>
  </property>
  <property fmtid="{D5CDD505-2E9C-101B-9397-08002B2CF9AE}" pid="5" name="ICV">
    <vt:lpwstr>5CBB27EABAFD4F44AF6264FA8C630E3F_13</vt:lpwstr>
  </property>
</Properties>
</file>