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3955C">
      <w:pPr>
        <w:pStyle w:val="7"/>
        <w:spacing w:line="56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合同编号：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96D29B1">
      <w:pPr>
        <w:pStyle w:val="7"/>
        <w:spacing w:before="468" w:after="468" w:line="360" w:lineRule="auto"/>
        <w:jc w:val="center"/>
        <w:rPr>
          <w:rFonts w:hint="eastAsia" w:ascii="宋体" w:hAnsi="宋体" w:eastAsia="宋体" w:cs="宋体"/>
          <w:b/>
          <w:bCs/>
          <w:kern w:val="44"/>
          <w:sz w:val="52"/>
          <w:szCs w:val="52"/>
        </w:rPr>
      </w:pPr>
      <w:bookmarkStart w:id="0" w:name="_GoBack"/>
      <w:bookmarkEnd w:id="0"/>
    </w:p>
    <w:p w14:paraId="27F423A7">
      <w:pPr>
        <w:pStyle w:val="7"/>
        <w:spacing w:before="468" w:after="468" w:line="360" w:lineRule="auto"/>
        <w:jc w:val="center"/>
        <w:rPr>
          <w:rFonts w:hint="eastAsia" w:ascii="宋体" w:hAnsi="宋体" w:eastAsia="宋体" w:cs="宋体"/>
          <w:b/>
          <w:bCs/>
          <w:kern w:val="44"/>
          <w:sz w:val="52"/>
          <w:szCs w:val="52"/>
        </w:rPr>
      </w:pPr>
    </w:p>
    <w:p w14:paraId="185FDC6B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8"/>
          <w:sz w:val="44"/>
          <w:szCs w:val="44"/>
          <w:lang w:val="en-US" w:eastAsia="zh-CN"/>
        </w:rPr>
        <w:t>道路空洞雷达探测设备采购合同</w:t>
      </w:r>
    </w:p>
    <w:p w14:paraId="2F905CF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>本格式条款供双方签订合同参考，采购人可根据项目的实际情况增减条款和内容）</w:t>
      </w:r>
    </w:p>
    <w:p w14:paraId="40E92A53">
      <w:pPr>
        <w:rPr>
          <w:rFonts w:hint="eastAsia" w:ascii="宋体" w:hAnsi="宋体" w:eastAsia="宋体" w:cs="宋体"/>
        </w:rPr>
      </w:pPr>
    </w:p>
    <w:p w14:paraId="73F20B04">
      <w:pPr>
        <w:rPr>
          <w:rFonts w:hint="eastAsia" w:ascii="宋体" w:hAnsi="宋体" w:eastAsia="宋体" w:cs="宋体"/>
        </w:rPr>
      </w:pPr>
    </w:p>
    <w:p w14:paraId="74EA4FF5">
      <w:pPr>
        <w:rPr>
          <w:rFonts w:hint="eastAsia" w:ascii="宋体" w:hAnsi="宋体" w:eastAsia="宋体" w:cs="宋体"/>
        </w:rPr>
      </w:pPr>
    </w:p>
    <w:p w14:paraId="522E1796">
      <w:pPr>
        <w:rPr>
          <w:rFonts w:hint="eastAsia" w:ascii="宋体" w:hAnsi="宋体" w:eastAsia="宋体" w:cs="宋体"/>
        </w:rPr>
      </w:pPr>
    </w:p>
    <w:p w14:paraId="4F953148">
      <w:pPr>
        <w:rPr>
          <w:rFonts w:hint="eastAsia" w:ascii="宋体" w:hAnsi="宋体" w:eastAsia="宋体" w:cs="宋体"/>
        </w:rPr>
      </w:pPr>
    </w:p>
    <w:p w14:paraId="6FD93E3B">
      <w:pPr>
        <w:rPr>
          <w:rFonts w:hint="eastAsia" w:ascii="宋体" w:hAnsi="宋体" w:eastAsia="宋体" w:cs="宋体"/>
        </w:rPr>
      </w:pPr>
    </w:p>
    <w:p w14:paraId="2D06C440">
      <w:pPr>
        <w:rPr>
          <w:rFonts w:hint="eastAsia" w:ascii="宋体" w:hAnsi="宋体" w:eastAsia="宋体" w:cs="宋体"/>
        </w:rPr>
      </w:pPr>
    </w:p>
    <w:p w14:paraId="5E9009DA">
      <w:pPr>
        <w:rPr>
          <w:rFonts w:hint="eastAsia" w:ascii="宋体" w:hAnsi="宋体" w:eastAsia="宋体" w:cs="宋体"/>
        </w:rPr>
      </w:pPr>
    </w:p>
    <w:p w14:paraId="3C3E0044">
      <w:pPr>
        <w:rPr>
          <w:rFonts w:hint="eastAsia" w:ascii="宋体" w:hAnsi="宋体" w:eastAsia="宋体" w:cs="宋体"/>
        </w:rPr>
      </w:pPr>
    </w:p>
    <w:p w14:paraId="23E95262">
      <w:pPr>
        <w:rPr>
          <w:rFonts w:hint="eastAsia" w:ascii="宋体" w:hAnsi="宋体" w:eastAsia="宋体" w:cs="宋体"/>
        </w:rPr>
      </w:pPr>
    </w:p>
    <w:p w14:paraId="2E3FA772">
      <w:pPr>
        <w:rPr>
          <w:rFonts w:hint="eastAsia" w:ascii="宋体" w:hAnsi="宋体" w:eastAsia="宋体" w:cs="宋体"/>
        </w:rPr>
      </w:pPr>
    </w:p>
    <w:p w14:paraId="39D65EBC">
      <w:pPr>
        <w:rPr>
          <w:rFonts w:hint="eastAsia" w:ascii="宋体" w:hAnsi="宋体" w:eastAsia="宋体" w:cs="宋体"/>
        </w:rPr>
      </w:pPr>
    </w:p>
    <w:p w14:paraId="1B2D1330">
      <w:pPr>
        <w:rPr>
          <w:rFonts w:hint="eastAsia" w:ascii="宋体" w:hAnsi="宋体" w:eastAsia="宋体" w:cs="宋体"/>
        </w:rPr>
      </w:pPr>
    </w:p>
    <w:p w14:paraId="1357439F">
      <w:pPr>
        <w:rPr>
          <w:rFonts w:hint="eastAsia" w:ascii="宋体" w:hAnsi="宋体" w:eastAsia="宋体" w:cs="宋体"/>
        </w:rPr>
      </w:pPr>
    </w:p>
    <w:p w14:paraId="3E09B354">
      <w:pPr>
        <w:rPr>
          <w:rFonts w:hint="eastAsia" w:ascii="宋体" w:hAnsi="宋体" w:eastAsia="宋体" w:cs="宋体"/>
        </w:rPr>
      </w:pPr>
    </w:p>
    <w:p w14:paraId="78AF1E9C">
      <w:pPr>
        <w:rPr>
          <w:rFonts w:hint="eastAsia" w:ascii="宋体" w:hAnsi="宋体" w:eastAsia="宋体" w:cs="宋体"/>
        </w:rPr>
      </w:pPr>
    </w:p>
    <w:p w14:paraId="04399C44">
      <w:pPr>
        <w:rPr>
          <w:rFonts w:hint="eastAsia" w:ascii="宋体" w:hAnsi="宋体" w:eastAsia="宋体" w:cs="宋体"/>
        </w:rPr>
      </w:pPr>
    </w:p>
    <w:p w14:paraId="06B4047B">
      <w:pPr>
        <w:tabs>
          <w:tab w:val="left" w:pos="2880"/>
          <w:tab w:val="left" w:pos="3420"/>
          <w:tab w:val="left" w:pos="8100"/>
          <w:tab w:val="left" w:pos="8280"/>
        </w:tabs>
        <w:spacing w:line="276" w:lineRule="auto"/>
        <w:ind w:firstLine="2530" w:firstLineChars="900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 w:bidi="zh-TW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zh-TW"/>
        </w:rPr>
        <w:t>甲方：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 w:bidi="zh-TW"/>
        </w:rPr>
        <w:t xml:space="preserve">西安市市政设施管理中心 </w:t>
      </w:r>
    </w:p>
    <w:p w14:paraId="06E7AF05">
      <w:pPr>
        <w:tabs>
          <w:tab w:val="left" w:pos="2880"/>
          <w:tab w:val="left" w:pos="3420"/>
          <w:tab w:val="left" w:pos="8100"/>
          <w:tab w:val="left" w:pos="8280"/>
        </w:tabs>
        <w:spacing w:line="276" w:lineRule="auto"/>
        <w:ind w:firstLine="2530" w:firstLineChars="900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 w:bidi="zh-TW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 w:bidi="zh-TW"/>
        </w:rPr>
        <w:t xml:space="preserve">乙方： </w:t>
      </w:r>
    </w:p>
    <w:p w14:paraId="7B7EAC31">
      <w:pPr>
        <w:tabs>
          <w:tab w:val="left" w:pos="2880"/>
          <w:tab w:val="left" w:pos="3420"/>
          <w:tab w:val="left" w:pos="8100"/>
          <w:tab w:val="left" w:pos="8280"/>
        </w:tabs>
        <w:spacing w:line="276" w:lineRule="auto"/>
        <w:ind w:firstLine="2530" w:firstLineChars="90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</w:p>
    <w:p w14:paraId="0154CC2A">
      <w:pPr>
        <w:tabs>
          <w:tab w:val="left" w:pos="2880"/>
          <w:tab w:val="left" w:pos="3420"/>
          <w:tab w:val="left" w:pos="8100"/>
          <w:tab w:val="left" w:pos="8280"/>
        </w:tabs>
        <w:spacing w:line="276" w:lineRule="auto"/>
        <w:ind w:firstLine="2530" w:firstLineChars="9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签订日期：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日</w:t>
      </w:r>
    </w:p>
    <w:p w14:paraId="3778C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pacing w:val="8"/>
          <w:sz w:val="28"/>
          <w:szCs w:val="28"/>
        </w:rPr>
        <w:sectPr>
          <w:footerReference r:id="rId3" w:type="default"/>
          <w:pgSz w:w="11906" w:h="16838"/>
          <w:pgMar w:top="1701" w:right="1701" w:bottom="1701" w:left="1701" w:header="851" w:footer="992" w:gutter="0"/>
          <w:cols w:space="720" w:num="1"/>
          <w:docGrid w:type="lines" w:linePitch="312" w:charSpace="0"/>
        </w:sectPr>
      </w:pPr>
    </w:p>
    <w:p w14:paraId="13A80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pacing w:val="8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32"/>
          <w:szCs w:val="32"/>
          <w:lang w:val="en-US" w:eastAsia="zh-CN"/>
        </w:rPr>
        <w:t>道路空洞雷达探测设备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>采购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  <w:lang w:eastAsia="zh-CN"/>
        </w:rPr>
        <w:t>合同</w:t>
      </w:r>
    </w:p>
    <w:p w14:paraId="5CC02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宋体" w:hAnsi="宋体" w:eastAsia="宋体" w:cs="宋体"/>
          <w:b/>
          <w:bCs/>
          <w:spacing w:val="8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</w:rPr>
        <w:t xml:space="preserve">    </w:t>
      </w:r>
    </w:p>
    <w:p w14:paraId="151C9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2698" w:hanging="2056" w:hangingChars="800"/>
        <w:textAlignment w:val="auto"/>
        <w:rPr>
          <w:rFonts w:hint="eastAsia" w:ascii="宋体" w:hAnsi="宋体" w:eastAsia="宋体" w:cs="宋体"/>
          <w:b/>
          <w:bCs/>
          <w:spacing w:val="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甲方（采购方）：</w:t>
      </w: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lang w:eastAsia="zh-CN"/>
        </w:rPr>
        <w:t>西安市市政设施管理中心</w:t>
      </w:r>
    </w:p>
    <w:p w14:paraId="6193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乙方（供应方）：</w:t>
      </w: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lang w:val="en-US" w:eastAsia="zh-CN"/>
        </w:rPr>
        <w:t xml:space="preserve"> </w:t>
      </w:r>
    </w:p>
    <w:p w14:paraId="57FC29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甲方和乙方本着诚实信用、平等互利的原则，根据《中华人民共和国民法典》的规定，达成如下约定：</w:t>
      </w:r>
    </w:p>
    <w:p w14:paraId="744FB23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48" w:hanging="748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采购设备清单、总价、报价包干范围</w:t>
      </w:r>
    </w:p>
    <w:p w14:paraId="1B37D0B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 采购货物明细（附件一《设备配置技术规格书》为本合同不可分割组成部分）</w:t>
      </w:r>
    </w:p>
    <w:tbl>
      <w:tblPr>
        <w:tblStyle w:val="4"/>
        <w:tblW w:w="9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839"/>
        <w:gridCol w:w="1108"/>
        <w:gridCol w:w="1175"/>
        <w:gridCol w:w="1175"/>
        <w:gridCol w:w="1326"/>
        <w:gridCol w:w="1435"/>
      </w:tblGrid>
      <w:tr w14:paraId="66BF1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097" w:type="dxa"/>
            <w:noWrap w:val="0"/>
            <w:vAlign w:val="center"/>
          </w:tcPr>
          <w:p w14:paraId="4DE91118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839" w:type="dxa"/>
            <w:noWrap w:val="0"/>
            <w:vAlign w:val="center"/>
          </w:tcPr>
          <w:p w14:paraId="413DFF3E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1108" w:type="dxa"/>
            <w:noWrap w:val="0"/>
            <w:vAlign w:val="center"/>
          </w:tcPr>
          <w:p w14:paraId="0355F59A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厂家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noWrap w:val="0"/>
            <w:vAlign w:val="center"/>
          </w:tcPr>
          <w:p w14:paraId="78F9E9AF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175" w:type="dxa"/>
            <w:noWrap w:val="0"/>
            <w:vAlign w:val="center"/>
          </w:tcPr>
          <w:p w14:paraId="2AC26B98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326" w:type="dxa"/>
            <w:noWrap w:val="0"/>
            <w:vAlign w:val="center"/>
          </w:tcPr>
          <w:p w14:paraId="099E307B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金额（元）</w:t>
            </w:r>
          </w:p>
        </w:tc>
        <w:tc>
          <w:tcPr>
            <w:tcW w:w="1435" w:type="dxa"/>
            <w:noWrap w:val="0"/>
            <w:vAlign w:val="center"/>
          </w:tcPr>
          <w:p w14:paraId="601F3340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2591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097" w:type="dxa"/>
            <w:noWrap w:val="0"/>
            <w:vAlign w:val="center"/>
          </w:tcPr>
          <w:p w14:paraId="0635CCB8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车载探地雷达主机</w:t>
            </w:r>
          </w:p>
        </w:tc>
        <w:tc>
          <w:tcPr>
            <w:tcW w:w="839" w:type="dxa"/>
            <w:noWrap w:val="0"/>
            <w:vAlign w:val="center"/>
          </w:tcPr>
          <w:p w14:paraId="0AFAC876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321CFF9A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70AF58BB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175" w:type="dxa"/>
            <w:noWrap w:val="0"/>
            <w:vAlign w:val="center"/>
          </w:tcPr>
          <w:p w14:paraId="2F08BF40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B4ECEBE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048C8FCD">
            <w:pPr>
              <w:bidi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10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097" w:type="dxa"/>
            <w:noWrap w:val="0"/>
            <w:vAlign w:val="center"/>
          </w:tcPr>
          <w:p w14:paraId="507554B4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手推便携式探地雷达</w:t>
            </w:r>
          </w:p>
        </w:tc>
        <w:tc>
          <w:tcPr>
            <w:tcW w:w="839" w:type="dxa"/>
            <w:noWrap w:val="0"/>
            <w:vAlign w:val="center"/>
          </w:tcPr>
          <w:p w14:paraId="5DAC586C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086B494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6FADC069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175" w:type="dxa"/>
            <w:noWrap w:val="0"/>
            <w:vAlign w:val="center"/>
          </w:tcPr>
          <w:p w14:paraId="3B5AF56E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9D9C354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14058A0E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536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097" w:type="dxa"/>
            <w:noWrap w:val="0"/>
            <w:vAlign w:val="center"/>
          </w:tcPr>
          <w:p w14:paraId="46B68CD7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车载改装底盘及配套供电系统</w:t>
            </w:r>
          </w:p>
        </w:tc>
        <w:tc>
          <w:tcPr>
            <w:tcW w:w="839" w:type="dxa"/>
            <w:noWrap w:val="0"/>
            <w:vAlign w:val="center"/>
          </w:tcPr>
          <w:p w14:paraId="4F09BA46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60DAFF97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69BE439F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75" w:type="dxa"/>
            <w:noWrap w:val="0"/>
            <w:vAlign w:val="center"/>
          </w:tcPr>
          <w:p w14:paraId="2C5C8C4D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9C0CDD4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530BEC9E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BA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097" w:type="dxa"/>
            <w:noWrap w:val="0"/>
            <w:vAlign w:val="center"/>
          </w:tcPr>
          <w:p w14:paraId="37A8EDAE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病害分析与三维建模软件</w:t>
            </w:r>
          </w:p>
        </w:tc>
        <w:tc>
          <w:tcPr>
            <w:tcW w:w="839" w:type="dxa"/>
            <w:noWrap w:val="0"/>
            <w:vAlign w:val="center"/>
          </w:tcPr>
          <w:p w14:paraId="64D1CBE7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50FC28F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5470ADD3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75" w:type="dxa"/>
            <w:noWrap w:val="0"/>
            <w:vAlign w:val="center"/>
          </w:tcPr>
          <w:p w14:paraId="5FE7E4CB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A43EF49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0492437C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FB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097" w:type="dxa"/>
            <w:noWrap w:val="0"/>
            <w:vAlign w:val="center"/>
          </w:tcPr>
          <w:p w14:paraId="14587121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全套配套工装、检测辅件</w:t>
            </w:r>
          </w:p>
        </w:tc>
        <w:tc>
          <w:tcPr>
            <w:tcW w:w="839" w:type="dxa"/>
            <w:noWrap w:val="0"/>
            <w:vAlign w:val="center"/>
          </w:tcPr>
          <w:p w14:paraId="456353FA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6CA340EF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1B5D39B4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批</w:t>
            </w:r>
          </w:p>
        </w:tc>
        <w:tc>
          <w:tcPr>
            <w:tcW w:w="1175" w:type="dxa"/>
            <w:noWrap w:val="0"/>
            <w:vAlign w:val="center"/>
          </w:tcPr>
          <w:p w14:paraId="7BE802AD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4563771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42274D56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7C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097" w:type="dxa"/>
            <w:noWrap w:val="0"/>
            <w:vAlign w:val="center"/>
          </w:tcPr>
          <w:p w14:paraId="2CAD090A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运输、改装、安装调试、培训、检测、税费、3 年质保全包总价合计（含税 13% 增值税专用发票）：人民币________元（大写：________________元整）</w:t>
            </w:r>
          </w:p>
        </w:tc>
        <w:tc>
          <w:tcPr>
            <w:tcW w:w="839" w:type="dxa"/>
            <w:noWrap w:val="0"/>
            <w:vAlign w:val="center"/>
          </w:tcPr>
          <w:p w14:paraId="7ED7BD90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6B7B33F9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0C53E122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062335D7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AF9C2C6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0432A5C9">
            <w:pPr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3A1AE8F">
      <w:pPr>
        <w:bidi w:val="0"/>
        <w:spacing w:line="400" w:lineRule="exact"/>
        <w:rPr>
          <w:rFonts w:hint="eastAsia" w:ascii="宋体" w:hAnsi="宋体" w:eastAsia="宋体" w:cs="宋体"/>
          <w:b/>
          <w:sz w:val="24"/>
          <w:szCs w:val="24"/>
        </w:rPr>
      </w:pPr>
    </w:p>
    <w:p w14:paraId="7062D3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1.2 总价包干约定：本合同总价为固定不变全包价，包含设备原厂供货、整车专项定制改装、运输、卸货、现场安装、系统联调、道路实地校准检测、全套资料、技术培训、3 年质保、上门维修、备件、评审会务、税费、差旅费、人工等全部费用，甲方无需支付任何额外增项费用，除合同书面变更外乙方不得加价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3927E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1.3 乙方承诺：所投雷达、整车所有设备、软件均为原厂全新正品，无翻新、样机、库存积压、贴牌产品；车辆改装符合工信部机动车公告、交管上牌标准，可正常注册、年检、过户，无公告不符、改装违规无法上牌风险。</w:t>
      </w:r>
    </w:p>
    <w:p w14:paraId="577B61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>条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质量标准与技术依据</w:t>
      </w:r>
    </w:p>
    <w:p w14:paraId="148A89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2.1</w:t>
      </w:r>
      <w:r>
        <w:rPr>
          <w:rFonts w:hint="eastAsia" w:ascii="宋体" w:hAnsi="宋体" w:eastAsia="宋体" w:cs="宋体"/>
          <w:sz w:val="24"/>
          <w:szCs w:val="24"/>
        </w:rPr>
        <w:t>硬件、软件严格执行国家现行《探地雷达检测技术规范》《城镇道路养护技术规范》GB 51224、相关市政道路检测行业标准；</w:t>
      </w:r>
    </w:p>
    <w:p w14:paraId="35EB59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2.2</w:t>
      </w:r>
      <w:r>
        <w:rPr>
          <w:rFonts w:hint="eastAsia" w:ascii="宋体" w:hAnsi="宋体" w:eastAsia="宋体" w:cs="宋体"/>
          <w:sz w:val="24"/>
          <w:szCs w:val="24"/>
        </w:rPr>
        <w:t>所有设备技术参数、性能指标 100% 响应招标文件、乙方响应文件、技术规格书；</w:t>
      </w:r>
    </w:p>
    <w:p w14:paraId="0B1D45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2.3</w:t>
      </w:r>
      <w:r>
        <w:rPr>
          <w:rFonts w:hint="eastAsia" w:ascii="宋体" w:hAnsi="宋体" w:eastAsia="宋体" w:cs="宋体"/>
          <w:sz w:val="24"/>
          <w:szCs w:val="24"/>
        </w:rPr>
        <w:t>整车改装、供电、防雷、绝缘、防爆设计满足市政道路户外全天候作业要求；</w:t>
      </w:r>
    </w:p>
    <w:p w14:paraId="1F3219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2.4</w:t>
      </w:r>
      <w:r>
        <w:rPr>
          <w:rFonts w:hint="eastAsia" w:ascii="宋体" w:hAnsi="宋体" w:eastAsia="宋体" w:cs="宋体"/>
          <w:sz w:val="24"/>
          <w:szCs w:val="24"/>
        </w:rPr>
        <w:t>软件可自动生成道路空洞台账、病害分析报告、三维地层剖面模型，支持数据本地加密存储、长期归档追溯；</w:t>
      </w:r>
    </w:p>
    <w:p w14:paraId="099B86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2.5</w:t>
      </w:r>
      <w:r>
        <w:rPr>
          <w:rFonts w:hint="eastAsia" w:ascii="宋体" w:hAnsi="宋体" w:eastAsia="宋体" w:cs="宋体"/>
          <w:sz w:val="24"/>
          <w:szCs w:val="24"/>
        </w:rPr>
        <w:t>原厂出厂合格证、计量校准证书、车辆公告、改装备案文件、软件著作权、检测报告全套齐全。</w:t>
      </w:r>
    </w:p>
    <w:p w14:paraId="6F7E20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</w:rPr>
        <w:t>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：包装、运输、卸货责任 </w:t>
      </w:r>
    </w:p>
    <w:p w14:paraId="1F01FA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3.1乙方采用防潮、防震、防锈专业包装，包装箱标注设备型号、易碎、防潮标识，包装物无需回收；</w:t>
      </w:r>
    </w:p>
    <w:p w14:paraId="52669E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3.2乙方全权负责物流、卸货至甲方指定场地，全程运输、装卸破损、丢失风险由乙方全部承担；到货开箱验收出现损坏，乙方 7 日内免费更换全新整机，工期不予顺延。</w:t>
      </w:r>
    </w:p>
    <w:p w14:paraId="353CDD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条：交付、改装、调试总工期</w:t>
      </w:r>
    </w:p>
    <w:p w14:paraId="3FACDD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4.1 合同签订、预付款到账起</w:t>
      </w:r>
      <w:r>
        <w:rPr>
          <w:rStyle w:val="6"/>
          <w:rFonts w:hint="eastAsia" w:ascii="宋体" w:hAnsi="宋体" w:eastAsia="宋体" w:cs="宋体"/>
          <w:color w:val="000000"/>
          <w:sz w:val="24"/>
          <w:szCs w:val="24"/>
        </w:rPr>
        <w:t>90 个日历天</w:t>
      </w:r>
      <w:r>
        <w:rPr>
          <w:rFonts w:hint="eastAsia" w:ascii="宋体" w:hAnsi="宋体" w:eastAsia="宋体" w:cs="宋体"/>
          <w:sz w:val="24"/>
          <w:szCs w:val="24"/>
        </w:rPr>
        <w:t xml:space="preserve">内完成：整车定制改装、雷达设备到货、车载系统集成、道路实地校准检测、全套技术培训、完整资料移交并通过甲方整体竣工验收。 </w:t>
      </w:r>
    </w:p>
    <w:p w14:paraId="0155A1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4.2 乙方如需提前交货，须提前 3 个工作日书面告知甲方并征得书面同意；未经甲方同意提前到货，甲方有权拒收，保管、人工损耗由乙方承担。 </w:t>
      </w:r>
    </w:p>
    <w:p w14:paraId="231B6D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4.3 因甲方原因（场地、道路、人员配合滞后）导致工期延误，工期可书面顺延，不计乙方逾期违约金；因乙方生产、改装、供货、调试滞后，工期不予顺延，按本合同第十条承担逾期违约责任。</w:t>
      </w:r>
    </w:p>
    <w:p w14:paraId="34B8FB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4"/>
          <w:szCs w:val="24"/>
        </w:rPr>
        <w:t>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：完整验收标准</w:t>
      </w:r>
    </w:p>
    <w:p w14:paraId="6C4FF10F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 w:bidi="ar-SA"/>
        </w:rPr>
        <w:t>5.1资料档案验收：</w:t>
      </w:r>
    </w:p>
    <w:p w14:paraId="409C625A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（1）车辆合格证、整车一致性证书、购置税凭证、公告参数、改装备案资料、设备出厂合格证、检测报告、质保资料、图纸手册等全套资料完整齐全、格式合规、真实有效</w:t>
      </w:r>
    </w:p>
    <w:p w14:paraId="5A533547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（2）车辆公告合规、手续齐全合法，满足交管部门注册登记要求，可正常上牌、年检、过户，无公告不符、改装不合规无法上牌问题。</w:t>
      </w:r>
    </w:p>
    <w:p w14:paraId="4DF8CBD6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5.2现场实物与性能验收：</w:t>
      </w:r>
    </w:p>
    <w:p w14:paraId="64291FA8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（1）整车外观工艺：车身外观整洁规整，专用改装结构牢固可靠，无零部件松动、结构异响、线路杂乱外露、管路凌乱、焊接瑕疵、密封不严等质量与安全隐患；</w:t>
      </w:r>
    </w:p>
    <w:p w14:paraId="5893FAC0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（2）雷达设备技术指标：车载探地雷达、便携式手推雷达所有技术参数完全响应采购需求书；所有强制性关键技术指标零负偏离、无缺项、无降级配置；</w:t>
      </w:r>
    </w:p>
    <w:p w14:paraId="755A7708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3）道路实地检测工况验收：经现场实车道路试验检测，对路面地下空洞、路基脱空、结构疏松、层间异常等市政道路病害识别精准无误；剖面成像清晰直观、病害点位坐标定位精准，深度、位置误差严格符合规范及需求书限值要求；</w:t>
      </w:r>
    </w:p>
    <w:p w14:paraId="342A6BF6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4）信息化软件系统验收：病害管理软件功能闭环完整，可自动生成病害台账、检测分析报告、地下结构三维模型；支持数据规范化导出、本地安全存储、分级归档、查询追溯、长效管理，运行稳定无报错、无数据丢失；</w:t>
      </w:r>
    </w:p>
    <w:p w14:paraId="25AF2E53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（5）整车供电及电气系统：车载供电、稳压、配电系统持续稳定运行，无偶发断电、电压大幅波动、线路发热、绝缘不良、漏电短路等电气安全故障；</w:t>
      </w:r>
    </w:p>
    <w:p w14:paraId="4385A333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（6）操作实操培训验收：完成全流程技术交底与实操培训，使用人员可独立开展设备开机调试、现场道路检测、原始数据解析、病害研判、报告出具、台账归档全流程作业。</w:t>
      </w:r>
    </w:p>
    <w:p w14:paraId="2E476A69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5.3验收不合格闭环处置：验收不合格项，成交供应商须在采购人限定整改周期内，无条件整改、返工重做、部件整机更换，直至完全达标；全过程整改、复测、返工所有费用均由成交单位自行承担。逾期未完成整改复验合格，采购人有权单方解除采购合同，成交供应商全额承担违约赔偿、工期延误及相关全部法律与经济责任。</w:t>
      </w:r>
    </w:p>
    <w:p w14:paraId="4EE30AC1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条：付款方式</w:t>
      </w:r>
    </w:p>
    <w:p w14:paraId="723822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6.1预付款支付：合同签订生效后，采购人向中标人支付合同总金额的40%作为预付款。</w:t>
      </w:r>
    </w:p>
    <w:p w14:paraId="000A46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6.2履约保证金：中标人在签订合同前，向采购人提交合同总金额5%的履约保证金（可采用银行保函等非现金形式）。履约保证金在项目整体验收合格后30日内无息退还（保函出具银行为国有商业银行或地方股份制商业银行，受益人必须为采购人全称，为不可撤销见索即付银行保函）。</w:t>
      </w:r>
    </w:p>
    <w:p w14:paraId="7DA6E8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sz w:val="24"/>
          <w:szCs w:val="24"/>
          <w:lang w:val="en-US" w:eastAsia="zh-CN" w:bidi="ar-SA"/>
        </w:rPr>
        <w:t>6.3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验收款支付：设备到货并完成安装调试、整体验收合格，且中标人提交完整结算资料后，双方办理结算手续，采购人支付至结算总价的100%（含已支付的预付款）。</w:t>
      </w:r>
    </w:p>
    <w:p w14:paraId="46E5510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  <w:t>第七条 售后保障</w:t>
      </w:r>
    </w:p>
    <w:p w14:paraId="4B4BA6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kern w:val="0"/>
          <w:sz w:val="24"/>
          <w:szCs w:val="24"/>
          <w:lang w:val="en-US" w:eastAsia="zh-CN" w:bidi="ar-SA"/>
        </w:rPr>
        <w:t>7.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1质保期内（3年），供应商未在接到采购人故障报修通知后24小时内响应的，每延迟一天，向采购人支付合同总金额0.5%的违约金。</w:t>
      </w:r>
    </w:p>
    <w:p w14:paraId="1BE5B6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kern w:val="0"/>
          <w:sz w:val="24"/>
          <w:szCs w:val="24"/>
          <w:lang w:val="en-US" w:eastAsia="zh-CN" w:bidi="ar-SA"/>
        </w:rPr>
        <w:t>7.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2同一设备故障在质保期内重复出现三次以上的，采购人有权委托具备资质的第三方进行维修，所产生全部费用由供应商承担。</w:t>
      </w:r>
    </w:p>
    <w:p w14:paraId="550058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kern w:val="0"/>
          <w:sz w:val="24"/>
          <w:szCs w:val="24"/>
          <w:lang w:val="en-US" w:eastAsia="zh-CN" w:bidi="ar-SA"/>
        </w:rPr>
        <w:t>7.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3供应商累计三次未按约定履行质保义务的，采购人有权解除合同，并要求供应商赔偿全部直接及间接损失。</w:t>
      </w:r>
    </w:p>
    <w:p w14:paraId="462238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第八条 乙方核心义务（新增原厂授权、禁止转包、保密条款）</w:t>
      </w:r>
    </w:p>
    <w:p w14:paraId="17A751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8.1 乙方为经销商的，须提供本项目生产厂家</w:t>
      </w:r>
      <w:r>
        <w:rPr>
          <w:rStyle w:val="6"/>
          <w:rFonts w:hint="eastAsia" w:ascii="宋体" w:hAnsi="宋体" w:eastAsia="宋体" w:cs="宋体"/>
          <w:color w:val="000000"/>
          <w:sz w:val="24"/>
          <w:szCs w:val="24"/>
        </w:rPr>
        <w:t>唯一专项授权书</w:t>
      </w:r>
      <w:r>
        <w:rPr>
          <w:rFonts w:hint="eastAsia" w:ascii="宋体" w:hAnsi="宋体" w:eastAsia="宋体" w:cs="宋体"/>
          <w:sz w:val="24"/>
          <w:szCs w:val="24"/>
        </w:rPr>
        <w:t>，原厂出具质保兜底承诺；严禁借用过期、通用授权参与履约。</w:t>
      </w:r>
    </w:p>
    <w:p w14:paraId="48882C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8.2 本项目设备供货、整车改装、技术服务不得转包、分包第三方；一经查实，甲方立即解除合同，扣除全部履约保证金，乙方支付合同总价 20% 违约金</w:t>
      </w:r>
      <w:r>
        <w:rPr>
          <w:rFonts w:hint="eastAsia" w:hAnsi="宋体" w:eastAsia="宋体" w:cs="宋体"/>
          <w:sz w:val="24"/>
          <w:szCs w:val="24"/>
          <w:lang w:eastAsia="zh-CN"/>
        </w:rPr>
        <w:t>。</w:t>
      </w:r>
    </w:p>
    <w:p w14:paraId="33D571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8.3 对甲方道路检测数据、厂区资料、项目预算永久保密，未经甲方书面许可不得对外宣传、展示本套雷达设备检测成果；泄密按合同总价 30% 支付违约金。 </w:t>
      </w:r>
    </w:p>
    <w:p w14:paraId="0AEB6A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8.4 全程配合甲方完成财政 / 采购履约抽查、设备校准复检、技术答疑。</w:t>
      </w:r>
    </w:p>
    <w:p w14:paraId="70506A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</w:rPr>
        <w:t>条：不可抗力</w:t>
      </w:r>
    </w:p>
    <w:p w14:paraId="27189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甲乙双方的任何一方由于不可抗力的原因不能履行合同时，应及时向对方通报不能履行或不能完全履行的理由，以减轻可能给对方造成的损失，在取得有关机构证明以后，允许延期履行、部分履行或者不履行合同，并根据情况可部分或全部免予承担违约责任。</w:t>
      </w:r>
    </w:p>
    <w:p w14:paraId="0686EE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第十条：违约责任</w:t>
      </w:r>
    </w:p>
    <w:p w14:paraId="37A308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供应商未按约定时间、地点、数量交付的，采购人有权解除合同，并要求供应商支付违约金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；</w:t>
      </w:r>
    </w:p>
    <w:p w14:paraId="068CB7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10.2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采购人未按约定时间支付货款的，供应商有权解除合同，并要求采购人支付违约金；</w:t>
      </w:r>
    </w:p>
    <w:p w14:paraId="7D7213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10.3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如供应商所供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饲料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不符合质量标准，采购人有权拒绝接收，并要求供应商退还已付款项，同时供应商应承担因此产生的损失。</w:t>
      </w:r>
    </w:p>
    <w:p w14:paraId="313BF6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>条：争议处理</w:t>
      </w:r>
    </w:p>
    <w:p w14:paraId="7D19B4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本合同履行过程中如发生争议，双方应友好协商解决；协商不成的，可以向有管辖权的人民法院起诉。</w:t>
      </w:r>
    </w:p>
    <w:p w14:paraId="3F6E4C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第十二条：其他</w:t>
      </w:r>
    </w:p>
    <w:p w14:paraId="0563DAC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12.1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本合同一式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乙方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份；具有同等法律效力。</w:t>
      </w:r>
    </w:p>
    <w:p w14:paraId="1AEA331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12.2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本合同未尽事宜双方可协商另行签订补充协议。</w:t>
      </w:r>
    </w:p>
    <w:p w14:paraId="528641C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12.3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本合同自双方签字盖章之日起生效。</w:t>
      </w:r>
    </w:p>
    <w:p w14:paraId="3F1034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56ACE7A4">
      <w:pPr>
        <w:bidi w:val="0"/>
        <w:spacing w:line="400" w:lineRule="exact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03D60399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甲方：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乙方：</w:t>
      </w:r>
    </w:p>
    <w:p w14:paraId="3F5689C0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代表人（签字有效）：                           代表人（签字有效）：</w:t>
      </w:r>
    </w:p>
    <w:p w14:paraId="3A3D7914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电话：                                         电话：</w:t>
      </w:r>
    </w:p>
    <w:p w14:paraId="36000D47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传真：                                         传真：</w:t>
      </w:r>
    </w:p>
    <w:p w14:paraId="18CB60C5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地址：                                         地址：</w:t>
      </w:r>
    </w:p>
    <w:p w14:paraId="6C6DEC87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签订日期：______年____月____日                 签订日期：______年____月____日</w:t>
      </w:r>
    </w:p>
    <w:p w14:paraId="7BFE7E22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                              账号：</w:t>
      </w:r>
    </w:p>
    <w:p w14:paraId="1DCBE1E5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                              户名：</w:t>
      </w:r>
    </w:p>
    <w:p w14:paraId="34AA8787"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                              开户行：</w:t>
      </w:r>
    </w:p>
    <w:p w14:paraId="0BEBCD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A9295F1"/>
    <w:sectPr>
      <w:footerReference r:id="rId4" w:type="default"/>
      <w:pgSz w:w="11906" w:h="16838"/>
      <w:pgMar w:top="1701" w:right="1701" w:bottom="1701" w:left="1701" w:header="851" w:footer="992" w:gutter="0"/>
      <w:pgNumType w:fmt="decimal" w:start="1"/>
      <w:cols w:space="72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C974C"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017EB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7B1043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97B1043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321C7704">
    <w:pPr>
      <w:pStyle w:val="3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japaneseCounting"/>
      <w:lvlText w:val="第%1条"/>
      <w:lvlJc w:val="left"/>
      <w:pPr>
        <w:tabs>
          <w:tab w:val="left" w:pos="750"/>
        </w:tabs>
        <w:ind w:left="750" w:hanging="75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3491E"/>
    <w:rsid w:val="3093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3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paragraph" w:customStyle="1" w:styleId="7">
    <w:name w:val="纯文本1"/>
    <w:basedOn w:val="1"/>
    <w:qFormat/>
    <w:uiPriority w:val="0"/>
    <w:rPr>
      <w:rFonts w:ascii="宋体" w:hAnsi="Courier New"/>
      <w:szCs w:val="21"/>
    </w:r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2026-07-31T01:24:00Z</dcterms:created>
  <dc:creator>Windows10</dc:creator>
  <cp:lastModifiedBy>Windows10</cp:lastModifiedBy>
  <dcterms:modified xsi:type="dcterms:W3CDTF">2026-07-31T01:25:08Z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262A533757FB4566B61B5776218E3E03_11</vt:lpwstr>
  </property>
  <property fmtid="{D5CDD505-2E9C-101B-9397-08002B2CF9AE}" pid="4" name="KSOTemplateDocerSaveRecord">
    <vt:lpwstr>eyJoZGlkIjoiYThkYTA4MzNkNmQ5ODA3NTAzOTA2MmJhYzUwYzgwYWEiLCJ1c2VySWQiOiIzNTU4ODgxOTIifQ==</vt:lpwstr>
  </property>
</Properties>
</file>