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版本号：LT-ZFCG-01020260915002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2026年新区正阳路街道辖区行政村垃圾清运项目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LT-ZFCG-010</w:t>
      </w:r>
      <w:r>
        <w:br/>
      </w:r>
      <w:r>
        <w:br/>
      </w:r>
      <w:r>
        <w:br/>
      </w:r>
    </w:p>
    <w:p>
      <w:pPr>
        <w:pStyle w:val="null3"/>
        <w:jc w:val="center"/>
        <w:outlineLvl w:val="2"/>
      </w:pPr>
      <w:r>
        <w:rPr>
          <w:rFonts w:ascii="仿宋_GB2312" w:hAnsi="仿宋_GB2312" w:cs="仿宋_GB2312" w:eastAsia="仿宋_GB2312"/>
          <w:sz w:val="28"/>
          <w:b/>
        </w:rPr>
        <w:t>铜川市新区正阳路街道办事处</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铜川市新区正阳路街道办事处</w:t>
      </w:r>
      <w:r>
        <w:rPr>
          <w:rFonts w:ascii="仿宋_GB2312" w:hAnsi="仿宋_GB2312" w:cs="仿宋_GB2312" w:eastAsia="仿宋_GB2312"/>
        </w:rPr>
        <w:t>委托，拟对</w:t>
      </w:r>
      <w:r>
        <w:rPr>
          <w:rFonts w:ascii="仿宋_GB2312" w:hAnsi="仿宋_GB2312" w:cs="仿宋_GB2312" w:eastAsia="仿宋_GB2312"/>
        </w:rPr>
        <w:t>2026年新区正阳路街道辖区行政村垃圾清运项目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LT-ZFCG-010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2026年新区正阳路街道辖区行政村垃圾清运项目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2026年新区正阳路街道辖区行政村垃圾清运服务。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采购包1（2026年新区正阳路街道辖区行政村垃圾清运项目）：属于专门面向中小企业采购。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1、主体资格要求：具有独⽴承担⺠事责任能⼒的法⼈、其他组织或⾃然⼈，并出具合法有效的营业执照或事业单位法⼈证书等国家规定的相关证明，⾃然⼈参与的提供其⾝份证明；</w:t>
      </w:r>
    </w:p>
    <w:p>
      <w:pPr>
        <w:pStyle w:val="null3"/>
      </w:pPr>
      <w:r>
        <w:rPr>
          <w:rFonts w:ascii="仿宋_GB2312" w:hAnsi="仿宋_GB2312" w:cs="仿宋_GB2312" w:eastAsia="仿宋_GB2312"/>
        </w:rPr>
        <w:t>2、财务状况报告：提供具有财务审计资质单位出具的2025年度财务报告或磋商前六个⽉内其基本账⼾银⾏出具的资信证明或政府采购信⽤担保机构出具的磋商担保函；</w:t>
      </w:r>
    </w:p>
    <w:p>
      <w:pPr>
        <w:pStyle w:val="null3"/>
      </w:pPr>
      <w:r>
        <w:rPr>
          <w:rFonts w:ascii="仿宋_GB2312" w:hAnsi="仿宋_GB2312" w:cs="仿宋_GB2312" w:eastAsia="仿宋_GB2312"/>
        </w:rPr>
        <w:t>3、税收缴纳证明：提供截⽌⾄磋商时间前六个⽉内任意一个⽉的缴纳税收凭据；（依法免税的供应商应提供相关⽂件证明）；</w:t>
      </w:r>
    </w:p>
    <w:p>
      <w:pPr>
        <w:pStyle w:val="null3"/>
      </w:pPr>
      <w:r>
        <w:rPr>
          <w:rFonts w:ascii="仿宋_GB2312" w:hAnsi="仿宋_GB2312" w:cs="仿宋_GB2312" w:eastAsia="仿宋_GB2312"/>
        </w:rPr>
        <w:t>4、社会保障资⾦缴纳证明：提供截⽌⾄磋商时间前六个⽉内任意一个⽉的社保缴纳凭据或社保机构开具的社会保险参保缴费情况证明；（依法不需要交纳社会保障资⾦的供应商应提供相关证明）；</w:t>
      </w:r>
    </w:p>
    <w:p>
      <w:pPr>
        <w:pStyle w:val="null3"/>
      </w:pPr>
      <w:r>
        <w:rPr>
          <w:rFonts w:ascii="仿宋_GB2312" w:hAnsi="仿宋_GB2312" w:cs="仿宋_GB2312" w:eastAsia="仿宋_GB2312"/>
        </w:rPr>
        <w:t>5、履约所需设备及专业技术能力：提供具有履⾏本合同所必需的设备和专业技术能⼒的说明及承诺；</w:t>
      </w:r>
    </w:p>
    <w:p>
      <w:pPr>
        <w:pStyle w:val="null3"/>
      </w:pPr>
      <w:r>
        <w:rPr>
          <w:rFonts w:ascii="仿宋_GB2312" w:hAnsi="仿宋_GB2312" w:cs="仿宋_GB2312" w:eastAsia="仿宋_GB2312"/>
        </w:rPr>
        <w:t>6、无重大违法记录书面声明：提供参加政府采购活动前三年内在经营活动中没有重⼤违法记录的书⾯声明；</w:t>
      </w:r>
    </w:p>
    <w:p>
      <w:pPr>
        <w:pStyle w:val="null3"/>
      </w:pPr>
      <w:r>
        <w:rPr>
          <w:rFonts w:ascii="仿宋_GB2312" w:hAnsi="仿宋_GB2312" w:cs="仿宋_GB2312" w:eastAsia="仿宋_GB2312"/>
        </w:rPr>
        <w:t>7、法定代表人身份证明或授权委托书：法定代表⼈授权书/ 法定代表⼈⾝份证明：法定代表⼈参与磋商时需提供法定代表⼈⾝份证明；被授权⼈参与磋商时需提供法定代表⼈授权委托书；</w:t>
      </w:r>
    </w:p>
    <w:p>
      <w:pPr>
        <w:pStyle w:val="null3"/>
      </w:pPr>
      <w:r>
        <w:rPr>
          <w:rFonts w:ascii="仿宋_GB2312" w:hAnsi="仿宋_GB2312" w:cs="仿宋_GB2312" w:eastAsia="仿宋_GB2312"/>
        </w:rPr>
        <w:t>8、信用信息查询要求：供应商不得为“信⽤中国(www.creditchina.gov.cn)”中列⼊失信被执⾏⼈名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9、不接受联合体磋商承诺：本项⽬不允许联合体磋商。（提供⾮联合体磋商承诺）。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铜川市新区正阳路街道办事处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长虹南路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13991590150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13299059091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代理服务费收费标准：采购代理机构参照国家计委关于印发《招标代理服务收费管理暂采行办法》的通知（计价格〔 行 2002 〕1980 号）、《国家发展和号改革委员会办公厅关于招标代理服务收费有关问题的通知》（发改改办价格〔 改 2003 〕857 号）规定下浮3%收取代理服务费。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铜川市新区正阳路街道办事处</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铜川市新区正阳路街道办事处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铜川市新区正阳路街道办事处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满⾜采购⼈及服务合同需求。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联系人：马萌萌</w:t>
      </w:r>
    </w:p>
    <w:p>
      <w:pPr>
        <w:pStyle w:val="null3"/>
      </w:pPr>
      <w:r>
        <w:rPr>
          <w:rFonts w:ascii="仿宋_GB2312" w:hAnsi="仿宋_GB2312" w:cs="仿宋_GB2312" w:eastAsia="仿宋_GB2312"/>
        </w:rPr>
        <w:t>联系电话：13299059091</w:t>
      </w:r>
    </w:p>
    <w:p>
      <w:pPr>
        <w:pStyle w:val="null3"/>
      </w:pPr>
      <w:r>
        <w:rPr>
          <w:rFonts w:ascii="仿宋_GB2312" w:hAnsi="仿宋_GB2312" w:cs="仿宋_GB2312" w:eastAsia="仿宋_GB2312"/>
        </w:rPr>
        <w:t>地址：陕西省西安市碑林区红缨路9号豪盛大厦A座10604室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2026年新区正阳路街道辖区⾏政村垃圾清运服务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2026年新区正阳路街道辖区行政村垃圾清运项目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标的名称：2026年新区正阳路街道辖区行政村垃圾清运项目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2026年新区正阳路街道辖区行政村垃圾清运项目采购内容及要求</w:t>
            </w:r>
            <w:r>
              <w:br/>
            </w:r>
            <w:r>
              <w:rPr>
                <w:rFonts w:ascii="仿宋_GB2312" w:hAnsi="仿宋_GB2312" w:cs="仿宋_GB2312" w:eastAsia="仿宋_GB2312"/>
              </w:rPr>
              <w:t xml:space="preserve"> 1、范围：袁家村、文家村、高家村、赵家坡村赵家坡组、赵家坡村田家沟组、齐家坡村丁沟组、齐坡村齐家坡组、齐家坡村儒柳组、王岩村、郭家村、鱼池村、陈坪村、新城村共13个村、组(含东环路及210国道青岗岭段)共130余处垃圾收集点的垃圾清理、清运工作。</w:t>
            </w:r>
            <w:r>
              <w:br/>
            </w:r>
            <w:r>
              <w:rPr>
                <w:rFonts w:ascii="仿宋_GB2312" w:hAnsi="仿宋_GB2312" w:cs="仿宋_GB2312" w:eastAsia="仿宋_GB2312"/>
              </w:rPr>
              <w:t xml:space="preserve"> 2、清理期：采购⼈要求及时进⾏清理</w:t>
            </w:r>
            <w:r>
              <w:br/>
            </w:r>
            <w:r>
              <w:rPr>
                <w:rFonts w:ascii="仿宋_GB2312" w:hAnsi="仿宋_GB2312" w:cs="仿宋_GB2312" w:eastAsia="仿宋_GB2312"/>
              </w:rPr>
              <w:t xml:space="preserve"> 3、服务期：⼀年</w:t>
            </w:r>
            <w:r>
              <w:br/>
            </w:r>
            <w:r>
              <w:rPr>
                <w:rFonts w:ascii="仿宋_GB2312" w:hAnsi="仿宋_GB2312" w:cs="仿宋_GB2312" w:eastAsia="仿宋_GB2312"/>
              </w:rPr>
              <w:t xml:space="preserve"> 4、采购预算：920000.00 元</w:t>
            </w:r>
            <w:r>
              <w:br/>
            </w:r>
            <w:r>
              <w:rPr>
                <w:rFonts w:ascii="仿宋_GB2312" w:hAnsi="仿宋_GB2312" w:cs="仿宋_GB2312" w:eastAsia="仿宋_GB2312"/>
              </w:rPr>
              <w:t xml:space="preserve"> 5、要求：</w:t>
            </w:r>
            <w:r>
              <w:br/>
            </w:r>
            <w:r>
              <w:rPr>
                <w:rFonts w:ascii="仿宋_GB2312" w:hAnsi="仿宋_GB2312" w:cs="仿宋_GB2312" w:eastAsia="仿宋_GB2312"/>
              </w:rPr>
              <w:t xml:space="preserve"> 5.1、垃圾清运公司要按照各村确定的垃圾收集点（垃圾收集点环境卫⽣由 保洁员负责），及时清运，做到⽇产⽇清，并将装载时散落垃圾清理⼲净。运输时将⽣活、建筑垃圾分开，严格按照相关规定进⾏处理。拉运途中密闭运输，不抛洒、不扬尘、不中途乱倒。</w:t>
            </w:r>
            <w:r>
              <w:br/>
            </w:r>
            <w:r>
              <w:rPr>
                <w:rFonts w:ascii="仿宋_GB2312" w:hAnsi="仿宋_GB2312" w:cs="仿宋_GB2312" w:eastAsia="仿宋_GB2312"/>
              </w:rPr>
              <w:t xml:space="preserve"> 5.2、垃圾清运⼯作中，⼯作⼈员与⻋辆应有明显的保洁标志、标识，机械 ⻋辆要保持⻋辆容貌整洁，运输过程中遵守交通交管部⻔的有关规定。</w:t>
            </w:r>
            <w:r>
              <w:br/>
            </w:r>
            <w:r>
              <w:rPr>
                <w:rFonts w:ascii="仿宋_GB2312" w:hAnsi="仿宋_GB2312" w:cs="仿宋_GB2312" w:eastAsia="仿宋_GB2312"/>
              </w:rPr>
              <w:t xml:space="preserve"> 5.3、清运垃圾过程中，要爱护垃圾屋、垃圾台、垃圾桶等公共环卫设施。</w:t>
            </w:r>
            <w:r>
              <w:br/>
            </w:r>
            <w:r>
              <w:rPr>
                <w:rFonts w:ascii="仿宋_GB2312" w:hAnsi="仿宋_GB2312" w:cs="仿宋_GB2312" w:eastAsia="仿宋_GB2312"/>
              </w:rPr>
              <w:t xml:space="preserve"> 5.4、垃圾清运过程当中，⼯作⼈员应规范操作机械，因不安全作业造成的事故损失等，由垃圾清运公司⾃⾏承担。</w:t>
            </w:r>
            <w:r>
              <w:br/>
            </w:r>
            <w:r>
              <w:rPr>
                <w:rFonts w:ascii="仿宋_GB2312" w:hAnsi="仿宋_GB2312" w:cs="仿宋_GB2312" w:eastAsia="仿宋_GB2312"/>
              </w:rPr>
              <w:t xml:space="preserve"> 5.5、垃圾清运公司应及时⾃查，突出⼯作重点，灵活⼯作⽅式，确保⼯作任务落到实处。定期对⼯作⼈员岗位培训，提⾼⼯作⼈员业务技能和⼯作责任⼼。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满⾜采购⼈及服务合同需求。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采购包1： 付款条件说明： 每月末，达到付款条件起15个工作日内，支付合同总金额的8.33%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进度款，采购包1： 付款条件说明： 每月末，达到付款条件起15个工作日内，支付合同总金额的8.33%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进度款，采购包1： 付款条件说明： 每月末，达到付款条件起15个工作日内，支付合同总金额的8.33%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进度款，采购包1： 付款条件说明： 每月末，达到付款条件起15个工作日内，支付合同总金额的8.33%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进度款，采购包1： 付款条件说明： 每月末，达到付款条件起15个工作日内，支付合同总金额的8.33%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进度款，采购包1： 付款条件说明： 每月末，达到付款条件起15个工作日内，支付合同总金额的8.33%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进度款，采购包1： 付款条件说明： 每月末，达到付款条件起15个工作日内，支付合同总金额的8.33%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进度款，采购包1： 付款条件说明： 每月末，达到付款条件起15个工作日内，支付合同总金额的8.33%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进度款，采购包1： 付款条件说明： 每月末，达到付款条件起15个工作日内，支付合同总金额的8.34%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进度款，采购包1： 付款条件说明： 每月末，达到付款条件起15个工作日内，支付合同总金额的8.34%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进度款，采购包1： 付款条件说明： 每月末，达到付款条件起15个工作日内，支付合同总金额的8.34%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进度款，采购包1： 付款条件说明： 每月末，达到付款条件起15个工作日内，支付合同总金额的8.34%</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成交供应商未按合同要求履⾏，不符合招标技术要求，成交供应商必须⽆条件更换 ⼈员或产品，提⾼技术，完善质量，否则，采购⼈有权终⽌合同，并对成交供应商的违约⾏为进⾏追究并依法向成交供应商进 ⾏经济索赔。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1、服务期限：自合同签订之日起一年；2、服务地点：采购人指定地点。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提供具有财务审计资质单位出具的2025年度财务报告或磋商前六个⽉内其基本账⼾银⾏出具的资信证明或政府采购信⽤担保机构出具的磋商担保函；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提供截⽌⾄磋商时间前六个⽉内任意一个⽉的缴纳税收凭据；（依法免税的供应商应提供相关⽂件证明）；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提供截⽌⾄磋商时间前六个⽉内任意一个⽉的社保缴纳凭据或社保机构开具的社会保险参保缴费情况证明；（依法不需要交纳社会保障资⾦的供应商应提供相关证明）；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履约所需设备及专业技术能力</w:t>
            </w:r>
          </w:p>
        </w:tc>
        <w:tc>
          <w:tcPr>
            <w:tcW w:type="dxa" w:w="3322"/>
          </w:tcPr>
          <w:p>
            <w:pPr>
              <w:pStyle w:val="null3"/>
            </w:pPr>
            <w:r>
              <w:rPr>
                <w:rFonts w:ascii="仿宋_GB2312" w:hAnsi="仿宋_GB2312" w:cs="仿宋_GB2312" w:eastAsia="仿宋_GB2312"/>
              </w:rPr>
              <w:t>提供具有履⾏本合同所必需的设备和专业技术能⼒的说明及承诺；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法定代表⼈授权书/ 法定代表⼈⾝份证明：法定代表⼈参与磋商时需提供法定代表⼈⾝份证明；被授权⼈参与磋商时需提供法定代表⼈授权委托书；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信用信息查询要求</w:t>
            </w:r>
          </w:p>
        </w:tc>
        <w:tc>
          <w:tcPr>
            <w:tcW w:type="dxa" w:w="3322"/>
          </w:tcPr>
          <w:p>
            <w:pPr>
              <w:pStyle w:val="null3"/>
            </w:pPr>
            <w:r>
              <w:rPr>
                <w:rFonts w:ascii="仿宋_GB2312" w:hAnsi="仿宋_GB2312" w:cs="仿宋_GB2312" w:eastAsia="仿宋_GB2312"/>
              </w:rPr>
              <w:t>供应商不得为“信⽤中国(www.creditchina.gov.cn)”中列⼊失信被执⾏⼈名单的供应商，不得为“中国政府采购⽹(www.ccgp.gov.cn)”政府采购严重违法失信⾏为记录名单中被财政部⻔禁⽌参加政府采购活动的供应商；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不接受联合体磋商承诺</w:t>
            </w:r>
          </w:p>
        </w:tc>
        <w:tc>
          <w:tcPr>
            <w:tcW w:type="dxa" w:w="3322"/>
          </w:tcPr>
          <w:p>
            <w:pPr>
              <w:pStyle w:val="null3"/>
            </w:pPr>
            <w:r>
              <w:rPr>
                <w:rFonts w:ascii="仿宋_GB2312" w:hAnsi="仿宋_GB2312" w:cs="仿宋_GB2312" w:eastAsia="仿宋_GB2312"/>
              </w:rPr>
              <w:t>本项⽬不允许联合体磋商。（提供⾮联合体磋商承诺）。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磋商响应文件上要求法定代表人或被授权人签 字或盖章的，签字或盖章应齐全。</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垃圾清运实施方案</w:t>
            </w:r>
          </w:p>
        </w:tc>
        <w:tc>
          <w:tcPr>
            <w:tcW w:type="dxa" w:w="2492"/>
          </w:tcPr>
          <w:p>
            <w:pPr>
              <w:pStyle w:val="null3"/>
            </w:pPr>
            <w:r>
              <w:rPr>
                <w:rFonts w:ascii="仿宋_GB2312" w:hAnsi="仿宋_GB2312" w:cs="仿宋_GB2312" w:eastAsia="仿宋_GB2312"/>
              </w:rPr>
              <w:t>垃圾清运实施方案合理、严谨、有针对性，磋商小组根据供应商提供方案的完整性、实用性进行比较赋分，优计[11-12]分，良[6-10]分，一般计[1-5]分；未响应不得分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拟投入该项目的专用清运工具及主要硬件设备</w:t>
            </w:r>
          </w:p>
        </w:tc>
        <w:tc>
          <w:tcPr>
            <w:tcW w:type="dxa" w:w="2492"/>
          </w:tcPr>
          <w:p>
            <w:pPr>
              <w:pStyle w:val="null3"/>
            </w:pPr>
            <w:r>
              <w:rPr>
                <w:rFonts w:ascii="仿宋_GB2312" w:hAnsi="仿宋_GB2312" w:cs="仿宋_GB2312" w:eastAsia="仿宋_GB2312"/>
              </w:rPr>
              <w:t>根据拟投入该项目的专用清运工具及主要硬件设备，磋商小组根据供应商提供清运工具及硬件设备完整性进行比较赋分，优计[7-8]分 ，良[5-6]分，一般计[1-4]分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安全保障措施、应急预案、安全控制体系</w:t>
            </w:r>
          </w:p>
        </w:tc>
        <w:tc>
          <w:tcPr>
            <w:tcW w:type="dxa" w:w="2492"/>
          </w:tcPr>
          <w:p>
            <w:pPr>
              <w:pStyle w:val="null3"/>
            </w:pPr>
            <w:r>
              <w:rPr>
                <w:rFonts w:ascii="仿宋_GB2312" w:hAnsi="仿宋_GB2312" w:cs="仿宋_GB2312" w:eastAsia="仿宋_GB2312"/>
              </w:rPr>
              <w:t>有专门的安全保障措施、应急预案、安全控制体系，根据响应程度优计[7-8]分 ，良[5-6]分，一般计[1-4]分；未响应不得分。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人员安排、职责分配以及人员管理方案</w:t>
            </w:r>
          </w:p>
        </w:tc>
        <w:tc>
          <w:tcPr>
            <w:tcW w:type="dxa" w:w="2492"/>
          </w:tcPr>
          <w:p>
            <w:pPr>
              <w:pStyle w:val="null3"/>
            </w:pPr>
            <w:r>
              <w:rPr>
                <w:rFonts w:ascii="仿宋_GB2312" w:hAnsi="仿宋_GB2312" w:cs="仿宋_GB2312" w:eastAsia="仿宋_GB2312"/>
              </w:rPr>
              <w:t>提供详细的人员安排、职责分配以及人员管理方案，磋商小组根据供应商提供方案的完整性、实用性进行横向比较赋分，优计[5-6]分 ，良[3-4]分，一般计[1-2]分；未响应不得分。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提供针对本项目的管理制度，内容包括： ①培训及考核制度； ②清运台账资料管理制度。根据响应程度优计[5-6]分 ，良[3-4]分，一般计[1-2]分；未响应不得分。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供应商每提供一个人员驾驶证得2分，本项目最高得4分。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供应商提供加盖公章的书面承诺函得 10 分，不提供不得分。承诺内容须包含：成交后主动加强收集点位保洁，提升片区环境卫生质量；节假日、垃圾产生高峰期增派清运力量，防范垃圾堆积扰民；承诺做好垃圾桶、收集点设施日常保洁养护；全力配合街道、社区环卫整治及临时保障任务；建立自查机制，主动整改服务问题，持续优化清运服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服务保障能力</w:t>
            </w:r>
          </w:p>
        </w:tc>
        <w:tc>
          <w:tcPr>
            <w:tcW w:type="dxa" w:w="2492"/>
          </w:tcPr>
          <w:p>
            <w:pPr>
              <w:pStyle w:val="null3"/>
            </w:pPr>
            <w:r>
              <w:rPr>
                <w:rFonts w:ascii="仿宋_GB2312" w:hAnsi="仿宋_GB2312" w:cs="仿宋_GB2312" w:eastAsia="仿宋_GB2312"/>
              </w:rPr>
              <w:t>①应急备用车辆保障（4 分）：供应商提供加盖公章的承诺函，承诺内容须包含：如成交，将为本项目配备自有或长期租赁应急备用清运车辆，该车辆不作为本项目日常作业车辆，专供项目突发情况应急使用，接到应急通知能够及时到场处置；采购人有权在进场后核验车辆资料及实物，若无法兑现上述承诺，视为违约，按采购合同约定承担违约责任，承诺函全部要素齐全得 4 分，未提供承诺函或关键内容缺失不得分。②7×24 小时值班联络保障（3 分）：提供值班人员清单、24 小时应急联系电话得 3 分，未提供材料不得分。本项备用车辆不得与日常作业车辆为同一台车，不得重复计分。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提供2023年9月1日以来供应商同类项目的业绩合同（以合同或中标通知书为准,复印件加盖公章 ）每份计3分，计满9分为止。（ 无相关业绩记0分）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满足竞争性磋商文件要求且评审报 价最低的报价为评标基准价，其价 格分为满分。其他供应商的价格分 统一按照下列公式计算： 磋商报价 得分=（评标基准价/最终磋商报价 ）×价格权值。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详见附件：拟签订的主要合同条款（参考）.docx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