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版本号：SKXMGL-ZC-202604620260722001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西安曲江老年公寓电力设施提升改造项目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SKXMGL-ZC-2026046</w:t>
      </w:r>
      <w:r>
        <w:br/>
      </w:r>
      <w:r>
        <w:br/>
      </w:r>
      <w:r>
        <w:br/>
      </w:r>
    </w:p>
    <w:p>
      <w:pPr>
        <w:pStyle w:val="null3"/>
        <w:jc w:val="center"/>
        <w:outlineLvl w:val="2"/>
      </w:pPr>
      <w:r>
        <w:rPr>
          <w:rFonts w:ascii="仿宋_GB2312" w:hAnsi="仿宋_GB2312" w:cs="仿宋_GB2312" w:eastAsia="仿宋_GB2312"/>
          <w:sz w:val="28"/>
          <w:b/>
        </w:rPr>
        <w:t>西安市老龄事业发展中心</w:t>
      </w:r>
    </w:p>
    <w:p>
      <w:pPr>
        <w:pStyle w:val="null3"/>
        <w:jc w:val="center"/>
        <w:outlineLvl w:val="2"/>
      </w:pPr>
      <w:r>
        <w:rPr>
          <w:rFonts w:ascii="仿宋_GB2312" w:hAnsi="仿宋_GB2312" w:cs="仿宋_GB2312" w:eastAsia="仿宋_GB2312"/>
          <w:sz w:val="28"/>
          <w:b/>
        </w:rPr>
        <w:t>陕西速科项目管理咨询有限公司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陕西速科项目管理咨询有限公司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西安市老龄事业发展中心</w:t>
      </w:r>
      <w:r>
        <w:rPr>
          <w:rFonts w:ascii="仿宋_GB2312" w:hAnsi="仿宋_GB2312" w:cs="仿宋_GB2312" w:eastAsia="仿宋_GB2312"/>
        </w:rPr>
        <w:t>委托，拟对</w:t>
      </w:r>
      <w:r>
        <w:rPr>
          <w:rFonts w:ascii="仿宋_GB2312" w:hAnsi="仿宋_GB2312" w:cs="仿宋_GB2312" w:eastAsia="仿宋_GB2312"/>
        </w:rPr>
        <w:t>西安曲江老年公寓电力设施提升改造项目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SKXMGL-ZC-2026046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西安曲江老年公寓电力设施提升改造项目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西安曲江老年公寓位于西安市雁塔区曲江大道 70 号，由 1-3号楼构成，总建筑面积达4.9万平方米，该公寓由西安市民政局投资建设，于2014年4月动工，2016年10月竣工。2025年1月18日，曲江住建局组织消防专家，针对老年公寓1-2号楼装修工程开展了消防技术服务现场实地检查。检查明确指出:“消防配电线路与其他配电线路设置于同一电缆井内，未采用矿物绝缘电缆，不符合《建筑设计防火规范》的要求。”为切实落实整改要求，进一步增强公寓消防安全防控能力，杜绝因配电线路不规范、设施存在隐患等因素引发的安全事故，我中心计划对1-2号公寓楼内的消防配电线路及相关配电设施实施提升改造，确保各项设施符合规范标准，有效防范安全风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采购包1（西安曲江老年公寓电力设施提升改造项目）：属于专门面向中小企业采购。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1、企业资质：供应商须具备建设行政主管部门颁发合法有效的消防设施工程专业承包二级及以上资质证书和有效的安全生产许可证。</w:t>
      </w:r>
    </w:p>
    <w:p>
      <w:pPr>
        <w:pStyle w:val="null3"/>
      </w:pPr>
      <w:r>
        <w:rPr>
          <w:rFonts w:ascii="仿宋_GB2312" w:hAnsi="仿宋_GB2312" w:cs="仿宋_GB2312" w:eastAsia="仿宋_GB2312"/>
        </w:rPr>
        <w:t>2、拟派项目经理：拟派项目经理须具备合法有效的机电工程专业二级及以上注册建造师执业资格和有效的安全生产考核合格证书（B证），在本单位注册，以及无不良信用记录和无在建工程的项目经理（提供承诺书）。承诺书须额外承诺：知悉养老机构施工安全特殊管控要求，施工期间全程在岗，不得擅自离岗；若项目经理离岗超过 4 小时未报备甲方，甲方有权要求更换项目经理并扣除履约相关款项。</w:t>
      </w:r>
    </w:p>
    <w:p>
      <w:pPr>
        <w:pStyle w:val="null3"/>
      </w:pPr>
      <w:r>
        <w:rPr>
          <w:rFonts w:ascii="仿宋_GB2312" w:hAnsi="仿宋_GB2312" w:cs="仿宋_GB2312" w:eastAsia="仿宋_GB2312"/>
        </w:rPr>
        <w:t>3、法定代表人授权书（或法定代表人证明书）：法定代表人授权委托书（附法定代表人身份证复印件及被授权人身份证复印件）；法定代表人直接参加磋商须提供法定代表人身份证明书（附法定代表人身份证复印件）。</w:t>
      </w:r>
    </w:p>
    <w:p>
      <w:pPr>
        <w:pStyle w:val="null3"/>
      </w:pPr>
      <w:r>
        <w:rPr>
          <w:rFonts w:ascii="仿宋_GB2312" w:hAnsi="仿宋_GB2312" w:cs="仿宋_GB2312" w:eastAsia="仿宋_GB2312"/>
        </w:rPr>
        <w:t>4、基本信息查询：供应商基本信息及项目经理的基本信息在“陕西省住房和城乡建设厅(http://js.shaanxi.gov.cn/)”或“全国建筑市场监管公共服务平台(https://jzsc.mohurd.gov.cn/)”可查询提供网站截图资料。</w:t>
      </w:r>
    </w:p>
    <w:p>
      <w:pPr>
        <w:pStyle w:val="null3"/>
      </w:pPr>
      <w:r>
        <w:rPr>
          <w:rFonts w:ascii="仿宋_GB2312" w:hAnsi="仿宋_GB2312" w:cs="仿宋_GB2312" w:eastAsia="仿宋_GB2312"/>
        </w:rPr>
        <w:t>5、信誉要求：供应商不得为“信用中国”网站(http://www.creditchina.gov.cn)列入“失信被执行人”（页面跳转至“中国执行信息公开网”http://zxgk.court.gov.cn/shixin/）和“重大税收违法失信主体名单”的供应商；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6、非联合体要求：本合同包不接受联合体磋商（提供承诺书）。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西安市老龄事业发展中心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雁塔区曲江大道70号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029-89137683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陕西速科项目管理咨询有限公司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陕西省西安市雁塔区陕西省西安市高新区高新路16号A区7号厂房2层10203室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雷源涛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15229054968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代理服务费收费标准：1、代理服务费按照《关于进一步放开建设项目专业服务价格的通知》（发改价格【2015】229号）的规定实行市场调节价，收费金额按固定价壹万元整人民币（¥：10000.00元）收取。 2、代理服务费缴纳账户信息： 银行户名：陕西速科项目管理咨询有限公司 开户银行：西安银行股份有限公司丰庆路支行 支行账号：907011580000074995 注：转账时备注项目名称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西安市老龄事业发展中心</w:t>
      </w:r>
      <w:r>
        <w:rPr>
          <w:rFonts w:ascii="仿宋_GB2312" w:hAnsi="仿宋_GB2312" w:cs="仿宋_GB2312" w:eastAsia="仿宋_GB2312"/>
        </w:rPr>
        <w:t>和</w:t>
      </w:r>
      <w:r>
        <w:rPr>
          <w:rFonts w:ascii="仿宋_GB2312" w:hAnsi="仿宋_GB2312" w:cs="仿宋_GB2312" w:eastAsia="仿宋_GB2312"/>
        </w:rPr>
        <w:t>陕西速科项目管理咨询有限公司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西安市老龄事业发展中心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陕西速科项目管理咨询有限公司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西安市老龄事业发展中心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陕西速科项目管理咨询有限公司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 （2）符合《建设工程安全生产管理条例》的标准；符合工程相关规范要求； （3）工程验收标准：双方约定，在符合采购文件及合同中关于本工程施工要求的前提下，以采购人现场验收合格为准。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联系人：雷源涛</w:t>
      </w:r>
    </w:p>
    <w:p>
      <w:pPr>
        <w:pStyle w:val="null3"/>
      </w:pPr>
      <w:r>
        <w:rPr>
          <w:rFonts w:ascii="仿宋_GB2312" w:hAnsi="仿宋_GB2312" w:cs="仿宋_GB2312" w:eastAsia="仿宋_GB2312"/>
        </w:rPr>
        <w:t>联系电话：15229054968</w:t>
      </w:r>
    </w:p>
    <w:p>
      <w:pPr>
        <w:pStyle w:val="null3"/>
      </w:pPr>
      <w:r>
        <w:rPr>
          <w:rFonts w:ascii="仿宋_GB2312" w:hAnsi="仿宋_GB2312" w:cs="仿宋_GB2312" w:eastAsia="仿宋_GB2312"/>
        </w:rPr>
        <w:t>地址：陕西省西安市高新区高新路16号A区7号厂房2层10203室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977,000.00</w:t>
      </w:r>
    </w:p>
    <w:p>
      <w:pPr>
        <w:pStyle w:val="null3"/>
      </w:pPr>
      <w:r>
        <w:rPr>
          <w:rFonts w:ascii="仿宋_GB2312" w:hAnsi="仿宋_GB2312" w:cs="仿宋_GB2312" w:eastAsia="仿宋_GB2312"/>
        </w:rPr>
        <w:t>采购包最高限价（元）: 970,123.54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西安曲江老年公寓电力设施提升改造项目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977,000.00</w:t>
            </w:r>
          </w:p>
        </w:tc>
        <w:tc>
          <w:tcPr>
            <w:tcW w:type="dxa" w:w="1384"/>
          </w:tcPr>
          <w:p>
            <w:pPr>
              <w:pStyle w:val="null3"/>
            </w:pPr>
            <w:r>
              <w:rPr>
                <w:rFonts w:ascii="仿宋_GB2312" w:hAnsi="仿宋_GB2312" w:cs="仿宋_GB2312" w:eastAsia="仿宋_GB2312"/>
              </w:rPr>
              <w:t>次</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标的名称：西安曲江老年公寓电力设施提升改造项目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一、工程内容和施工地点、计划工期、缺陷责任期、质量保修期、质量要求</w:t>
            </w:r>
          </w:p>
          <w:p>
            <w:pPr>
              <w:pStyle w:val="null3"/>
              <w:ind w:firstLine="400"/>
              <w:jc w:val="both"/>
            </w:pPr>
            <w:r>
              <w:rPr>
                <w:rFonts w:ascii="仿宋_GB2312" w:hAnsi="仿宋_GB2312" w:cs="仿宋_GB2312" w:eastAsia="仿宋_GB2312"/>
              </w:rPr>
              <w:t>1.工程内容：</w:t>
            </w:r>
            <w:r>
              <w:rPr>
                <w:rFonts w:ascii="仿宋_GB2312" w:hAnsi="仿宋_GB2312" w:cs="仿宋_GB2312" w:eastAsia="仿宋_GB2312"/>
              </w:rPr>
              <w:t>西安曲江老年公寓电力设施提升改造项目</w:t>
            </w:r>
            <w:r>
              <w:rPr>
                <w:rFonts w:ascii="仿宋_GB2312" w:hAnsi="仿宋_GB2312" w:cs="仿宋_GB2312" w:eastAsia="仿宋_GB2312"/>
              </w:rPr>
              <w:t>包含</w:t>
            </w:r>
            <w:r>
              <w:rPr>
                <w:rFonts w:ascii="仿宋_GB2312" w:hAnsi="仿宋_GB2312" w:cs="仿宋_GB2312" w:eastAsia="仿宋_GB2312"/>
              </w:rPr>
              <w:t>消防配电线路及相关配电设施提升改造</w:t>
            </w:r>
            <w:r>
              <w:rPr>
                <w:rFonts w:ascii="仿宋_GB2312" w:hAnsi="仿宋_GB2312" w:cs="仿宋_GB2312" w:eastAsia="仿宋_GB2312"/>
              </w:rPr>
              <w:t>等内容。（具体详见工程量清单及图纸）</w:t>
            </w:r>
          </w:p>
          <w:p>
            <w:pPr>
              <w:pStyle w:val="null3"/>
              <w:ind w:firstLine="400"/>
              <w:jc w:val="both"/>
            </w:pPr>
            <w:r>
              <w:rPr>
                <w:rFonts w:ascii="仿宋_GB2312" w:hAnsi="仿宋_GB2312" w:cs="仿宋_GB2312" w:eastAsia="仿宋_GB2312"/>
              </w:rPr>
              <w:t>2.工程地点：陕西省西安市雁塔区曲江大道70号西安曲江老年公寓</w:t>
            </w:r>
          </w:p>
          <w:p>
            <w:pPr>
              <w:pStyle w:val="null3"/>
              <w:ind w:firstLine="400"/>
              <w:jc w:val="both"/>
            </w:pPr>
            <w:r>
              <w:rPr>
                <w:rFonts w:ascii="仿宋_GB2312" w:hAnsi="仿宋_GB2312" w:cs="仿宋_GB2312" w:eastAsia="仿宋_GB2312"/>
              </w:rPr>
              <w:t>3.计划工期：</w:t>
            </w:r>
            <w:r>
              <w:rPr>
                <w:rFonts w:ascii="仿宋_GB2312" w:hAnsi="仿宋_GB2312" w:cs="仿宋_GB2312" w:eastAsia="仿宋_GB2312"/>
              </w:rPr>
              <w:t>30日历天</w:t>
            </w:r>
          </w:p>
          <w:p>
            <w:pPr>
              <w:pStyle w:val="null3"/>
              <w:ind w:firstLine="400"/>
              <w:jc w:val="both"/>
            </w:pPr>
            <w:r>
              <w:rPr>
                <w:rFonts w:ascii="仿宋_GB2312" w:hAnsi="仿宋_GB2312" w:cs="仿宋_GB2312" w:eastAsia="仿宋_GB2312"/>
              </w:rPr>
              <w:t>4.缺陷责任期：2年</w:t>
            </w:r>
          </w:p>
          <w:p>
            <w:pPr>
              <w:pStyle w:val="null3"/>
              <w:ind w:firstLine="400"/>
              <w:jc w:val="both"/>
            </w:pPr>
            <w:r>
              <w:rPr>
                <w:rFonts w:ascii="仿宋_GB2312" w:hAnsi="仿宋_GB2312" w:cs="仿宋_GB2312" w:eastAsia="仿宋_GB2312"/>
              </w:rPr>
              <w:t>5.质量保修期：2年</w:t>
            </w:r>
          </w:p>
          <w:p>
            <w:pPr>
              <w:pStyle w:val="null3"/>
              <w:ind w:firstLine="400"/>
              <w:jc w:val="both"/>
            </w:pPr>
            <w:r>
              <w:rPr>
                <w:rFonts w:ascii="仿宋_GB2312" w:hAnsi="仿宋_GB2312" w:cs="仿宋_GB2312" w:eastAsia="仿宋_GB2312"/>
              </w:rPr>
              <w:t>6.质量要求：达到国家现行施工验收规范“合格”标准。</w:t>
            </w:r>
          </w:p>
          <w:p>
            <w:pPr>
              <w:pStyle w:val="null3"/>
              <w:ind w:firstLine="400"/>
              <w:jc w:val="both"/>
            </w:pPr>
            <w:r>
              <w:rPr>
                <w:rFonts w:ascii="仿宋_GB2312" w:hAnsi="仿宋_GB2312" w:cs="仿宋_GB2312" w:eastAsia="仿宋_GB2312"/>
              </w:rPr>
              <w:t>二、工程量清单和计价依据</w:t>
            </w:r>
          </w:p>
          <w:p>
            <w:pPr>
              <w:pStyle w:val="null3"/>
              <w:ind w:firstLine="400"/>
              <w:jc w:val="both"/>
            </w:pPr>
            <w:r>
              <w:rPr>
                <w:rFonts w:ascii="仿宋_GB2312" w:hAnsi="仿宋_GB2312" w:cs="仿宋_GB2312" w:eastAsia="仿宋_GB2312"/>
              </w:rPr>
              <w:t>1、根据施工图进行编制审核；</w:t>
            </w:r>
          </w:p>
          <w:p>
            <w:pPr>
              <w:pStyle w:val="null3"/>
              <w:ind w:firstLine="400"/>
              <w:jc w:val="both"/>
            </w:pPr>
            <w:r>
              <w:rPr>
                <w:rFonts w:ascii="仿宋_GB2312" w:hAnsi="仿宋_GB2312" w:cs="仿宋_GB2312" w:eastAsia="仿宋_GB2312"/>
              </w:rPr>
              <w:t>2、《陕西省建设工程计价标准》（2025）；</w:t>
            </w:r>
          </w:p>
          <w:p>
            <w:pPr>
              <w:pStyle w:val="null3"/>
              <w:ind w:firstLine="400"/>
              <w:jc w:val="both"/>
            </w:pPr>
            <w:r>
              <w:rPr>
                <w:rFonts w:ascii="仿宋_GB2312" w:hAnsi="仿宋_GB2312" w:cs="仿宋_GB2312" w:eastAsia="仿宋_GB2312"/>
              </w:rPr>
              <w:t>3、《陕西省房屋建筑与装饰工程工程量计算标准》（2025）、《陕西省通用安装工程工程量计算标准》（2025）、《陕西省市政工程工程量计算标准》（2025）；</w:t>
            </w:r>
          </w:p>
          <w:p>
            <w:pPr>
              <w:pStyle w:val="null3"/>
              <w:ind w:firstLine="400"/>
              <w:jc w:val="both"/>
            </w:pPr>
            <w:r>
              <w:rPr>
                <w:rFonts w:ascii="仿宋_GB2312" w:hAnsi="仿宋_GB2312" w:cs="仿宋_GB2312" w:eastAsia="仿宋_GB2312"/>
              </w:rPr>
              <w:t>4、《陕西省房屋建筑与装饰工程消耗量定额》（2025）、《陕西省通用安装工程消耗量定额》（2025）；</w:t>
            </w:r>
          </w:p>
          <w:p>
            <w:pPr>
              <w:pStyle w:val="null3"/>
              <w:ind w:firstLine="400"/>
              <w:jc w:val="both"/>
            </w:pPr>
            <w:r>
              <w:rPr>
                <w:rFonts w:ascii="仿宋_GB2312" w:hAnsi="仿宋_GB2312" w:cs="仿宋_GB2312" w:eastAsia="仿宋_GB2312"/>
              </w:rPr>
              <w:t>5、《陕西省房屋建筑与装饰工程基价表》（2025）；《陕西省通用安装工程基价表》（2025）；</w:t>
            </w:r>
          </w:p>
          <w:p>
            <w:pPr>
              <w:pStyle w:val="null3"/>
              <w:ind w:firstLine="400"/>
              <w:jc w:val="both"/>
            </w:pPr>
            <w:r>
              <w:rPr>
                <w:rFonts w:ascii="仿宋_GB2312" w:hAnsi="仿宋_GB2312" w:cs="仿宋_GB2312" w:eastAsia="仿宋_GB2312"/>
              </w:rPr>
              <w:t>6、材料价主要依据《陕西工程造价信息》材料信息价2026年第</w:t>
            </w:r>
          </w:p>
          <w:p>
            <w:pPr>
              <w:pStyle w:val="null3"/>
              <w:ind w:firstLine="400"/>
              <w:jc w:val="both"/>
            </w:pPr>
            <w:r>
              <w:rPr>
                <w:rFonts w:ascii="仿宋_GB2312" w:hAnsi="仿宋_GB2312" w:cs="仿宋_GB2312" w:eastAsia="仿宋_GB2312"/>
              </w:rPr>
              <w:t>1季度信息价并结合现行市场价；</w:t>
            </w:r>
          </w:p>
          <w:p>
            <w:pPr>
              <w:pStyle w:val="null3"/>
              <w:ind w:firstLine="400"/>
              <w:jc w:val="both"/>
            </w:pPr>
            <w:r>
              <w:rPr>
                <w:rFonts w:ascii="仿宋_GB2312" w:hAnsi="仿宋_GB2312" w:cs="仿宋_GB2312" w:eastAsia="仿宋_GB2312"/>
              </w:rPr>
              <w:t>7、建设工程设计文件、图纸问题答疑及相关资料；</w:t>
            </w:r>
          </w:p>
          <w:p>
            <w:pPr>
              <w:pStyle w:val="null3"/>
              <w:ind w:firstLine="400"/>
              <w:jc w:val="both"/>
            </w:pPr>
            <w:r>
              <w:rPr>
                <w:rFonts w:ascii="仿宋_GB2312" w:hAnsi="仿宋_GB2312" w:cs="仿宋_GB2312" w:eastAsia="仿宋_GB2312"/>
              </w:rPr>
              <w:t>8、与建设工程有关的标准、规范及技术资料；</w:t>
            </w:r>
          </w:p>
          <w:p>
            <w:pPr>
              <w:pStyle w:val="null3"/>
              <w:ind w:firstLine="400"/>
              <w:jc w:val="both"/>
            </w:pPr>
            <w:r>
              <w:rPr>
                <w:rFonts w:ascii="仿宋_GB2312" w:hAnsi="仿宋_GB2312" w:cs="仿宋_GB2312" w:eastAsia="仿宋_GB2312"/>
              </w:rPr>
              <w:t>9、施工现场情况 地期水文资料、工程特点及施工方案；</w:t>
            </w:r>
          </w:p>
          <w:p>
            <w:pPr>
              <w:pStyle w:val="null3"/>
              <w:ind w:firstLine="400"/>
              <w:jc w:val="both"/>
            </w:pPr>
            <w:r>
              <w:rPr>
                <w:rFonts w:ascii="仿宋_GB2312" w:hAnsi="仿宋_GB2312" w:cs="仿宋_GB2312" w:eastAsia="仿宋_GB2312"/>
              </w:rPr>
              <w:t>10、其他相关资料</w:t>
            </w:r>
            <w:r>
              <w:rPr>
                <w:rFonts w:ascii="仿宋_GB2312" w:hAnsi="仿宋_GB2312" w:cs="仿宋_GB2312" w:eastAsia="仿宋_GB2312"/>
              </w:rPr>
              <w:t>。</w:t>
            </w:r>
          </w:p>
          <w:p>
            <w:pPr>
              <w:pStyle w:val="null3"/>
              <w:ind w:firstLine="402"/>
              <w:jc w:val="both"/>
            </w:pPr>
            <w:r>
              <w:rPr>
                <w:rFonts w:ascii="仿宋_GB2312" w:hAnsi="仿宋_GB2312" w:cs="仿宋_GB2312" w:eastAsia="仿宋_GB2312"/>
                <w:b/>
              </w:rPr>
              <w:t>其他说明</w:t>
            </w:r>
          </w:p>
          <w:p>
            <w:pPr>
              <w:pStyle w:val="null3"/>
              <w:ind w:firstLine="400"/>
              <w:jc w:val="both"/>
            </w:pPr>
            <w:r>
              <w:rPr>
                <w:rFonts w:ascii="仿宋_GB2312" w:hAnsi="仿宋_GB2312" w:cs="仿宋_GB2312" w:eastAsia="仿宋_GB2312"/>
              </w:rPr>
              <w:t>1、室外消火栓泵本次未计入</w:t>
            </w:r>
          </w:p>
          <w:p>
            <w:pPr>
              <w:pStyle w:val="null3"/>
              <w:ind w:firstLine="402"/>
              <w:jc w:val="both"/>
            </w:pPr>
            <w:r>
              <w:rPr>
                <w:rFonts w:ascii="仿宋_GB2312" w:hAnsi="仿宋_GB2312" w:cs="仿宋_GB2312" w:eastAsia="仿宋_GB2312"/>
                <w:b/>
              </w:rPr>
              <w:t>计价软件</w:t>
            </w:r>
          </w:p>
          <w:p>
            <w:pPr>
              <w:pStyle w:val="null3"/>
              <w:ind w:firstLine="400"/>
              <w:jc w:val="both"/>
            </w:pPr>
            <w:r>
              <w:rPr>
                <w:rFonts w:ascii="仿宋_GB2312" w:hAnsi="仿宋_GB2312" w:cs="仿宋_GB2312" w:eastAsia="仿宋_GB2312"/>
              </w:rPr>
              <w:t>计价软件及取费程序执行广联达软件</w:t>
            </w:r>
            <w:r>
              <w:rPr>
                <w:rFonts w:ascii="仿宋_GB2312" w:hAnsi="仿宋_GB2312" w:cs="仿宋_GB2312" w:eastAsia="仿宋_GB2312"/>
              </w:rPr>
              <w:t>GCCP7.0中的清单计价模式，软件版本为陕西7.5000.23.3。</w:t>
            </w:r>
            <w:r>
              <w:rPr>
                <w:rFonts w:ascii="仿宋_GB2312" w:hAnsi="仿宋_GB2312" w:cs="仿宋_GB2312" w:eastAsia="仿宋_GB2312"/>
              </w:rPr>
              <w:t>三、施工要求</w:t>
            </w:r>
          </w:p>
          <w:p>
            <w:pPr>
              <w:pStyle w:val="null3"/>
              <w:ind w:firstLine="400"/>
              <w:jc w:val="both"/>
            </w:pPr>
            <w:r>
              <w:rPr>
                <w:rFonts w:ascii="仿宋_GB2312" w:hAnsi="仿宋_GB2312" w:cs="仿宋_GB2312" w:eastAsia="仿宋_GB2312"/>
              </w:rPr>
              <w:t>1.在施工期间，中标供应商必须注意人员安全，加强安全措施，并对施工人员进行安全教育。施工人员必须持证上岗。因采购人工作的特殊性，要求中标供应商在施工中做到封闭性施工。</w:t>
            </w:r>
          </w:p>
          <w:p>
            <w:pPr>
              <w:pStyle w:val="null3"/>
              <w:ind w:firstLine="400"/>
              <w:jc w:val="both"/>
            </w:pPr>
            <w:r>
              <w:rPr>
                <w:rFonts w:ascii="仿宋_GB2312" w:hAnsi="仿宋_GB2312" w:cs="仿宋_GB2312" w:eastAsia="仿宋_GB2312"/>
              </w:rPr>
              <w:t>2.供应商根据工程实际情况编制施工方案，制定工期进度安排表。</w:t>
            </w:r>
          </w:p>
          <w:p>
            <w:pPr>
              <w:pStyle w:val="null3"/>
              <w:ind w:firstLine="400"/>
              <w:jc w:val="both"/>
            </w:pPr>
            <w:r>
              <w:rPr>
                <w:rFonts w:ascii="仿宋_GB2312" w:hAnsi="仿宋_GB2312" w:cs="仿宋_GB2312" w:eastAsia="仿宋_GB2312"/>
              </w:rPr>
              <w:t>3.施工过程中，严格遵守建设单位的各种管理规定及规章制度，做到文明施工。发生工伤及意外事故由施工单位负责。</w:t>
            </w:r>
          </w:p>
          <w:p>
            <w:pPr>
              <w:pStyle w:val="null3"/>
              <w:ind w:firstLine="400"/>
              <w:jc w:val="both"/>
            </w:pPr>
            <w:r>
              <w:rPr>
                <w:rFonts w:ascii="仿宋_GB2312" w:hAnsi="仿宋_GB2312" w:cs="仿宋_GB2312" w:eastAsia="仿宋_GB2312"/>
              </w:rPr>
              <w:t>4.工程实行包工包料，供应商必须具备相应的资质，不得转包、分包。</w:t>
            </w:r>
          </w:p>
          <w:p>
            <w:pPr>
              <w:pStyle w:val="null3"/>
              <w:ind w:firstLine="400"/>
              <w:jc w:val="both"/>
            </w:pPr>
            <w:r>
              <w:rPr>
                <w:rFonts w:ascii="仿宋_GB2312" w:hAnsi="仿宋_GB2312" w:cs="仿宋_GB2312" w:eastAsia="仿宋_GB2312"/>
              </w:rPr>
              <w:t>5.施工过程中，严格遵守采购人的各种管理规定及规章制度，做到文明施工，避免工伤及意外事故发生。</w:t>
            </w:r>
          </w:p>
          <w:p>
            <w:pPr>
              <w:pStyle w:val="null3"/>
              <w:ind w:firstLine="400"/>
              <w:jc w:val="both"/>
            </w:pPr>
            <w:r>
              <w:rPr>
                <w:rFonts w:ascii="仿宋_GB2312" w:hAnsi="仿宋_GB2312" w:cs="仿宋_GB2312" w:eastAsia="仿宋_GB2312"/>
              </w:rPr>
              <w:t>6.严格按照国家和省上有关规定施工、规范施工，确保工程合格，如有更改须事先征得有关方面的同意，并在采购人落实后实施，并出具书面说明。</w:t>
            </w:r>
          </w:p>
          <w:p>
            <w:pPr>
              <w:pStyle w:val="null3"/>
              <w:ind w:firstLine="400"/>
              <w:jc w:val="both"/>
            </w:pPr>
            <w:r>
              <w:rPr>
                <w:rFonts w:ascii="仿宋_GB2312" w:hAnsi="仿宋_GB2312" w:cs="仿宋_GB2312" w:eastAsia="仿宋_GB2312"/>
              </w:rPr>
              <w:t>7.所有进场材料需携带合格证等质量证明文件。由采购人现场代表对所进场材料予以验收并签字确认。</w:t>
            </w:r>
          </w:p>
          <w:p>
            <w:pPr>
              <w:pStyle w:val="null3"/>
              <w:ind w:firstLine="400"/>
              <w:jc w:val="both"/>
            </w:pPr>
            <w:r>
              <w:rPr>
                <w:rFonts w:ascii="仿宋_GB2312" w:hAnsi="仿宋_GB2312" w:cs="仿宋_GB2312" w:eastAsia="仿宋_GB2312"/>
              </w:rPr>
              <w:t>8.施工期间需采取必要措施确保现场正常运行。</w:t>
            </w:r>
            <w:r>
              <w:rPr>
                <w:rFonts w:ascii="仿宋_GB2312" w:hAnsi="仿宋_GB2312" w:cs="仿宋_GB2312" w:eastAsia="仿宋_GB2312"/>
              </w:rPr>
              <w:t>施工全过程保障老年公寓护理区、医务室、消防应急设备不间断供电，如需局部断电必须提前</w:t>
            </w:r>
            <w:r>
              <w:rPr>
                <w:rFonts w:ascii="仿宋_GB2312" w:hAnsi="仿宋_GB2312" w:cs="仿宋_GB2312" w:eastAsia="仿宋_GB2312"/>
              </w:rPr>
              <w:t>48 小时书面报备甲方，甲方协调老人安置后才可断电，突发断电造成老人安全事故由供应商全责</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9.施工方未经采购人同意，不得擅自更换本工程在磋商响应文件中指定的项目施工负责人(项目经理)及施工队伍。</w:t>
            </w:r>
            <w:r>
              <w:rPr>
                <w:rFonts w:ascii="仿宋_GB2312" w:hAnsi="仿宋_GB2312" w:cs="仿宋_GB2312" w:eastAsia="仿宋_GB2312"/>
              </w:rPr>
              <w:t>确需更换的，须提前</w:t>
            </w:r>
            <w:r>
              <w:rPr>
                <w:rFonts w:ascii="仿宋_GB2312" w:hAnsi="仿宋_GB2312" w:cs="仿宋_GB2312" w:eastAsia="仿宋_GB2312"/>
              </w:rPr>
              <w:t>14天书面申请并证明接替人员资历不低于原人员，经我方书面同意后方可更换。未经同意擅自更换的，项目经理按合同总价5%、其他主要管理人员按每人2%支付违约金，累计更换三人及以上或擅自更换项目经理的，我方有权单方解除合同并要求赔偿全部损失。</w:t>
            </w:r>
            <w:r>
              <w:rPr>
                <w:rFonts w:ascii="仿宋_GB2312" w:hAnsi="仿宋_GB2312" w:cs="仿宋_GB2312" w:eastAsia="仿宋_GB2312"/>
              </w:rPr>
              <w:t>不得分包、转包。确需分包时须征得采购人同意。否则将终止合同并按政府采购有关规定进行处理。</w:t>
            </w:r>
          </w:p>
          <w:p>
            <w:pPr>
              <w:pStyle w:val="null3"/>
              <w:ind w:firstLine="400"/>
              <w:jc w:val="both"/>
            </w:pPr>
            <w:r>
              <w:rPr>
                <w:rFonts w:ascii="仿宋_GB2312" w:hAnsi="仿宋_GB2312" w:cs="仿宋_GB2312" w:eastAsia="仿宋_GB2312"/>
              </w:rPr>
              <w:t>四、商务要求（如合同价款及结算方式等）</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由</w:t>
            </w:r>
            <w:r>
              <w:rPr>
                <w:rFonts w:ascii="仿宋_GB2312" w:hAnsi="仿宋_GB2312" w:cs="仿宋_GB2312" w:eastAsia="仿宋_GB2312"/>
              </w:rPr>
              <w:t>发包人</w:t>
            </w:r>
            <w:r>
              <w:rPr>
                <w:rFonts w:ascii="仿宋_GB2312" w:hAnsi="仿宋_GB2312" w:cs="仿宋_GB2312" w:eastAsia="仿宋_GB2312"/>
              </w:rPr>
              <w:t>负责结算，在付款前，</w:t>
            </w:r>
            <w:r>
              <w:rPr>
                <w:rFonts w:ascii="仿宋_GB2312" w:hAnsi="仿宋_GB2312" w:cs="仿宋_GB2312" w:eastAsia="仿宋_GB2312"/>
              </w:rPr>
              <w:t>承包人</w:t>
            </w:r>
            <w:r>
              <w:rPr>
                <w:rFonts w:ascii="仿宋_GB2312" w:hAnsi="仿宋_GB2312" w:cs="仿宋_GB2312" w:eastAsia="仿宋_GB2312"/>
              </w:rPr>
              <w:t>必须开具全额发票给</w:t>
            </w:r>
            <w:r>
              <w:rPr>
                <w:rFonts w:ascii="仿宋_GB2312" w:hAnsi="仿宋_GB2312" w:cs="仿宋_GB2312" w:eastAsia="仿宋_GB2312"/>
              </w:rPr>
              <w:t>发包人</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2）合同签订工人进场后，达到付款条件起7个工作日内，支付合同总金额的35.0%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3）工程施工进度过半并</w:t>
            </w:r>
            <w:r>
              <w:rPr>
                <w:rFonts w:ascii="仿宋_GB2312" w:hAnsi="仿宋_GB2312" w:cs="仿宋_GB2312" w:eastAsia="仿宋_GB2312"/>
              </w:rPr>
              <w:t>经</w:t>
            </w:r>
            <w:r>
              <w:rPr>
                <w:rFonts w:ascii="仿宋_GB2312" w:hAnsi="仿宋_GB2312" w:cs="仿宋_GB2312" w:eastAsia="仿宋_GB2312"/>
              </w:rPr>
              <w:t>甲方验收合格后，达到付款条件起7个工作日内，支付合同总金额的45.0%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4）工程竣工验收合格且竣工结算审核完成后，达到付款条件起7个工作日内，</w:t>
            </w:r>
            <w:r>
              <w:rPr>
                <w:rFonts w:ascii="仿宋_GB2312" w:hAnsi="仿宋_GB2312" w:cs="仿宋_GB2312" w:eastAsia="仿宋_GB2312"/>
                <w:sz w:val="21"/>
              </w:rPr>
              <w:t>工程款支付至结算总价的</w:t>
            </w:r>
            <w:r>
              <w:rPr>
                <w:rFonts w:ascii="仿宋_GB2312" w:hAnsi="仿宋_GB2312" w:cs="仿宋_GB2312" w:eastAsia="仿宋_GB2312"/>
                <w:sz w:val="21"/>
              </w:rPr>
              <w:t>100%</w:t>
            </w:r>
            <w:r>
              <w:rPr>
                <w:rFonts w:ascii="仿宋_GB2312" w:hAnsi="仿宋_GB2312" w:cs="仿宋_GB2312" w:eastAsia="仿宋_GB2312"/>
              </w:rPr>
              <w:t>；</w:t>
            </w:r>
          </w:p>
          <w:p>
            <w:pPr>
              <w:pStyle w:val="null3"/>
              <w:ind w:firstLine="400"/>
              <w:jc w:val="both"/>
            </w:pPr>
            <w:r>
              <w:rPr>
                <w:rFonts w:ascii="仿宋_GB2312" w:hAnsi="仿宋_GB2312" w:cs="仿宋_GB2312" w:eastAsia="仿宋_GB2312"/>
              </w:rPr>
              <w:t>五、其他</w:t>
            </w:r>
          </w:p>
          <w:p>
            <w:pPr>
              <w:pStyle w:val="null3"/>
              <w:ind w:firstLine="400"/>
              <w:jc w:val="both"/>
            </w:pPr>
            <w:r>
              <w:rPr>
                <w:rFonts w:ascii="仿宋_GB2312" w:hAnsi="仿宋_GB2312" w:cs="仿宋_GB2312" w:eastAsia="仿宋_GB2312"/>
              </w:rPr>
              <w:t>1.质量验收标准或规范</w:t>
            </w:r>
          </w:p>
          <w:p>
            <w:pPr>
              <w:pStyle w:val="null3"/>
              <w:ind w:firstLine="400"/>
            </w:pPr>
            <w:r>
              <w:rPr>
                <w:rFonts w:ascii="仿宋_GB2312" w:hAnsi="仿宋_GB2312" w:cs="仿宋_GB2312" w:eastAsia="仿宋_GB2312"/>
              </w:rPr>
              <w:t>（</w:t>
            </w:r>
            <w:r>
              <w:rPr>
                <w:rFonts w:ascii="仿宋_GB2312" w:hAnsi="仿宋_GB2312" w:cs="仿宋_GB2312" w:eastAsia="仿宋_GB2312"/>
              </w:rPr>
              <w:t>1）符合国家及行业质量验收“合格”标准。</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2）符合《安全生产管理条例》的标准；符合工程相关规范要求；</w:t>
            </w:r>
          </w:p>
          <w:p>
            <w:pPr>
              <w:pStyle w:val="null3"/>
              <w:ind w:firstLine="400"/>
              <w:jc w:val="both"/>
            </w:pPr>
            <w:r>
              <w:rPr>
                <w:rFonts w:ascii="仿宋_GB2312" w:hAnsi="仿宋_GB2312" w:cs="仿宋_GB2312" w:eastAsia="仿宋_GB2312"/>
              </w:rPr>
              <w:t>（</w:t>
            </w:r>
            <w:r>
              <w:rPr>
                <w:rFonts w:ascii="仿宋_GB2312" w:hAnsi="仿宋_GB2312" w:cs="仿宋_GB2312" w:eastAsia="仿宋_GB2312"/>
              </w:rPr>
              <w:t>3）工程验收标准：双方约定，在符合采购文件及合同中关于本工程施工要求的前提下，以采购人现场验收合格为准。</w:t>
            </w:r>
          </w:p>
          <w:p>
            <w:pPr>
              <w:pStyle w:val="null3"/>
              <w:ind w:firstLine="400"/>
              <w:jc w:val="both"/>
            </w:pPr>
            <w:r>
              <w:rPr>
                <w:rFonts w:ascii="仿宋_GB2312" w:hAnsi="仿宋_GB2312" w:cs="仿宋_GB2312" w:eastAsia="仿宋_GB2312"/>
              </w:rPr>
              <w:t>2.违约责任</w:t>
            </w:r>
          </w:p>
          <w:p>
            <w:pPr>
              <w:pStyle w:val="null3"/>
            </w:pPr>
            <w:r>
              <w:rPr>
                <w:rFonts w:ascii="仿宋_GB2312" w:hAnsi="仿宋_GB2312" w:cs="仿宋_GB2312" w:eastAsia="仿宋_GB2312"/>
                <w:sz w:val="21"/>
              </w:rPr>
              <w:t>详见建设工程施工合同，不超出《中华人民共和国民法典》中对于违约的责任上限。</w:t>
            </w:r>
            <w:r>
              <w:rPr>
                <w:rFonts w:ascii="仿宋_GB2312" w:hAnsi="仿宋_GB2312" w:cs="仿宋_GB2312" w:eastAsia="仿宋_GB2312"/>
                <w:sz w:val="21"/>
              </w:rPr>
              <w:t>因工程质量、施工操作</w:t>
            </w:r>
            <w:r>
              <w:rPr>
                <w:rFonts w:ascii="仿宋_GB2312" w:hAnsi="仿宋_GB2312" w:cs="仿宋_GB2312" w:eastAsia="仿宋_GB2312"/>
                <w:sz w:val="21"/>
              </w:rPr>
              <w:t>等原因</w:t>
            </w:r>
            <w:r>
              <w:rPr>
                <w:rFonts w:ascii="仿宋_GB2312" w:hAnsi="仿宋_GB2312" w:cs="仿宋_GB2312" w:eastAsia="仿宋_GB2312"/>
                <w:sz w:val="21"/>
              </w:rPr>
              <w:t>导致老年公寓停电、火灾</w:t>
            </w:r>
            <w:r>
              <w:rPr>
                <w:rFonts w:ascii="仿宋_GB2312" w:hAnsi="仿宋_GB2312" w:cs="仿宋_GB2312" w:eastAsia="仿宋_GB2312"/>
                <w:sz w:val="21"/>
              </w:rPr>
              <w:t>等财产损害及</w:t>
            </w:r>
            <w:r>
              <w:rPr>
                <w:rFonts w:ascii="仿宋_GB2312" w:hAnsi="仿宋_GB2312" w:cs="仿宋_GB2312" w:eastAsia="仿宋_GB2312"/>
                <w:sz w:val="21"/>
              </w:rPr>
              <w:t>老人人身损害的，供应商除承担全部维修、赔偿费用外，按合同总价</w:t>
            </w:r>
            <w:r>
              <w:rPr>
                <w:rFonts w:ascii="仿宋_GB2312" w:hAnsi="仿宋_GB2312" w:cs="仿宋_GB2312" w:eastAsia="仿宋_GB2312"/>
                <w:sz w:val="21"/>
              </w:rPr>
              <w:t>3</w:t>
            </w:r>
            <w:r>
              <w:rPr>
                <w:rFonts w:ascii="仿宋_GB2312" w:hAnsi="仿宋_GB2312" w:cs="仿宋_GB2312" w:eastAsia="仿宋_GB2312"/>
                <w:sz w:val="21"/>
              </w:rPr>
              <w:t>0% 支付违约金；造成重大安全事故的，甲方有权单方解除合同</w:t>
            </w:r>
            <w:r>
              <w:rPr>
                <w:rFonts w:ascii="仿宋_GB2312" w:hAnsi="仿宋_GB2312" w:cs="仿宋_GB2312" w:eastAsia="仿宋_GB2312"/>
                <w:sz w:val="21"/>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质量验收“合格”标准；（2）符合《建设工程安全生产管理条例》的标准；符合工程相关规范要求；（3）工程验收标准：双方约定，在符合采购文件及合同中关于本工程施工要求的前提下，以采购人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一、成交供应商在采购结果公告发布5日内向采购代理机构提供一正一副纸质版响应文件及电子 U 盘2份（电子文件采用PDF格式和WORD格式）用于备案，纸质版确保与电子响应文件保持一致，不允许修改和补充。提交地点：陕西省西安市高新区高新路16号A区7号厂房2层10203室。 二、供应商的磋商报价包括施工设备费、人工费、管理费、材料与设备费、安装费、维护费、保险费、税金、利润、政策性规费、风险、责任等所有费用，并符合建设工程计价规则。 三、恶意质疑、投诉的法律后果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四、签名是指手写签名或者加盖名章(含电子)，盖章是指加盖单位印章。 四、中小企业划分标准： 采购标的对应的中小企业划分标准所属行业为建筑业。 建筑业的划型标准为：营业收入 80000 万元以下或资产总额 80000 万元以下的为中小 微型企业。其中，营业收入 6000 万元及以上，且资产总额 5000 万元及以上的为中型 企业；营业收入 300 万元及以上，且资产总额 300 万元及以上的为小型企业；营业收 入 300 万元以下或资产总额 300 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（1）供应商的营业执照等证明文件，自然人的身份证明； （2）税收缴纳证明：提供2026年1月至今已缴纳的至少一个月的纳税证明，依法免税的单位应提供相关证明材料。（3）社会保障资金缴纳证明：提供2026年1月至今已缴存的至少一个月的社会保障资金缴存单据或社保机构开具的社会保 险参保缴费情况证明，依法不需要缴纳社会保障资金的单位应提供相关证明材料。（4）无重大违法书面声明：提供参加本次政府采购活动前三年内在经营活动中没有重大违法记录的书面声明。（5）履⾏合同所必需的设备和专业技术能⼒书⾯声明</w:t>
            </w:r>
          </w:p>
        </w:tc>
        <w:tc>
          <w:tcPr>
            <w:tcW w:type="dxa" w:w="1661"/>
          </w:tcPr>
          <w:p>
            <w:pPr>
              <w:pStyle w:val="null3"/>
            </w:pPr>
            <w:r>
              <w:rPr>
                <w:rFonts w:ascii="仿宋_GB2312" w:hAnsi="仿宋_GB2312" w:cs="仿宋_GB2312" w:eastAsia="仿宋_GB2312"/>
              </w:rPr>
              <w:t>资格证明部分(1).docx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提供2025年度经审计的财务会计报告或其提交响应文件截止时间前3个月内银行出具的资信证明。（以上形式的资料提供任何一种即可） 要求：（1）供应商是企业法人的，应提供2025全年度经审计的财务报告，包括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2025全年度经审计的财务报告，至少包括 《资产负债表》《利润表》《现金流量表》及其附注，或者提交响应文件截止时间前3个月内其基本账户开户银行出具的资信证明（附基本存款账户信息）； （2）其他组织和自然人，提供提交响应文件截止时间前3个月内银行出具的资信证明（附账户信息）； （3）供应商成立不到1年（至提交响应文件截止时间）的，提供成立后任意时段的资产负债表，或提交响应文件截止时间前3个月内其基本账户开户银行出具的资信证明（附基本存款账户信息）。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供应商须具备建设行政主管部门颁发合法有效的消防设施工程专业承包二级及以上资质证书和有效的安全生产许可证。</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合法有效的机电工程专业二级及以上注册建造师执业资格和有效的安全生产考核合格证书（B证），在本单位注册，以及无不良信用记录和无在建工程的项目经理（提供承诺书）。承诺书须额外承诺：知悉养老机构施工安全特殊管控要求，施工期间全程在岗，不得擅自离岗；若项目经理离岗超过 4 小时未报备甲方，甲方有权要求更换项目经理并扣除履约相关款项。</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法定代表人授权委托书（附法定代表人身份证复印件及被授权人身份证复印件）；法定代表人直接参加磋商须提供法定代表人身份证明书（附法定代表人身份证复印件）。</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供应商基本信息及项目经理的基本信息在“陕西省住房和城乡建设厅(http://js.shaanxi.gov.cn/)”或“全国建筑市场监管公共服务平台(https://jzsc.mohurd.gov.cn/)”可查询提供网站截图资料。</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和“重大税收违法失信主体名单”的供应商；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资格证明部分(1).docx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非联合体要求</w:t>
            </w:r>
          </w:p>
        </w:tc>
        <w:tc>
          <w:tcPr>
            <w:tcW w:type="dxa" w:w="3322"/>
          </w:tcPr>
          <w:p>
            <w:pPr>
              <w:pStyle w:val="null3"/>
            </w:pPr>
            <w:r>
              <w:rPr>
                <w:rFonts w:ascii="仿宋_GB2312" w:hAnsi="仿宋_GB2312" w:cs="仿宋_GB2312" w:eastAsia="仿宋_GB2312"/>
              </w:rPr>
              <w:t>本合同包不接受联合体磋商（提供承诺书）。</w:t>
            </w:r>
          </w:p>
        </w:tc>
        <w:tc>
          <w:tcPr>
            <w:tcW w:type="dxa" w:w="1661"/>
          </w:tcPr>
          <w:p>
            <w:pPr>
              <w:pStyle w:val="null3"/>
            </w:pPr>
            <w:r>
              <w:rPr>
                <w:rFonts w:ascii="仿宋_GB2312" w:hAnsi="仿宋_GB2312" w:cs="仿宋_GB2312" w:eastAsia="仿宋_GB2312"/>
              </w:rPr>
              <w:t>资格证明部分(1).docx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符合磋商文件中的要求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技术文件.docx 残疾人福利性单位声明函 报价函 标的清单 供应商类似项目业绩一览表 资格证明部分(1).docx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技术文件.docx 残疾人福利性单位声明函 报价函 标的清单 供应商类似项目业绩一览表 资格证明部分(1).docx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不存在恶意串通的情形</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响应文件封面 已标价工程量清单 技术文件.docx 资格证明部分(1).docx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施工目标：成本目标、工期目标、质量目标；②施工准备：材料准备、机械准备、机具准备；③施工平面布置与安排：现场围挡及出入口管理、消防及道路安排。 二、评审标准 1、完整性：方案必须全面，对评审内容中的各项要求有详细描述； 2、可实施性：切合本项目实际情况，提出步骤清晰、合理的方案； 3、针对性：方案能够紧扣项目实际情况，内容科学合理。 三、赋分标准（满分18分） ①施工目标：此评审项满分6分，每完全满足一个评审标准得2分，针对每条评审标准，如存在不详尽或不合理的方面，得1分；针对每条评审标准，方案内容与本项目无关或未提供的，得0分。 ②施工准备：此评审项满分6分，每完全满足一个评审标准得2分，针对每条评审标准，如存在不详尽或不合理的方面，得1分；针对每条评审标准，方案内容与本项目无关或未提供的，得0分。 ③施工平面布置与安排：此评审项满分6分，每完全满足一个评审标准得2分，针对每条评审标准，如存在不详尽或不合理的方面，得1分；针对每条评审标准，方案内容与本项目无关或未提供的，得0分。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 供应商针对本项目编制完善的施工质量保证措施，内容包含：①质量目标管理体系；②确保质量的技术组织措施；③施工质量控制措施。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①质量目标管理体系：此评审项满分3分，每完全满足一个评审标准得1分，针对每条评审标准，如存在不详尽或不合理的方面，得0.5分；针对每条评审标准，方案内容与本项目无关或未提供的，得0分。 ②确保质量的技术组织措施：此评审项满分3分，每完全满足一个评审标准得1分，针对每条评审标准，如存在不详尽或不合理的方面，得0.5分；针对每条评审标准，方案内容与本项目无关或未提供的，得0分。 ③施工质量控制措施：此评审项满分3分，每完全满足一个评审标准得1分，针对每条评审标准，如存在不详尽或不合理的方面，得0.5分；针对每条评审标准，方案内容与本项目无关或未提供的，得0分。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 供应商针对本项目编制完整的施工安全保证措施，内容包含：①安全生产管理制度；②安全施工措施。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①安全生产管理制度：此评审项满分3分，每完全满足一个评审标准得1分，针对每条评审标准，如存在不详尽或不合理的方面，得0.5分；针对每条评审标准，方案内容与本项目无关或未提供的，得0分。 ②安全施工措施：此评审项满分3分，每完全满足一个评审标准得1分，针对每条评审标准，如存在不详尽或不合理的方面，得0.5分；针对每条评审标准，方案内容与本项目无关或未提供的，得0分。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 供应商针对本项目编制完善的施工进度计划及工期保证措施，内容包含：①施工进度计划横道图；②进度计划保证措施；③工期保证措施。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①施工进度计划横道图：此评审项满分3分，每完全满足一个评审标准得1分，针对每条评审标准，如存在不详尽或不合理的方面，得0.5分；针对每条评审标准，方案内容与本项目无关或未提供的，得0分。 ②进度计划保证措施：此评审项满分3分，每完全满足一个评审标准得1分，针对每条评审标准，如存在不详尽或不合理的方面，得0.5分；针对每条评审标准，方案内容与本项目无关或未提供的，得0分。 ③工期保证措施：此评审项满分3分，每完全满足一个评审标准得1分，针对每条评审标准，如存在不详尽或不合理的方面，得0.5分；针对每条评审标准，方案内容与本项目无关或未提供的，得0分。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 供应商针对本项目编制完整的文明施工及环境保护措施，内容包含：①文明施工管理目标及现场管理措施：材料管理、防扰民措施；②环境保护措施。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现场管理措施：材料管理、防扰民措施：此评审项满分3分，每完全满足一个评审标准得1分，针对每条评审标准，如存在不详尽或不合理的方面，得0.5分；针对每条评审标准，方案内容与本项目无关或未提供的，得0分。 ②环境保护措施：此评审项满分3分，每完全满足一个评审标准得1分，针对每条评审标准，如存在不详尽或不合理的方面，得0.5分；针对每条评审标准，方案内容与本项目无关或未提供的，得0分。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供应商针对本项目编制科学的项目管理机构及劳动力安排计划，内容包含：①管理人员配备及岗位职责；②劳动力安排计划。 二、评审标准 1、完整性：方案必须全面，对评审内容中的各项要求有详细描述； 2、可实施性：切合本项目实际情况，提出步骤清晰、合理的方案； 3、针对性：方案能够紧扣项目实际情况，内容科学合理。 三、赋分标准（满分6分） ①管理人员配备及岗位职责：此评审项满分3分，每完全满足一个评审标准得1分，针对每条评审标准，如存在不详尽或不合理的方面，得0.5分；针对每条评审标准，方案内容与本项目无关或未提供的，得0分。 ②劳动力安排计划：此评审项满分3分，每完全满足一个评审标准得1分，针对每条评审标准，如存在不详尽或不合理的方面，得0.5分；针对每条评审标准，方案内容与本项目无关或未提供的，得0分。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突发事件处理预案措施</w:t>
            </w:r>
          </w:p>
        </w:tc>
        <w:tc>
          <w:tcPr>
            <w:tcW w:type="dxa" w:w="2492"/>
          </w:tcPr>
          <w:p>
            <w:pPr>
              <w:pStyle w:val="null3"/>
            </w:pPr>
            <w:r>
              <w:rPr>
                <w:rFonts w:ascii="仿宋_GB2312" w:hAnsi="仿宋_GB2312" w:cs="仿宋_GB2312" w:eastAsia="仿宋_GB2312"/>
              </w:rPr>
              <w:t>一、评审内容 供应商针对本项目编制的突发事件处理预案措施，内容包含：①恶劣天气影响、自然灾害预案措施；②人员事故应急预案。 二、评审标准 1、完整性：方案必须全面，对评审内容中的各项要求有详细描述； 2、可实施性：切合本项目实际情况，提出步骤清晰、合理的方案； 3、针对性：方案能够紧扣项目实际情况，内容科学合理。 三、赋分标准（满分6分） ①恶劣天气影响、自然灾害预案措施：此评审项满分3分，每完全满足一个评审标准得1分，针对每条评审标准，如存在不详尽或不合理的方面，得0.5分；针对每条评审标准，方案内容与本项目无关或未提供的，得0分。 ②人员事故应急预案：此评审项满分3分，每完全满足一个评审标准得1分，针对每条评审标准，如存在不详尽或不合理的方面，得0.5分；针对每条评审标准，方案内容与本项目无关或未提供的，得0分。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 供应商针对本项目编制的供应商承诺及合理化建议，内容包含：①保修责任及保修承诺；②针对本项目的合理化建议。 二、评审标准 1、完整性：内容必须全面，对评审内容中的各项要求有详细描述； 2、落实性：切合项目具体情况，提出责任明确、要求具体的方案； 3、针对性：内容能够紧扣项目实际情况，内容科学合理。 三、赋分标准（满分6分） ①保修责任及保修承诺：此评审项满分3分，每完全满足一个评审标准得1分，针对每条评审标准，如存在不详尽或不合理的方面，得0.5分；针对每条评审标准，方案内容与本项目无关或未提供的，得0分。 ②针对本项目的合理化建议：此评审项满分3分，每完全满足一个评审标准得1分，针对每条评审标准，如存在不详尽或不合理的方面，得0.5分；针对每条评审标准，方案内容与本项目无关或未提供的，得0分。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具有2021年1月1 日以来至今承接过类似项目的合同证明(以合同的签订日期为准)(每提供一个得1分，满分4分)，未提供计0分。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详见附件：技术文件.docx</w:t>
      </w:r>
    </w:p>
    <w:p>
      <w:pPr>
        <w:pStyle w:val="null3"/>
        <w:ind w:firstLine="960"/>
      </w:pPr>
      <w:r>
        <w:rPr>
          <w:rFonts w:ascii="仿宋_GB2312" w:hAnsi="仿宋_GB2312" w:cs="仿宋_GB2312" w:eastAsia="仿宋_GB2312"/>
        </w:rPr>
        <w:t>详见附件：资格证明部分(1).docx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