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版本号：ZHJS2026-008-00420260828001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108国道佛坪县熊猫谷至椒溪河桥段路面养护工程施工图设计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ZHJS2026-008-004</w:t>
      </w:r>
      <w:r>
        <w:br/>
      </w:r>
      <w:r>
        <w:br/>
      </w:r>
      <w:r>
        <w:br/>
      </w:r>
    </w:p>
    <w:p>
      <w:pPr>
        <w:pStyle w:val="null3"/>
        <w:jc w:val="center"/>
        <w:outlineLvl w:val="2"/>
      </w:pPr>
      <w:r>
        <w:rPr>
          <w:rFonts w:ascii="仿宋_GB2312" w:hAnsi="仿宋_GB2312" w:cs="仿宋_GB2312" w:eastAsia="仿宋_GB2312"/>
          <w:sz w:val="28"/>
          <w:b/>
        </w:rPr>
        <w:t>佛坪县交通运输局</w:t>
      </w:r>
    </w:p>
    <w:p>
      <w:pPr>
        <w:pStyle w:val="null3"/>
        <w:jc w:val="center"/>
        <w:outlineLvl w:val="2"/>
      </w:pPr>
      <w:r>
        <w:rPr>
          <w:rFonts w:ascii="仿宋_GB2312" w:hAnsi="仿宋_GB2312" w:cs="仿宋_GB2312" w:eastAsia="仿宋_GB2312"/>
          <w:sz w:val="28"/>
          <w:b/>
        </w:rPr>
        <w:t>汉中征鸿建晟工程管理有限公司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汉中征鸿建晟工程管理有限公司</w:t>
      </w:r>
      <w:r>
        <w:rPr>
          <w:rFonts w:ascii="仿宋_GB2312" w:hAnsi="仿宋_GB2312" w:cs="仿宋_GB2312" w:eastAsia="仿宋_GB2312"/>
        </w:rPr>
        <w:t>（以下简称“代理机构”）受</w:t>
      </w:r>
      <w:r>
        <w:rPr>
          <w:rFonts w:ascii="仿宋_GB2312" w:hAnsi="仿宋_GB2312" w:cs="仿宋_GB2312" w:eastAsia="仿宋_GB2312"/>
        </w:rPr>
        <w:t>佛坪县交通运输局</w:t>
      </w:r>
      <w:r>
        <w:rPr>
          <w:rFonts w:ascii="仿宋_GB2312" w:hAnsi="仿宋_GB2312" w:cs="仿宋_GB2312" w:eastAsia="仿宋_GB2312"/>
        </w:rPr>
        <w:t>委托，拟对</w:t>
      </w:r>
      <w:r>
        <w:rPr>
          <w:rFonts w:ascii="仿宋_GB2312" w:hAnsi="仿宋_GB2312" w:cs="仿宋_GB2312" w:eastAsia="仿宋_GB2312"/>
        </w:rPr>
        <w:t>108国道佛坪县熊猫谷至椒溪河桥段路面养护工程施工图设计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ZHJS2026-008-004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108国道佛坪县熊猫谷至椒溪河桥段路面养护工程施工图设计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108国道佛坪县熊猫谷至椒溪河桥段路面养护工程施工图设计，全长约7km。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采购包1（108国道佛坪县熊猫谷至椒溪河桥段路面养护工程施工图设计）：属于专门面向中小企业采购。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3、供应商资质要求：投标供应商须具备建设行政主管部门颁发的工程勘察专业类（工程测量）乙级及以上资质；同时具备公路行业(公路)专业乙级及以上工程设计资质；</w:t>
      </w:r>
    </w:p>
    <w:p>
      <w:pPr>
        <w:pStyle w:val="null3"/>
      </w:pPr>
      <w:r>
        <w:rPr>
          <w:rFonts w:ascii="仿宋_GB2312" w:hAnsi="仿宋_GB2312" w:cs="仿宋_GB2312" w:eastAsia="仿宋_GB2312"/>
        </w:rPr>
        <w:t>4、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5、非联合体声明：非联合体声明，本项目不接受联合体磋商。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佛坪县河堤街4号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18291632225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汉中征鸿建晟工程管理有限公司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陕西省汉中市汉台区陕西省汉中市汉台区北关街道办事处前进西路188号商铺（体育运动中心东侧)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18591612386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开户名称：汉中征鸿建晟工程管理有限公司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银行账号：451011580000063373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佛坪县交通运输局</w:t>
      </w:r>
      <w:r>
        <w:rPr>
          <w:rFonts w:ascii="仿宋_GB2312" w:hAnsi="仿宋_GB2312" w:cs="仿宋_GB2312" w:eastAsia="仿宋_GB2312"/>
        </w:rPr>
        <w:t>和</w:t>
      </w:r>
      <w:r>
        <w:rPr>
          <w:rFonts w:ascii="仿宋_GB2312" w:hAnsi="仿宋_GB2312" w:cs="仿宋_GB2312" w:eastAsia="仿宋_GB2312"/>
        </w:rPr>
        <w:t>汉中征鸿建晟工程管理有限公司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汉中征鸿建晟工程管理有限公司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汉中征鸿建晟工程管理有限公司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联系电话：18591612386</w:t>
      </w:r>
    </w:p>
    <w:p>
      <w:pPr>
        <w:pStyle w:val="null3"/>
      </w:pPr>
      <w:r>
        <w:rPr>
          <w:rFonts w:ascii="仿宋_GB2312" w:hAnsi="仿宋_GB2312" w:cs="仿宋_GB2312" w:eastAsia="仿宋_GB2312"/>
        </w:rPr>
        <w:t>地址：陕西省汉中市汉台区陕西省汉中市汉台区北关街道办事处前进西路188号商铺（体育运动中心东侧)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108国道佛坪县熊猫谷至椒溪河桥段路面养护工程施工图设计，全长约7km。</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108国道佛坪县熊猫谷至椒溪河桥段路面养护工程施工图设计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标的名称：108国道佛坪县熊猫谷至椒溪河桥段路面养护工程施工图设计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一、</w:t>
            </w:r>
            <w:r>
              <w:rPr>
                <w:rFonts w:ascii="仿宋_GB2312" w:hAnsi="仿宋_GB2312" w:cs="仿宋_GB2312" w:eastAsia="仿宋_GB2312"/>
                <w:sz w:val="18"/>
                <w:b/>
              </w:rPr>
              <w:t>质量标准：</w:t>
            </w:r>
            <w:r>
              <w:rPr>
                <w:rFonts w:ascii="仿宋_GB2312" w:hAnsi="仿宋_GB2312" w:cs="仿宋_GB2312" w:eastAsia="仿宋_GB2312"/>
                <w:sz w:val="18"/>
              </w:rPr>
              <w:t>成果文件符合国家、省及行业现行相关标准、规范和招标人要求，确保数据完整、真实准确、清晰有据。</w:t>
            </w:r>
          </w:p>
          <w:p>
            <w:pPr>
              <w:pStyle w:val="null3"/>
            </w:pPr>
            <w:r>
              <w:rPr>
                <w:rFonts w:ascii="仿宋_GB2312" w:hAnsi="仿宋_GB2312" w:cs="仿宋_GB2312" w:eastAsia="仿宋_GB2312"/>
                <w:sz w:val="18"/>
                <w:b/>
              </w:rPr>
              <w:t>二、</w:t>
            </w:r>
            <w:r>
              <w:rPr>
                <w:rFonts w:ascii="仿宋_GB2312" w:hAnsi="仿宋_GB2312" w:cs="仿宋_GB2312" w:eastAsia="仿宋_GB2312"/>
                <w:sz w:val="18"/>
                <w:b/>
              </w:rPr>
              <w:t>服务期限：</w:t>
            </w:r>
            <w:r>
              <w:rPr>
                <w:rFonts w:ascii="仿宋_GB2312" w:hAnsi="仿宋_GB2312" w:cs="仿宋_GB2312" w:eastAsia="仿宋_GB2312"/>
                <w:sz w:val="18"/>
              </w:rPr>
              <w:t>合同签订之日起</w:t>
            </w:r>
            <w:r>
              <w:rPr>
                <w:rFonts w:ascii="仿宋_GB2312" w:hAnsi="仿宋_GB2312" w:cs="仿宋_GB2312" w:eastAsia="仿宋_GB2312"/>
                <w:sz w:val="18"/>
              </w:rPr>
              <w:t>30天</w:t>
            </w:r>
            <w:r>
              <w:rPr>
                <w:rFonts w:ascii="仿宋_GB2312" w:hAnsi="仿宋_GB2312" w:cs="仿宋_GB2312" w:eastAsia="仿宋_GB2312"/>
                <w:sz w:val="18"/>
              </w:rPr>
              <w:t>内完成。</w:t>
            </w:r>
          </w:p>
          <w:p>
            <w:pPr>
              <w:pStyle w:val="null3"/>
            </w:pPr>
            <w:r>
              <w:rPr>
                <w:rFonts w:ascii="仿宋_GB2312" w:hAnsi="仿宋_GB2312" w:cs="仿宋_GB2312" w:eastAsia="仿宋_GB2312"/>
                <w:sz w:val="18"/>
                <w:b/>
              </w:rPr>
              <w:t>三</w:t>
            </w:r>
            <w:r>
              <w:rPr>
                <w:rFonts w:ascii="仿宋_GB2312" w:hAnsi="仿宋_GB2312" w:cs="仿宋_GB2312" w:eastAsia="仿宋_GB2312"/>
                <w:sz w:val="18"/>
                <w:b/>
              </w:rPr>
              <w:t>、成果交付形式</w:t>
            </w:r>
          </w:p>
          <w:p>
            <w:pPr>
              <w:pStyle w:val="null3"/>
            </w:pPr>
            <w:r>
              <w:rPr>
                <w:rFonts w:ascii="仿宋_GB2312" w:hAnsi="仿宋_GB2312" w:cs="仿宋_GB2312" w:eastAsia="仿宋_GB2312"/>
                <w:sz w:val="18"/>
              </w:rPr>
              <w:t>电子版：数据库、</w:t>
            </w:r>
            <w:r>
              <w:rPr>
                <w:rFonts w:ascii="仿宋_GB2312" w:hAnsi="仿宋_GB2312" w:cs="仿宋_GB2312" w:eastAsia="仿宋_GB2312"/>
                <w:sz w:val="18"/>
              </w:rPr>
              <w:t>DWG、PDF、Word及可编辑格式文件各一份；</w:t>
            </w:r>
            <w:r>
              <w:br/>
            </w:r>
            <w:r>
              <w:rPr>
                <w:rFonts w:ascii="仿宋_GB2312" w:hAnsi="仿宋_GB2312" w:cs="仿宋_GB2312" w:eastAsia="仿宋_GB2312"/>
                <w:sz w:val="18"/>
              </w:rPr>
              <w:t>纸质版：成果文本</w:t>
            </w:r>
            <w:r>
              <w:rPr>
                <w:rFonts w:ascii="仿宋_GB2312" w:hAnsi="仿宋_GB2312" w:cs="仿宋_GB2312" w:eastAsia="仿宋_GB2312"/>
                <w:sz w:val="18"/>
              </w:rPr>
              <w:t>3份、图纸汇编2套；</w:t>
            </w:r>
            <w:r>
              <w:br/>
            </w:r>
            <w:r>
              <w:rPr>
                <w:rFonts w:ascii="仿宋_GB2312" w:hAnsi="仿宋_GB2312" w:cs="仿宋_GB2312" w:eastAsia="仿宋_GB2312"/>
                <w:sz w:val="18"/>
              </w:rPr>
              <w:t>提供汇报用</w:t>
            </w:r>
            <w:r>
              <w:rPr>
                <w:rFonts w:ascii="仿宋_GB2312" w:hAnsi="仿宋_GB2312" w:cs="仿宋_GB2312" w:eastAsia="仿宋_GB2312"/>
                <w:sz w:val="18"/>
              </w:rPr>
              <w:t>PPT及展示图册版本。</w:t>
            </w:r>
          </w:p>
          <w:p>
            <w:pPr>
              <w:pStyle w:val="null3"/>
            </w:pPr>
            <w:r>
              <w:rPr>
                <w:rFonts w:ascii="仿宋_GB2312" w:hAnsi="仿宋_GB2312" w:cs="仿宋_GB2312" w:eastAsia="仿宋_GB2312"/>
                <w:sz w:val="18"/>
                <w:b/>
              </w:rPr>
              <w:t>四</w:t>
            </w:r>
            <w:r>
              <w:rPr>
                <w:rFonts w:ascii="仿宋_GB2312" w:hAnsi="仿宋_GB2312" w:cs="仿宋_GB2312" w:eastAsia="仿宋_GB2312"/>
                <w:sz w:val="18"/>
                <w:b/>
              </w:rPr>
              <w:t>、知识产权</w:t>
            </w:r>
          </w:p>
          <w:p>
            <w:pPr>
              <w:pStyle w:val="null3"/>
            </w:pPr>
            <w:r>
              <w:rPr>
                <w:rFonts w:ascii="仿宋_GB2312" w:hAnsi="仿宋_GB2312" w:cs="仿宋_GB2312" w:eastAsia="仿宋_GB2312"/>
                <w:sz w:val="18"/>
              </w:rPr>
              <w:t>采购人在中华人民共和国境内使用投标人提供的货物及服务时免受第三方提出的侵犯其专利权或其它知识产权的起诉。如果第三方提出侵权指控，中标人应承担由此而引起的一切法律责任和费用。</w:t>
            </w:r>
          </w:p>
          <w:p>
            <w:pPr>
              <w:pStyle w:val="null3"/>
            </w:pPr>
            <w:r>
              <w:rPr>
                <w:rFonts w:ascii="仿宋_GB2312" w:hAnsi="仿宋_GB2312" w:cs="仿宋_GB2312" w:eastAsia="仿宋_GB2312"/>
                <w:sz w:val="18"/>
              </w:rPr>
              <w:t>最终成果的版权归采购人和成交人双方共有，中标人不得私自使用。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满足本项目采购内容的要求。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108国道佛坪县熊猫谷至椒溪河桥段</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进度款，成果文件提交经采购方确认合格后，达到付款条件起10个工作日内，支付合同总金额的70.0%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甲乙双方自行约定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与电子投标文件一致的纸质投标文件便于存档，投标文件正本1份，副本2份(通过电子交易系统直接打印)，电子版文件1份(以U盘为载体，PDF格式)，纸质投标文件均须A4纸打印，分别各自装订成册。线下递交响应文件地点： 陕西省汉中市汉台区陕西省汉中市汉台区北关街道办事处前进西路188号商铺（体育运动中心东侧)。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投标供应商须具备建设行政主管部门颁发的工程勘察专业类（工程测量）乙级及以上资质；同时具备公路行业(公路)专业乙级及以上工程设计资质；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供应商资质证明文件.docx 汉中市政府采购资格承诺函.docx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非联合体声明，本项目不接受联合体磋商。</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应符合磋商文件要求（响应文件及所附相关证书证件复印件需要逐页加盖单位公章）</w:t>
            </w:r>
          </w:p>
        </w:tc>
        <w:tc>
          <w:tcPr>
            <w:tcW w:type="dxa" w:w="1661"/>
          </w:tcPr>
          <w:p>
            <w:pPr>
              <w:pStyle w:val="null3"/>
            </w:pPr>
            <w:r>
              <w:rPr>
                <w:rFonts w:ascii="仿宋_GB2312" w:hAnsi="仿宋_GB2312" w:cs="仿宋_GB2312" w:eastAsia="仿宋_GB2312"/>
              </w:rPr>
              <w:t>中小企业声明函 商务应答表 服务内容及服务要求应答表 报价表 汉中市政府采购资格承诺函.docx 响应文件封面 供应商资质证明文件.docx 项目负责人.docx 供应商认为需要提供的其他资料.docx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评审内容：供应商须提供本项目整体服务实施方案，方案必须包含以下6个子模块：①项目理解；②总体服务实施方案；③项目进度计划；④进度保障措施；⑤服务流程及管理；⑥应急预案。赋分标准（本项总分14分）本项下完整性、针对性、可实施性评审，均围绕上述6个子模块综合评判。1. 完整性（6分）全部6项子方案具备完整实质性描述得6分；每缺少1项子方案或仅标题无实质内容扣1分，扣完为止；未提交整体服务实施方案，本项全部计0分。 2. 针对性（4分，综合全部6个子模块评判）（1）针对性强（4分）：全部子方案贴合 108 国道佛坪本项目养护设计实际，无通用模板套话； （2）针对性一般（2.5 分）：大部分子方案适配本项目，但存在 1 处及以上通用模板化内容；（3）缺乏针对性（1分）：多项子方案大量套用公路通用模板，极少结合本项目现场实际。3. 可实施性（4分，综合全部6个子模块评判）（1）可实施性强（4分）：工作流程清晰，实施步骤合理，工期、人员、应急措施贴合本项目；（2）可实施性一般（2.5分）：部分流程表述模糊，个别保障措施不完善； （3）缺乏可实施性（1分）：内容空洞，流程缺失，存在专业常识漏洞，无法指导项目实施。</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评审内容：供应商结合108国道佛坪段现场、国道养护施工图设计工作，梳理项目履约重难点，配套对应解决方案。未单独提供本专项内容，本项计0分。 二、赋分标准（本项总分8分） 1. 完整性（3分） 完整梳理本项目外业踏勘、路面现状研判、图纸编制、送审修改等重难点，并配套对应处置方案得3分；缺少部分重难点或无对应处置方案酌情扣减，仅罗列标题无实质内容最多得1分。2.针对性（2.5分）（1）针对性强（2.5分）：紧密结合本108国道佛坪项目实际，重难点识别贴合现场情况，无通用套话；（2）针对性一般（1.5分）：识别部分重难点，但以行业通用描述为主，本项目专属内容少； （3）缺乏针对性（0.6分）：全部套用公路设计通用模板，未结合本项目。 3.可实施性（2.5分）（1）可实施性强（2.5分）：每个重难点配套可落地处置举措，明确工作路径；（2）可实施性一般（1.5分）：提出解决思路，但缺少细化执行举措；（3）缺乏可实施性（0.6分）：方案空洞理想化，无落地执行路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评审内容：供应商编制专项质量保证实施方案，须包含5个模块： ①施工图质量自查与校审制度；②成果文件质量管控措施；③图纸及数据保密管理；④内外业工作保障配置；⑤项目突发问题应急处置方案。赋分标准（本项总分10分） 1. 完整性（4分）全部5个模块具备完整实质性描述得4分；每缺少1个模块或仅标题无实质内容扣1分，扣完为止；未提交质量保证实施方案，本项全部计0分。2. 针对性（3分）综合全部模块评判（1）针对性强（3分）：模块内容贴合本国道养护设计项目，有项目专属管控细则，无通用套话；（2）针对性一般（1.8分）：大部分模块适配项目，少量通用模板内容；（3）缺乏针对性（0.8分）：大量照搬通用设计模板，未结合本项目。3. 可实施性（3分）综合全部模块评判（1）可实施性强（3分）：校审、保密、应急流程闭环完整，责任清晰，落地性强；（2）可实施性一般（1.8分）：主要环节齐全，但细节不完善； （3）缺乏可实施性（0.8 分）：措施笼统，缺少管控流程，无法落地执行。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进度及风险综合保障</w:t>
            </w:r>
          </w:p>
        </w:tc>
        <w:tc>
          <w:tcPr>
            <w:tcW w:type="dxa" w:w="2492"/>
          </w:tcPr>
          <w:p>
            <w:pPr>
              <w:pStyle w:val="null3"/>
            </w:pPr>
            <w:r>
              <w:rPr>
                <w:rFonts w:ascii="仿宋_GB2312" w:hAnsi="仿宋_GB2312" w:cs="仿宋_GB2312" w:eastAsia="仿宋_GB2312"/>
              </w:rPr>
              <w:t>评审内容：结合本项目30天服务周期，编制专项进度、风险综合保障方案；覆盖外业调查、图纸编制、内部校审、成果修改送审全流程，明确工期节点、人员安排、风险防控措施。未单独编制本专项，本项计0分。 赋分标准（本项总分8分） 1. 完整性（3分）完整覆盖全部工作阶段，工期节点、人员配置、风险防控三类要素齐全得3分；缺阶段或缺要素酌情扣分，仅罗列标题最多得1分。2. 针对性（2.5分）（1）针对性强（2.5分）：充分考虑本项目30天短周期特点，设置图纸修改、专家评审等候缓冲机制，贴合佛坪本地项目情况；（2）针对性一般（1.5分）：有进度计划，但多为通用模板，缺少针对本项目短周期的特殊管控； （3）缺乏针对性（0.6分）：照搬通用设计项目进度，未结合本项目30天交付要求。3. 可实施性（2.5分） （1）可实施性强（2.5分）：节点清晰，人员分工明确，存在延误的补救、兜底措施完备；（2）可实施性一般（1.5分）：具备基础进度计划，但兜底补救措施不足；（3）缺乏可实施性（0.6分）：只有阶段名称，无工期、人员、风险处置细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标准：供应商提供2023年1月1日至今公路养护工程施工图设计阶段类似业绩计分，每份有效业绩得2分，本项最高10分。业绩有效性硬性判定标准：1、每份业绩须提供完整合同关键页，缺少不予计分；2、合同签订时间须在 2023-01-01（含）以后，超出时间不计分；3、项目服务内容须包含公路养护工程施工图设计；纯施工、监理、检测等无关业绩不予认可；4、资料字迹、印章、项目名称模糊无法辨认的，该份业绩无效，不予计分；5、仅提供框架协议、意向协议，无实际实施内容的，不计入有效业绩。凡不满足上述任一条件的业绩，均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评审标准：1、职称及注册分值（基础6分 项目负责人为公路工程相关专业：中级职称得3分；取得高级工程师职称得5分；同时持有注册土木工程师（道路工程）再加1分。2、业绩加分（最多4分）每提供1份本人作为项目负责人的公路养护工程施工图设计有效业绩得2分，最多加4分。配套统一计分规则：（1）仅认可人社部门核发正规职称证书；培训结业证、社会团体颁发证书不予采信；（2）同一人员多本职称、注册证书按就高原则计取，不重复累加；（3）业绩须提供合同关键页，合同能够体现项目负责人身份；无法体现负责人身份不计分；仅框架协议、意向书不计入有效业绩；（4）证书不在有效期、证件模糊印章无法辨识，本项对应小项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评审标准：1.专业配置（8分）：配齐路基路面、桥梁、交通工程、概预算4个专业人员得8分，每缺1个专业扣2分，扣完为止。2.职称加分（最高6分）：每配备1名本单位在职公路相关专业中级及以上职称人员得2分，最高6分。3.注册执业加分（最高6分）：每配备1名本单位在职、具有公路相关注册执业资格人员得2分，最高6分。统一认定核查标准（全部条件满足方可计分，任一不满足该人员不计分）：（1）仅认可人社行政主管部门核发正规职称证书；行业培训结业证、社会团体证书不予采信；（2）同一人员多本证书按就高原则计取，不重复累计加分；（3）计入分值人员须为本单位在职人员；须提供职称/注册证书；无证书对应人员不予计分；（4）证书印章模糊、证书过期不予计分；（5）项目负责人不纳入本项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履约及成果交付服务承诺</w:t>
            </w:r>
          </w:p>
        </w:tc>
        <w:tc>
          <w:tcPr>
            <w:tcW w:type="dxa" w:w="2492"/>
          </w:tcPr>
          <w:p>
            <w:pPr>
              <w:pStyle w:val="null3"/>
            </w:pPr>
            <w:r>
              <w:rPr>
                <w:rFonts w:ascii="仿宋_GB2312" w:hAnsi="仿宋_GB2312" w:cs="仿宋_GB2312" w:eastAsia="仿宋_GB2312"/>
              </w:rPr>
              <w:t>评审标准：供应商须在响应文件中单独设立履约服务承诺独立章节，书面载明成果交付承诺、配套服务承诺相关内容。本项评审仅核对核心要素是否存在，不评判文字表述优劣、措辞文采。一、成果交付承诺（共 3 项核心必选要素）按磋商文件要求免费提供全套纸质成果、全套电子版成果（DWG/PDF/Word、汇报 PPT、图册）；在施工图送审、主管部门批复完成前，可根据采购人、审查专家要求无偿修改完善设计成果； 成果提供、修改全过程，不收取任何额外、增项费用。二、配套服务承诺（共 3 项核心必选要素） ①项目报审全过程固定专人对接，负责本项目沟通协调； ②免费提供技术答疑，线上 / 线下配合主管部门、专家评审、交底服务； ③如国家、行业规范更新，需要调整设计成果，无偿完成修订更新。 计分判定规则（总分 10 分） 得 10 分：响应文件已设置独立履约服务承诺章节；成果交付 3 项要素、配套服务 3 项要素全部完整载明，无缺失。得 5 分：响应文件已设置独立履约服务承诺章节；成果交付、配套服务其中一个大类的 3 项要素全部齐全，另一个大类完全未作出任何承诺表述。得 3 分：响应文件已设置独立履约服务承诺章节；成果交付、配套服务两个大类均有承诺内容，但其中任意一个大类存在缺失 1-2 项细分核心要素的情形。 得 0 分（满足以下任一情形即计 0 分） （1）未单独设置履约服务承诺独立章节； （2）虽设置独立章节，但成果交付、配套服务两大项均完全未提供任何承诺内容。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详见附件：团队人员.docx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