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D439F">
      <w:pPr>
        <w:pStyle w:val="9"/>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 拟签订采购合同文本</w:t>
      </w:r>
    </w:p>
    <w:p w14:paraId="7576411B">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甲方：（前款所称采购人）                           住所：</w:t>
      </w:r>
      <w:r>
        <w:rPr>
          <w:rFonts w:hint="eastAsia" w:ascii="宋体" w:hAnsi="宋体" w:eastAsia="宋体" w:cs="宋体"/>
          <w:color w:val="auto"/>
          <w:kern w:val="0"/>
          <w:sz w:val="24"/>
          <w:szCs w:val="24"/>
          <w:highlight w:val="none"/>
          <w:u w:val="single"/>
        </w:rPr>
        <w:t xml:space="preserve">                         </w:t>
      </w:r>
    </w:p>
    <w:p w14:paraId="42FD5A2B">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乙方：（前款所称成交供应商）                       住所：</w:t>
      </w:r>
      <w:r>
        <w:rPr>
          <w:rFonts w:hint="eastAsia" w:ascii="宋体" w:hAnsi="宋体" w:eastAsia="宋体" w:cs="宋体"/>
          <w:color w:val="auto"/>
          <w:kern w:val="0"/>
          <w:sz w:val="24"/>
          <w:szCs w:val="24"/>
          <w:highlight w:val="none"/>
          <w:u w:val="single"/>
        </w:rPr>
        <w:t xml:space="preserve">                         </w:t>
      </w:r>
    </w:p>
    <w:p w14:paraId="14375E35">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一、合同内容（标的、数量、质量等）</w:t>
      </w:r>
      <w:r>
        <w:rPr>
          <w:rFonts w:hint="eastAsia" w:ascii="宋体" w:hAnsi="宋体" w:eastAsia="宋体" w:cs="宋体"/>
          <w:color w:val="auto"/>
          <w:kern w:val="0"/>
          <w:sz w:val="24"/>
          <w:szCs w:val="24"/>
          <w:highlight w:val="none"/>
        </w:rPr>
        <w:t>：</w:t>
      </w:r>
    </w:p>
    <w:p w14:paraId="4AB48DEA">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二、合同价款</w:t>
      </w:r>
    </w:p>
    <w:p w14:paraId="3E303217">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lang w:val="en-US" w:eastAsia="zh-CN"/>
        </w:rPr>
        <w:t>1、下浮率：</w:t>
      </w:r>
      <w:r>
        <w:rPr>
          <w:rFonts w:hint="eastAsia" w:ascii="宋体" w:hAnsi="宋体" w:eastAsia="宋体" w:cs="宋体"/>
          <w:color w:val="auto"/>
          <w:kern w:val="0"/>
          <w:sz w:val="24"/>
          <w:szCs w:val="24"/>
          <w:highlight w:val="none"/>
          <w:u w:val="single"/>
          <w:lang w:val="en-US" w:eastAsia="zh-CN"/>
        </w:rPr>
        <w:t xml:space="preserve">        </w:t>
      </w:r>
    </w:p>
    <w:p w14:paraId="5094D20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本项目按实际完成合格工程量据实结算，最终结算价款=中标综合单价×实际验收合格工程量。</w:t>
      </w:r>
    </w:p>
    <w:p w14:paraId="3136AEA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全费用综合单价已经</w:t>
      </w:r>
      <w:r>
        <w:rPr>
          <w:rFonts w:hint="eastAsia" w:ascii="宋体" w:hAnsi="宋体" w:eastAsia="宋体" w:cs="宋体"/>
          <w:color w:val="auto"/>
          <w:kern w:val="0"/>
          <w:sz w:val="24"/>
          <w:szCs w:val="24"/>
          <w:highlight w:val="none"/>
        </w:rPr>
        <w:t>充分考虑施工难度、市场价格波动、应急处置等风险因素</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包含完成类型项目全部内容要求及工期的成本、利润、税金、开办费、技术措施费、组织措施费、交通安全措施费、各类机械进出场费、钻探费、风险费、竣工验收、政策性文件规定费用、技术规范要求的费用等所需的全部费用。</w:t>
      </w:r>
    </w:p>
    <w:p w14:paraId="041E1859">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三、合同结算</w:t>
      </w:r>
    </w:p>
    <w:p w14:paraId="1E5E305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1、付款方式：</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5EE1AD57">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2、结算方式：银行转账。</w:t>
      </w:r>
    </w:p>
    <w:p w14:paraId="13DB8FC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3、结算单位：乙方开具合同总价数的全额发票交采购人。</w:t>
      </w:r>
    </w:p>
    <w:p w14:paraId="59C04696">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四、工期、地点</w:t>
      </w:r>
      <w:r>
        <w:rPr>
          <w:rFonts w:hint="eastAsia" w:ascii="宋体" w:hAnsi="宋体" w:eastAsia="宋体" w:cs="宋体"/>
          <w:b/>
          <w:color w:val="auto"/>
          <w:kern w:val="0"/>
          <w:sz w:val="24"/>
          <w:szCs w:val="24"/>
          <w:highlight w:val="none"/>
          <w:lang w:eastAsia="zh-CN"/>
        </w:rPr>
        <w:t>、工程质量、</w:t>
      </w:r>
      <w:r>
        <w:rPr>
          <w:rFonts w:hint="eastAsia" w:ascii="宋体" w:hAnsi="宋体" w:eastAsia="宋体" w:cs="宋体"/>
          <w:b/>
          <w:color w:val="auto"/>
          <w:kern w:val="0"/>
          <w:sz w:val="24"/>
          <w:szCs w:val="24"/>
          <w:highlight w:val="none"/>
        </w:rPr>
        <w:t>质保期：</w:t>
      </w:r>
    </w:p>
    <w:p w14:paraId="4AB5781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工期</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lang w:val="en-US" w:eastAsia="zh-CN"/>
        </w:rPr>
        <w:t xml:space="preserve">           </w:t>
      </w:r>
    </w:p>
    <w:p w14:paraId="7FB385E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项目地点：采购人指定地点</w:t>
      </w:r>
    </w:p>
    <w:p w14:paraId="04D504A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lang w:val="en-US" w:eastAsia="zh-CN"/>
        </w:rPr>
        <w:t>3、工程质量：</w:t>
      </w:r>
      <w:r>
        <w:rPr>
          <w:rFonts w:hint="eastAsia" w:ascii="宋体" w:hAnsi="宋体" w:eastAsia="宋体" w:cs="宋体"/>
          <w:color w:val="auto"/>
          <w:kern w:val="0"/>
          <w:sz w:val="24"/>
          <w:szCs w:val="24"/>
          <w:highlight w:val="none"/>
          <w:u w:val="single"/>
          <w:lang w:val="en-US" w:eastAsia="zh-CN"/>
        </w:rPr>
        <w:t xml:space="preserve">        </w:t>
      </w:r>
    </w:p>
    <w:p w14:paraId="044DADE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lang w:val="en-US" w:eastAsia="zh-CN"/>
        </w:rPr>
        <w:t>4、质保期：</w:t>
      </w:r>
      <w:r>
        <w:rPr>
          <w:rFonts w:hint="eastAsia" w:ascii="宋体" w:hAnsi="宋体" w:eastAsia="宋体" w:cs="宋体"/>
          <w:color w:val="auto"/>
          <w:kern w:val="0"/>
          <w:sz w:val="24"/>
          <w:szCs w:val="24"/>
          <w:highlight w:val="none"/>
          <w:u w:val="single"/>
          <w:lang w:val="en-US" w:eastAsia="zh-CN"/>
        </w:rPr>
        <w:t xml:space="preserve">         </w:t>
      </w:r>
    </w:p>
    <w:p w14:paraId="10513E4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5、本项目履约保证金金额：</w:t>
      </w:r>
      <w:r>
        <w:rPr>
          <w:rFonts w:hint="eastAsia" w:ascii="宋体" w:hAnsi="宋体" w:eastAsia="宋体" w:cs="宋体"/>
          <w:color w:val="auto"/>
          <w:kern w:val="0"/>
          <w:sz w:val="24"/>
          <w:szCs w:val="24"/>
          <w:highlight w:val="none"/>
          <w:u w:val="single"/>
          <w:lang w:val="en-US" w:eastAsia="zh-CN"/>
        </w:rPr>
        <w:t xml:space="preserve">    无   </w:t>
      </w:r>
      <w:r>
        <w:rPr>
          <w:rFonts w:hint="eastAsia" w:ascii="宋体" w:hAnsi="宋体" w:eastAsia="宋体" w:cs="宋体"/>
          <w:color w:val="auto"/>
          <w:kern w:val="0"/>
          <w:sz w:val="24"/>
          <w:szCs w:val="24"/>
          <w:highlight w:val="none"/>
          <w:lang w:val="en-US" w:eastAsia="zh-CN"/>
        </w:rPr>
        <w:t xml:space="preserve"> </w:t>
      </w:r>
    </w:p>
    <w:p w14:paraId="25968F17">
      <w:pPr>
        <w:keepNext w:val="0"/>
        <w:keepLines w:val="0"/>
        <w:pageBreakBefore w:val="0"/>
        <w:widowControl w:val="0"/>
        <w:kinsoku/>
        <w:wordWrap/>
        <w:overflowPunct/>
        <w:topLinePunct w:val="0"/>
        <w:autoSpaceDE w:val="0"/>
        <w:autoSpaceDN w:val="0"/>
        <w:bidi w:val="0"/>
        <w:adjustRightInd w:val="0"/>
        <w:spacing w:line="360" w:lineRule="auto"/>
        <w:ind w:firstLine="960" w:firstLineChars="4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提交方式：担保机构保函</w:t>
      </w:r>
      <w:bookmarkStart w:id="0" w:name="_GoBack"/>
      <w:bookmarkEnd w:id="0"/>
    </w:p>
    <w:p w14:paraId="03F83434">
      <w:pPr>
        <w:keepNext w:val="0"/>
        <w:keepLines w:val="0"/>
        <w:pageBreakBefore w:val="0"/>
        <w:widowControl w:val="0"/>
        <w:kinsoku/>
        <w:wordWrap/>
        <w:overflowPunct/>
        <w:topLinePunct w:val="0"/>
        <w:autoSpaceDE w:val="0"/>
        <w:autoSpaceDN w:val="0"/>
        <w:bidi w:val="0"/>
        <w:adjustRightInd w:val="0"/>
        <w:spacing w:line="360" w:lineRule="auto"/>
        <w:ind w:firstLine="960" w:firstLineChars="4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提交时间：签订合同前</w:t>
      </w:r>
    </w:p>
    <w:p w14:paraId="04220E2D">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五、甲方工作</w:t>
      </w:r>
    </w:p>
    <w:p w14:paraId="420DBF9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1.开工前三天，向乙方提供经确认的施工图纸和作法说明，并向乙方进行现场交底,向乙方有偿提供施工所需的水、电。</w:t>
      </w:r>
    </w:p>
    <w:p w14:paraId="18FF6186">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2.如确实需要拆改原建筑物结构或设备管线，应依据设计部门提供的图纸或方案。</w:t>
      </w:r>
    </w:p>
    <w:p w14:paraId="4377758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3、甲方委派施工监理管理本项目。</w:t>
      </w:r>
    </w:p>
    <w:p w14:paraId="317440BB">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六、乙方工作</w:t>
      </w:r>
    </w:p>
    <w:p w14:paraId="37D3B40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1.参加甲方组织的施工图纸或作法说明的现场交底，拟定施工方案和进度计划，于前交甲方审定，通过后方可实施。</w:t>
      </w:r>
    </w:p>
    <w:p w14:paraId="75B1E9B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2.指派</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为乙方驻工地代表，负责合同履行。乙方应按要求组织施工，保质、保量、按期完成施工任务，解决由乙方负责的各项事宜。</w:t>
      </w:r>
    </w:p>
    <w:p w14:paraId="045C8B8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3.严格执行施工规范、安全操作规程、防火安全规定、环境保护规定。严格按照图纸或做法说明进行施工，做好各项质量检查记录。参加竣工验收，编制工程结算。</w:t>
      </w:r>
    </w:p>
    <w:p w14:paraId="59A447EB">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4.遵守国家或地方政府及有关部门对施工现场管理的规定，做好施工现场保卫和垃圾消纳等工作。</w:t>
      </w:r>
    </w:p>
    <w:p w14:paraId="205C4B1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5.施工中未经甲方书面同意或有关部门批准，不得随意拆改原建筑物结构及各种设备管线。</w:t>
      </w:r>
    </w:p>
    <w:p w14:paraId="23DDC677">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6.工程竣工未移交甲方之前，负责对现场的一切设施和工程成品进行保护；工程竣工移交前，应彻底完成现场的清理工作。</w:t>
      </w:r>
    </w:p>
    <w:p w14:paraId="0476FBC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7.施工过程中不得影响甲方的正常办公，不得违反甲方的相关管理制度。</w:t>
      </w:r>
    </w:p>
    <w:p w14:paraId="758AF87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8.施工过程中如发生人身伤亡、财产毁损等安全事故的，乙方负责解决并独自承担全部责任。由此给甲方造成损失的，乙方应负责赔偿，赔偿款由甲方直接从应付合同价款中扣除。</w:t>
      </w:r>
    </w:p>
    <w:p w14:paraId="6AF12CA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9.施工单位在进场施工前应挂接水、电表，完工验收后根据水表、电表显示的用水、用电量按照甲方收费标准向甲方缴纳水、电费。</w:t>
      </w:r>
    </w:p>
    <w:p w14:paraId="64A108A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10.乙方自行解决关系协调问题。乙方在施工过程中与任何人之间发生的任何纠纷，与甲方一概无关，因协调周边关系产生的一切费用由乙方自行承担。</w:t>
      </w:r>
    </w:p>
    <w:p w14:paraId="1EB98676">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11.未经甲方同意，乙方不得擅自更换甲方在招标时认定的本工程施工负责人（项目经理）及施工队伍，若出现此类情况，甲方有权终止合同。</w:t>
      </w:r>
    </w:p>
    <w:p w14:paraId="0FF3373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12.乙方未能按响应文件中所列的施工方式、项目经理人选及其他承诺执行时，视为违约，甲方有权指正更正，直至终止合同。</w:t>
      </w:r>
    </w:p>
    <w:p w14:paraId="75772AB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13.施工中或竣工后，如发生因乙方在本项目施工中拖欠工人工资、劳务分包商款项，而向甲方追讨欠款的情况时，均视为乙方违约，甲方有权采取终止合同，向乙方索赔的措施。</w:t>
      </w:r>
    </w:p>
    <w:p w14:paraId="2ACAE47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14、服从甲方和甲方安排的监理对向项目的管理工作，按监理要求完成资料整理。</w:t>
      </w:r>
    </w:p>
    <w:p w14:paraId="6113355B">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七</w:t>
      </w:r>
      <w:r>
        <w:rPr>
          <w:rFonts w:hint="eastAsia" w:ascii="宋体" w:hAnsi="宋体" w:eastAsia="宋体" w:cs="宋体"/>
          <w:b/>
          <w:color w:val="auto"/>
          <w:kern w:val="0"/>
          <w:sz w:val="24"/>
          <w:szCs w:val="24"/>
          <w:highlight w:val="none"/>
        </w:rPr>
        <w:t>、关于工期的约定</w:t>
      </w:r>
    </w:p>
    <w:p w14:paraId="707F9FB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1.甲方要求比合同约定的工期提前竣工时，应征得乙方同意，并支付乙方因赶工采取的措施费用。</w:t>
      </w:r>
    </w:p>
    <w:p w14:paraId="6EAE9C5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2.因甲方未按约定完成工作且影响工期的，工期相应顺延。</w:t>
      </w:r>
    </w:p>
    <w:p w14:paraId="46D20C4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3.因乙方责任，不能按期开工或中途无故停工，影响工期，工期不顺延，由乙方承担逾期完工的违约责任。</w:t>
      </w:r>
    </w:p>
    <w:p w14:paraId="5D3372E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4.因非乙方原因造成的停电、停水、停气及不可抗力因素影响，导致停工8小时以上（一周内累计计算），工期相应顺延。</w:t>
      </w:r>
    </w:p>
    <w:p w14:paraId="03D36301">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八</w:t>
      </w:r>
      <w:r>
        <w:rPr>
          <w:rFonts w:hint="eastAsia" w:ascii="宋体" w:hAnsi="宋体" w:eastAsia="宋体" w:cs="宋体"/>
          <w:b/>
          <w:color w:val="auto"/>
          <w:kern w:val="0"/>
          <w:sz w:val="24"/>
          <w:szCs w:val="24"/>
          <w:highlight w:val="none"/>
        </w:rPr>
        <w:t>、关于工程质量及验收的约定</w:t>
      </w:r>
    </w:p>
    <w:p w14:paraId="2EBDE5A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1.本工程以国家制订的施工及验收规范为质量评定验收标准。</w:t>
      </w:r>
    </w:p>
    <w:p w14:paraId="6E0A12A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2.本工程质量应至少达到国家质量评定合格标准。甲方要求部分或全部工程项目达到优良标准时，应按乙方的实际支出向乙方支付由此增加费用。</w:t>
      </w:r>
    </w:p>
    <w:p w14:paraId="06BE8AF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甲、乙双方应及时办理隐蔽工程和中间工程的检查与验收手续。甲方因自身原因不按时参加隐蔽工程的中间工程验收，乙方可自行验收，甲方应予承认。若甲方要求复验时，乙方应按要求办理复验。若复验合格，甲方应承担复验费用，由此造成停工，工期顺延；若复验不合格，其复验及返工费用由乙方承担，但工期也予顺延。</w:t>
      </w:r>
    </w:p>
    <w:p w14:paraId="0C75BF5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4.由于甲方提供的材料、设备质量不合格而影响工程质量，其返工费用由甲方承担，工期顺延。</w:t>
      </w:r>
    </w:p>
    <w:p w14:paraId="77A1C17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由于乙方原因造成质量事故，其返工费用由乙方承担，工期不顺延。工程施工或交付甲方使用过程中，因工程材料质量或施工质量造成甲方或第三方人身损伤、财产损失的，由乙方负责解决并承担全部赔偿责任。</w:t>
      </w:r>
    </w:p>
    <w:p w14:paraId="7BE4D1C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6.工程竣工后，乙方应通知甲方验收，甲方自接到验收通知15 日内组织验收，验收通过的办理验收、移交手续；验收不通过的，由乙方负责整改，工期不顺延。如甲方因自身原因在规定时间内未能组织验收，需及时通知乙方，另定验收日期，但甲方应承认竣工日期，并承担乙方的看管费用和相关费用。</w:t>
      </w:r>
    </w:p>
    <w:p w14:paraId="051AAEE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7、验收依据：</w:t>
      </w:r>
    </w:p>
    <w:p w14:paraId="5A08382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7-1、合同文本、合同附件、竞争性磋商文件、成交供应商的响应文件。</w:t>
      </w:r>
    </w:p>
    <w:p w14:paraId="42659226">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7-2、国内相应的标准、规范。</w:t>
      </w:r>
    </w:p>
    <w:p w14:paraId="0010048F">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九</w:t>
      </w:r>
      <w:r>
        <w:rPr>
          <w:rFonts w:hint="eastAsia" w:ascii="宋体" w:hAnsi="宋体" w:eastAsia="宋体" w:cs="宋体"/>
          <w:b/>
          <w:color w:val="auto"/>
          <w:kern w:val="0"/>
          <w:sz w:val="24"/>
          <w:szCs w:val="24"/>
          <w:highlight w:val="none"/>
        </w:rPr>
        <w:t>、违约责任</w:t>
      </w:r>
    </w:p>
    <w:p w14:paraId="0F8B156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1、按《中华人民共和国民法典》中的相关条款执行。</w:t>
      </w:r>
    </w:p>
    <w:p w14:paraId="414B60F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2、乙方履约延误</w:t>
      </w:r>
    </w:p>
    <w:p w14:paraId="7952B2D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2-1、如乙方事先未征得甲方同意并得到甲方的谅解而单方面延迟执行合同，将按违约终止合同。</w:t>
      </w:r>
    </w:p>
    <w:p w14:paraId="6C32B09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60253D3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rPr>
        <w:t>3、违约终止合同：未按合同要求提供服务或不能满足技术要求，甲方会同监督机构有权终止合同，对乙方违约行为进行追究，同时按政府采购法的有关规定进行相应的处罚。</w:t>
      </w:r>
    </w:p>
    <w:p w14:paraId="3393C89B">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十、合同组成</w:t>
      </w:r>
    </w:p>
    <w:p w14:paraId="1E2A081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1、成交通知书</w:t>
      </w:r>
    </w:p>
    <w:p w14:paraId="793B3B9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2、合同文件</w:t>
      </w:r>
    </w:p>
    <w:p w14:paraId="3425E74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3、国家相关规范及标准</w:t>
      </w:r>
    </w:p>
    <w:p w14:paraId="0748463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4、竞争性磋商文件</w:t>
      </w:r>
    </w:p>
    <w:p w14:paraId="3D54AE37">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5、成交供应商的响应文件</w:t>
      </w:r>
    </w:p>
    <w:p w14:paraId="785A3C3D">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十一、解决争议的方法</w:t>
      </w:r>
    </w:p>
    <w:p w14:paraId="0E188AE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凡因本合同引起的或与本合同有关的争议，双方应友好协商解决。协商不成时，双方均同意采用以下第（     ）种争议解决方式：</w:t>
      </w:r>
    </w:p>
    <w:p w14:paraId="1E287327">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1、甲、乙双方均同意向（甲方所在地人民法院）提起诉讼。</w:t>
      </w:r>
    </w:p>
    <w:p w14:paraId="79BBE6E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2、甲、乙双方均同意向（仲裁委员会）提起仲裁。</w:t>
      </w:r>
    </w:p>
    <w:p w14:paraId="0663406B">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十二、合同生效及其它</w:t>
      </w:r>
    </w:p>
    <w:p w14:paraId="1A05AA67">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1、合同未尽事宜、由甲、乙双方协商，作为合同补充，与原合同具有同等法律效力。</w:t>
      </w:r>
    </w:p>
    <w:p w14:paraId="0E3B9F0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2、本合同正本一式份，甲方、乙方双方分别执</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份，备案</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份。</w:t>
      </w:r>
    </w:p>
    <w:p w14:paraId="49E7DB9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3、合同经甲乙双方盖章、签字后生效，合同签订地点为。</w:t>
      </w:r>
    </w:p>
    <w:p w14:paraId="0772611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4、生效时间：</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日</w:t>
      </w:r>
    </w:p>
    <w:p w14:paraId="364FEAF4">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rPr>
      </w:pPr>
    </w:p>
    <w:p w14:paraId="0549D0F4">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甲方名称（盖章）：                            乙方名称（盖章）：</w:t>
      </w:r>
    </w:p>
    <w:p w14:paraId="284C84D8">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                                        地址：</w:t>
      </w:r>
    </w:p>
    <w:p w14:paraId="2A9CCC30">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代表人（签字）：                              代表人（签字）：</w:t>
      </w:r>
    </w:p>
    <w:p w14:paraId="0FDE853C">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                                        电话：</w:t>
      </w:r>
    </w:p>
    <w:p w14:paraId="1A1F8C51">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                                    开户银行：</w:t>
      </w:r>
    </w:p>
    <w:p w14:paraId="1D2A6B6C">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Hans"/>
        </w:rPr>
      </w:pPr>
      <w:r>
        <w:rPr>
          <w:rFonts w:hint="eastAsia" w:ascii="宋体" w:hAnsi="宋体" w:eastAsia="宋体" w:cs="宋体"/>
          <w:color w:val="auto"/>
          <w:kern w:val="0"/>
          <w:sz w:val="24"/>
          <w:szCs w:val="24"/>
          <w:highlight w:val="none"/>
        </w:rPr>
        <w:t>账号：                                        账号：</w:t>
      </w:r>
    </w:p>
    <w:p w14:paraId="38357BBA">
      <w:pPr>
        <w:rPr>
          <w:rFonts w:hint="eastAsia" w:ascii="宋体" w:hAnsi="宋体" w:eastAsia="宋体" w:cs="宋体"/>
          <w:color w:val="auto"/>
          <w:highlight w:val="none"/>
        </w:rPr>
      </w:pPr>
    </w:p>
    <w:p w14:paraId="384B382B"/>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F5AFA">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7042243">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07042243">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CC7EA">
    <w:pPr>
      <w:spacing w:before="16" w:line="219" w:lineRule="auto"/>
      <w:ind w:left="7055"/>
      <w:rPr>
        <w:rFonts w:ascii="宋体" w:hAnsi="宋体" w:cs="宋体"/>
        <w:sz w:val="18"/>
        <w:szCs w:val="18"/>
      </w:rPr>
    </w:pPr>
    <w:r>
      <mc:AlternateContent>
        <mc:Choice Requires="wps">
          <w:drawing>
            <wp:anchor distT="0" distB="0" distL="114300" distR="114300" simplePos="0" relativeHeight="251659264" behindDoc="0" locked="0" layoutInCell="0" allowOverlap="1">
              <wp:simplePos x="0" y="0"/>
              <wp:positionH relativeFrom="page">
                <wp:posOffset>1153795</wp:posOffset>
              </wp:positionH>
              <wp:positionV relativeFrom="page">
                <wp:posOffset>713105</wp:posOffset>
              </wp:positionV>
              <wp:extent cx="5274945" cy="9525"/>
              <wp:effectExtent l="0" t="0" r="0" b="0"/>
              <wp:wrapNone/>
              <wp:docPr id="2" name="任意多边形 2"/>
              <wp:cNvGraphicFramePr/>
              <a:graphic xmlns:a="http://schemas.openxmlformats.org/drawingml/2006/main">
                <a:graphicData uri="http://schemas.microsoft.com/office/word/2010/wordprocessingShape">
                  <wps:wsp>
                    <wps:cNvSpPr/>
                    <wps:spPr>
                      <a:xfrm>
                        <a:off x="0" y="0"/>
                        <a:ext cx="5274945" cy="9525"/>
                      </a:xfrm>
                      <a:custGeom>
                        <a:avLst/>
                        <a:gdLst/>
                        <a:ahLst/>
                        <a:cxnLst/>
                        <a:pathLst>
                          <a:path w="8307" h="15">
                            <a:moveTo>
                              <a:pt x="0" y="0"/>
                            </a:moveTo>
                            <a:lnTo>
                              <a:pt x="8306" y="0"/>
                            </a:lnTo>
                            <a:lnTo>
                              <a:pt x="8306" y="14"/>
                            </a:lnTo>
                            <a:lnTo>
                              <a:pt x="0" y="14"/>
                            </a:lnTo>
                            <a:lnTo>
                              <a:pt x="0" y="0"/>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90.85pt;margin-top:56.15pt;height:0.75pt;width:415.35pt;mso-position-horizontal-relative:page;mso-position-vertical-relative:page;z-index:251659264;mso-width-relative:page;mso-height-relative:page;" fillcolor="#000000" filled="t" stroked="f" coordsize="8307,15" o:allowincell="f" o:gfxdata="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HGPpC2AAAAAwBAAAPAAAA&#10;AAAAAAEAIAAAACIAAABkcnMvZG93bnJldi54bWxQSwECFAAUAAAACACHTuJAzmCrGhUCAAB7BAAA&#10;DgAAAAAAAAABACAAAAAnAQAAZHJzL2Uyb0RvYy54bWxQSwUGAAAAAAYABgBZAQAArgUAAAAA&#10;" path="m0,0l8306,0,8306,14,0,14,0,0xe">
              <v:fill on="t" focussize="0,0"/>
              <v:stroke on="f"/>
              <v:imagedata o:title=""/>
              <o:lock v:ext="edit" aspectratio="f"/>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770E66"/>
    <w:rsid w:val="26770E66"/>
    <w:rsid w:val="34D9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topLinePunct/>
      <w:spacing w:line="360" w:lineRule="auto"/>
      <w:jc w:val="both"/>
    </w:pPr>
    <w:rPr>
      <w:rFonts w:eastAsia="宋体" w:asciiTheme="minorHAnsi" w:hAnsiTheme="minorHAnsi" w:cstheme="minorBidi"/>
      <w:kern w:val="2"/>
      <w:sz w:val="24"/>
      <w:szCs w:val="24"/>
      <w:lang w:val="en-US" w:eastAsia="zh-CN" w:bidi="ar-SA"/>
    </w:rPr>
  </w:style>
  <w:style w:type="paragraph" w:styleId="3">
    <w:name w:val="heading 1"/>
    <w:basedOn w:val="1"/>
    <w:next w:val="1"/>
    <w:qFormat/>
    <w:uiPriority w:val="0"/>
    <w:pPr>
      <w:keepNext/>
      <w:keepLines/>
      <w:jc w:val="center"/>
      <w:outlineLvl w:val="0"/>
    </w:pPr>
    <w:rPr>
      <w:b/>
      <w:kern w:val="44"/>
      <w:sz w:val="44"/>
    </w:rPr>
  </w:style>
  <w:style w:type="paragraph" w:styleId="4">
    <w:name w:val="heading 2"/>
    <w:basedOn w:val="1"/>
    <w:next w:val="1"/>
    <w:unhideWhenUsed/>
    <w:qFormat/>
    <w:uiPriority w:val="0"/>
    <w:pPr>
      <w:keepNext/>
      <w:keepLines/>
      <w:outlineLvl w:val="1"/>
    </w:pPr>
    <w:rPr>
      <w:rFonts w:ascii="Arial" w:hAnsi="Arial" w:eastAsia="黑体"/>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99"/>
    <w:pPr>
      <w:ind w:right="26"/>
    </w:pPr>
    <w:rPr>
      <w:rFonts w:ascii="宋体"/>
      <w:szCs w:val="20"/>
    </w:rPr>
  </w:style>
  <w:style w:type="paragraph" w:styleId="5">
    <w:name w:val="Body Text"/>
    <w:basedOn w:val="1"/>
    <w:qFormat/>
    <w:uiPriority w:val="0"/>
    <w:rPr>
      <w:rFonts w:eastAsiaTheme="minorEastAsia"/>
      <w:sz w:val="21"/>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null3"/>
    <w:hidden/>
    <w:qFormat/>
    <w:uiPriority w:val="0"/>
    <w:rPr>
      <w:rFonts w:hint="eastAsia" w:asciiTheme="minorHAnsi" w:hAnsiTheme="minorHAnsi" w:eastAsiaTheme="minorEastAsia" w:cstheme="minorBidi"/>
      <w:lang w:val="en-US" w:eastAsia="zh-CN" w:bidi="mn-Mong-CN"/>
    </w:rPr>
  </w:style>
  <w:style w:type="paragraph" w:customStyle="1" w:styleId="10">
    <w:name w:val="Table Text"/>
    <w:basedOn w:val="1"/>
    <w:semiHidden/>
    <w:qFormat/>
    <w:uiPriority w:val="0"/>
    <w:rPr>
      <w:rFonts w:ascii="宋体" w:hAnsi="宋体" w:cs="宋体"/>
      <w:sz w:val="19"/>
      <w:szCs w:val="19"/>
      <w:lang w:eastAsia="en-US"/>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691</Words>
  <Characters>693</Characters>
  <Lines>0</Lines>
  <Paragraphs>0</Paragraphs>
  <TotalTime>0</TotalTime>
  <ScaleCrop>false</ScaleCrop>
  <LinksUpToDate>false</LinksUpToDate>
  <CharactersWithSpaces>736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2025-06-05T01:05:00Z</dcterms:created>
  <dc:creator>ZB</dc:creator>
  <cp:lastModifiedBy>中技-陕分</cp:lastModifiedBy>
  <dcterms:modified xsi:type="dcterms:W3CDTF">2026-07-15T01:41:51Z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CECEE9D380884BC499405C80083CD6F2_11</vt:lpwstr>
  </property>
  <property fmtid="{D5CDD505-2E9C-101B-9397-08002B2CF9AE}" pid="4" name="KSOTemplateDocerSaveRecord">
    <vt:lpwstr>eyJoZGlkIjoiOWUxNDk4ZDFmYjNmMjUyZDdmZTRjODI3MzUyZjg1MDgiLCJ1c2VySWQiOiI0MTk0MTM2MzYifQ==</vt:lpwstr>
  </property>
</Properties>
</file>