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版本号：CG-JMYC-2026-04420260802002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西乡二中教室照明灯具更换项目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CG-JMYC-2026-044</w:t>
      </w:r>
      <w:r>
        <w:br/>
      </w:r>
      <w:r>
        <w:br/>
      </w:r>
      <w:r>
        <w:br/>
      </w:r>
    </w:p>
    <w:p>
      <w:pPr>
        <w:pStyle w:val="null3"/>
        <w:jc w:val="center"/>
        <w:outlineLvl w:val="2"/>
      </w:pPr>
      <w:r>
        <w:rPr>
          <w:rFonts w:ascii="仿宋_GB2312" w:hAnsi="仿宋_GB2312" w:cs="仿宋_GB2312" w:eastAsia="仿宋_GB2312"/>
          <w:sz w:val="28"/>
          <w:b/>
        </w:rPr>
        <w:t>西乡县第二中学</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西乡县第二中学</w:t>
      </w:r>
      <w:r>
        <w:rPr>
          <w:rFonts w:ascii="仿宋_GB2312" w:hAnsi="仿宋_GB2312" w:cs="仿宋_GB2312" w:eastAsia="仿宋_GB2312"/>
        </w:rPr>
        <w:t>委托，拟对</w:t>
      </w:r>
      <w:r>
        <w:rPr>
          <w:rFonts w:ascii="仿宋_GB2312" w:hAnsi="仿宋_GB2312" w:cs="仿宋_GB2312" w:eastAsia="仿宋_GB2312"/>
        </w:rPr>
        <w:t>西乡二中教室照明灯具更换项目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西乡二中教室照明灯具更换项目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为改善教室照明环境，降低师生视觉疲劳，减少近视发生率，助力教学效率提升；更换教学楼教室日光灯为LED教室护眼灯及LED黑板灯一批。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采购包1（西乡二中教室照明灯具更换项目）：属于专门面向中小企业采购。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事业法⼈、其他组织或⾃然⼈，提供营业执照（事业单位须事业单位法⼈证、组织机构代码证等证明⽂件；其他组织应提供合法证明⽂件、⾃然⼈提供⾝份证明⽂件）</w:t>
      </w:r>
    </w:p>
    <w:p>
      <w:pPr>
        <w:pStyle w:val="null3"/>
      </w:pPr>
      <w:r>
        <w:rPr>
          <w:rFonts w:ascii="仿宋_GB2312" w:hAnsi="仿宋_GB2312" w:cs="仿宋_GB2312" w:eastAsia="仿宋_GB2312"/>
        </w:rPr>
        <w:t>2、投标授权代表：供应商应授权合法的授权代表参加投标全过程，其中法定代表⼈直接参加投标的，须出具法定代表⼈证明书及法⼈⾝份证，法定代表⼈授权代表参加投标的，须出具法定代表⼈授权书、授权代表本⼈⾝份证；</w:t>
      </w:r>
    </w:p>
    <w:p>
      <w:pPr>
        <w:pStyle w:val="null3"/>
      </w:pPr>
      <w:r>
        <w:rPr>
          <w:rFonts w:ascii="仿宋_GB2312" w:hAnsi="仿宋_GB2312" w:cs="仿宋_GB2312" w:eastAsia="仿宋_GB2312"/>
        </w:rPr>
        <w:t>3、政府采购供应商资格承诺函：供应商具有良好的商业信誉和健全的财务会计制度，具有履⾏合同所必需的设备和专业技术能⼒，具有依法缴纳税收和社会保障⾦的良好记录，参加本项⽬采购活动前三年内⽆重⼤违法活动记录。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李玉强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15209162235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室内照明灯具</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室内照明灯具</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开户名称：陕西⾦沐烨城项⽬管理有限公司</w:t>
            </w:r>
          </w:p>
          <w:p>
            <w:pPr>
              <w:pStyle w:val="null3"/>
            </w:pPr>
            <w:r>
              <w:rPr>
                <w:rFonts w:ascii="仿宋_GB2312" w:hAnsi="仿宋_GB2312" w:cs="仿宋_GB2312" w:eastAsia="仿宋_GB2312"/>
              </w:rPr>
              <w:t>开户银行：中国银⾏汉中陕西理⼯⼤学⽀⾏</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 代理服务费参照《招标代理服务收费管理暂⾏办法》 计价[2002]1980号和《国家发改委关于招标代理服务收费有关问题的通知》 （发改办价格〔2003〕 857号） ⽂件标准计算。 2、 缴费采⽤银⾏转账⽅式⼀次性交纳。 开⼾名称： 陕西⾦沐烨城项⽬管理有限公司 开⼾银⾏： 中国⼯商银⾏股份有限公司汉中北团结街⽀⾏ 银⾏账号： 2606050309200192113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西乡县第二中学</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西乡县第二中学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 响应⽂件、 采购合同及国家相关标准。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地址：陕西省汉中市西乡县西乡县汉⽩路西段中图⽯油东10⽶院内代理部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为改善教室照明环境，降低师生视觉疲劳，减少近视发生率，助力教学效率提升；更换教学楼教室日光灯为LED教室护眼灯及LED黑板灯一批。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黑板护眼灯</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教室护眼灯</w:t>
            </w:r>
          </w:p>
        </w:tc>
        <w:tc>
          <w:tcPr>
            <w:tcW w:type="dxa" w:w="755"/>
          </w:tcPr>
          <w:p>
            <w:pPr>
              <w:pStyle w:val="null3"/>
              <w:jc w:val="right"/>
            </w:pPr>
            <w:r>
              <w:rPr>
                <w:rFonts w:ascii="仿宋_GB2312" w:hAnsi="仿宋_GB2312" w:cs="仿宋_GB2312" w:eastAsia="仿宋_GB2312"/>
              </w:rPr>
              <w:t>900.00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标的名称：黑板护眼灯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1、LED黑板灯长度≥1200mm；为一体式灯具，灯具外形应平整、无凹陷和毛刺，焊缝无透光现象，表面均匀、光洁，无流挂现象。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2、功率</w:t>
            </w:r>
            <w:r>
              <w:rPr>
                <w:rFonts w:ascii="仿宋_GB2312" w:hAnsi="仿宋_GB2312" w:cs="仿宋_GB2312" w:eastAsia="仿宋_GB2312"/>
                <w:sz w:val="21"/>
              </w:rPr>
              <w:t>≥</w:t>
            </w:r>
            <w:r>
              <w:rPr>
                <w:rFonts w:ascii="仿宋_GB2312" w:hAnsi="仿宋_GB2312" w:cs="仿宋_GB2312" w:eastAsia="仿宋_GB2312"/>
                <w:sz w:val="21"/>
              </w:rPr>
              <w:t>36W，功率因数≥0.90。</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3、色温在4300-5300K区间，色容差≤5。</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4、显色指数≥95，特殊显色指数R9≥80。</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5、LED黑板灯的光生物安全性为无危险类，检验依据GB/T 20145-2006《灯和灯系统的光生物安全性》要求光生物安全性为无危险类。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6、蓝光危害等级为RG0。</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7、LED黑板灯电子件护眼闪烁频率要求，检验依据GB/T 31831-2015《LED室内照明应用技术要求》，一般照明的LED光源和灯具，其输出光的波形的波动深度在9Hz＜f≤3125Hz 限制FPF≤fx0.08/2.5；波动深度FPF≤1.5%。</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8、LED黑板灯C0-C180面的光学结构是对称配光光束角值85°±2°，C90-C270面的光学结构为非对称配光光束角值35°±2°。</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9、LED黑板灯采用全封闭式结构，灰尘、蚊虫、蜘蛛等不能进入灯具内部结构，外部易清理防护等级IP40。</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10、LED黑板灯依据GB/T 33721-2017 《LED灯具可靠性试验方法》中对应的方法验证，进行25000次开关通断后的光通量与初始光通量的比值≥98%。</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11、LED黑板灯骚扰电压应符合GB/T 31275-2020 （照明设备对人体电磁辐射的评价）的规定，LED 教室灯人体电磁辐射测试满足 20kHz-10MHz 感应电流密 度系数≤0.15。</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12、LED黑板灯依据GB/T 33721-2017 《LED灯具可靠性试验方法》中对应的方法验证，使用设计寿命≥50000小时。</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13、LED黑板灯通过GB/T 26572-2011《电子电气产品中限用物质限量要求》、GB/T 26125-2011《电子电气产品六种限用物质的检测方法》符合性认证。</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14、LED黑板灯通过光环境认证。</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15、LED黑板灯依据GB 40070-2021，获得《儿童青少年学习用品近视防控卫生要求》证书。</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16、LED 黑板灯须具备有效的国家强制性 CCC 认证证书，认证证书型号、规格须与投标产品一致。</w:t>
            </w:r>
          </w:p>
        </w:tc>
      </w:tr>
    </w:tbl>
    <w:p>
      <w:pPr>
        <w:pStyle w:val="null3"/>
      </w:pPr>
      <w:r>
        <w:rPr>
          <w:rFonts w:ascii="仿宋_GB2312" w:hAnsi="仿宋_GB2312" w:cs="仿宋_GB2312" w:eastAsia="仿宋_GB2312"/>
        </w:rPr>
        <w:t>标的名称：教室护眼灯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1、LED教室灯采用一体边框，LED灯具，灯具长度1200±10mm、宽度300±10mm ，经喷涂处理或氧化处理，无毛刺，光洁明亮。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2、功率</w:t>
            </w:r>
            <w:r>
              <w:rPr>
                <w:rFonts w:ascii="仿宋_GB2312" w:hAnsi="仿宋_GB2312" w:cs="仿宋_GB2312" w:eastAsia="仿宋_GB2312"/>
                <w:sz w:val="21"/>
              </w:rPr>
              <w:t>≥</w:t>
            </w:r>
            <w:r>
              <w:rPr>
                <w:rFonts w:ascii="仿宋_GB2312" w:hAnsi="仿宋_GB2312" w:cs="仿宋_GB2312" w:eastAsia="仿宋_GB2312"/>
                <w:sz w:val="21"/>
              </w:rPr>
              <w:t>36W，功率因数≥0.95。</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3、色温在4300-5300K区间，色容差≤5。</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4、显色指数≥95，特殊显色指数R9≥80。</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5、LED教室灯的光生物安全性为无危害类，检验依据GB/T 20145-2006《灯和灯系统的光生物安全性》要求光生物安全性为无危害类。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6、LED教室灯蓝光危害等级为RG0。</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7、LED教室灯电子件护眼闪烁频率要求，检验依据GB/T 31831-2015《LED室内照明应用技术要求》，一般照明的LED光源和灯具，其输出光的波形的波动深度在9Hz＜f≤3125Hz 限制FPF≤fx0.08/2.5；波动深度FPF≤1.5%。</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8、LED教室灯采用对称配光（根据国家标准的要求），光束角(半峰光束角)在C0-C180面及C90-C270面的值为85°±2°。</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9、灯具采用全封闭式结构，灰尘、蚊虫、蜘蛛等不能进入灯具内部结构，外部易清理防护等级IP40。</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10、依据GB/T 33721-2017 《LED灯具可靠性试验方法》中对应的方法验证，进行25000次开关通断后的光通量与初始光通量的比值≥98%。</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11、灯具骚扰电压应符合GB/T 31275-2020（照明设备对人体电磁辐射的评价）的规定，LED 教室灯人体电磁辐射测试满足20kHz-10MHz感应电流密度系数≤0.15。</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12、依据GB/T 33721-2017 《LED灯具可靠性试验方法》中对应的方法验证，使用设计寿命≥50000小时。</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13、LED教室灯至少依据但不限于&lt;GB7793&gt;&lt;GB/T 5700-2008&gt;标准满足课桌面平均照度≥300Lx，照度均匀度≥0.7，百勒克斯昭明功率密度1.8W/㎡/100lx，教室统一眩光等级UGR&lt;19。</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14、LED教室灯通过GB/T 26572-2011《电子电气产品中限用物质限量要求》、GB/T 26125-2011《电子电气产品六种限用物质的检测方法》符合性认证。</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15、LED教室灯通过光环境认证。</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16、LED教室灯依据GB 40070-2021，获得《儿童青少年学习用品近视防控卫生要求》证书。</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17、教室灯须具备有效的国家强制性 CCC 认证证书，认证证书型号、规格须与投标产品一致。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合同签订之日起12日内供货安装完毕。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西乡县第二中学校内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进度款，项目通过验收，达到付款条件起30个工作日内，支付合同总金额的100.0%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物运输到指定地点后， 按采购⽂件、 响应⽂件、 采购合同组织验收。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1、中标人负责原有灯具的拆除，线路改造，并将原灯具搬运至学校指定地点。不再产生任何费用。 2、样品(需随样品附带投标人样品接收地址信息便于样品退回):①、样品数量:黑板护眼灯及教室护眼灯各1盏。 ②、要求提供产品合格证明文件。 ③、评标委员会成员所推荐的中标候选单位第一名样品在开标结束后不予退还，以备后期签订合同及验收时使用。 备注:样品在投标文件提交截止时间前12个小时通过邮寄或现场送达的方式送至陕西省汉中市西乡县汉⽩路西段中图⽯油东10⽶院内代理部，联系人:陈强，联系电话:18392621855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事业法⼈、其他组织或⾃然⼈，提供营业执照（事业单位须事业单位法⼈证、组织机构代码证等证明⽂件；其他组织应提供合法证明⽂件、⾃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供应商应授权合法的授权代表参加投标全过程，其中法定代表⼈直接参加投标的，须出具法定代表⼈证明书及法⼈⾝份证，法定代表⼈授权代表参加投标的，须出具法定代表⼈授权书、授权代表本⼈⾝份证；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合同所必需的设备和专业技术能⼒，具有依法缴纳税收和社会保障⾦的良好记录，参加本项⽬采购活动前三年内⽆重⼤违法活动记录。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按照招标文件的要求缴纳，并提供了相关凭证。①以转账、支票、汇票等方式交纳的，须提供相关凭证扫描件以及基本存款账户开户信息扫描件；②以电子保函方式交纳的，须提供保函的扫描件。</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符合招标文件要求，无遗漏。</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投标文件的格式</w:t>
            </w:r>
          </w:p>
        </w:tc>
        <w:tc>
          <w:tcPr>
            <w:tcW w:type="dxa" w:w="3322"/>
          </w:tcPr>
          <w:p>
            <w:pPr>
              <w:pStyle w:val="null3"/>
            </w:pPr>
            <w:r>
              <w:rPr>
                <w:rFonts w:ascii="仿宋_GB2312" w:hAnsi="仿宋_GB2312" w:cs="仿宋_GB2312" w:eastAsia="仿宋_GB2312"/>
              </w:rPr>
              <w:t>按照投标文件格式编写。</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完全响应招标文件，且无任何采购人无法接受的附加条件。</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无法律、法规和招标文件规定的其他投标无效情形。</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号参数：全部响应并满足参数需求，否则为非实质性响应采购需求，按无效投标处理；2.▲号参数：允许负偏离，不满足一处扣1.5分，扣完为止。计分说明：技术参数共计33项，其中★号11项、▲号22项；以供应商提交的技术参数响应偏离表为计分依据；需提供符合技术参数要求的相关证明文件（不限于检测报告、技术白皮书、厂家产品说明等）未提供有效证明的，对应参数视为不满足；</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投标人提供所投产品的合法来源渠道证明文件（包括但不限于产品制造商授权或销售协议或代理协议或原厂授权或进货单等）提供所有产品的供货渠道证明材料：缺一项扣2分；未提供任何供货渠道证明材料的：本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企业资质认证</w:t>
            </w:r>
          </w:p>
        </w:tc>
        <w:tc>
          <w:tcPr>
            <w:tcW w:type="dxa" w:w="2492"/>
          </w:tcPr>
          <w:p>
            <w:pPr>
              <w:pStyle w:val="null3"/>
            </w:pPr>
            <w:r>
              <w:rPr>
                <w:rFonts w:ascii="仿宋_GB2312" w:hAnsi="仿宋_GB2312" w:cs="仿宋_GB2312" w:eastAsia="仿宋_GB2312"/>
              </w:rPr>
              <w:t>投标人或厂家具有ISO 9001质量管理体系认证。</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本项目免费质保期基础要求为3年。在满足基础要求的前提下，每增加半年免费质保期得1分，满分3分。 评审依据：投标人提供的质保承诺函，明确质保年限及质保范围。</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号）要求提供国家确定的认证机构出具的、处于有效期之内的节能产品和环境标志产品认证证书，每提供一个得1分，满分4分。 备注：以加盖投标人公章的证明材料为计分依据。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投标人须提供核心产品自2023年1月1日至投标截止时间有类似项目的业绩，每提供一份得2.5分,满分5分。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投标人针对本项目制定实施方案，包括①人员配置②岗位职责分工③运输安全管控措施。 二、赋分标准 上述 3 项内容，每项内容1.5分，满分4.5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一、 评审内容 投标人针对本项目制定安装方案，包括①备货与进场计划；②施工进度表及工期保障措施；③安装、调试及检测方案；④组织机构人员配置、协调能力等。 二、 赋分标准 上述 4 项内容，每项内容1.5分，满分6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 评审内容： 投标人针对本项目制定质量保证方案，内容包含：①质量保证体系及目标；②质量保证措施及承诺。 上述 2 项内容，每项内容1.5分，满分3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 评审内容 投标人提供本项目培训方案，包括①培训内容（日常使用操作、 维护与管理、常见故障的排除、紧急情况处理等）②培训计划、培训方式等。 二、赋分标准 上述 2 项内容，每项内容1分，满分2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 评审内容 投标人针对本项目制定售后服务方案，内容包含：①售后服务网点及售后服务人员安排；②各类故障响应时间、响应方式、处理方案；③备品配件供应保障。 二、 赋分标准： 上述 2 项内容，每项内容1.5分，满分4.5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经评审的投标价格最低的投标报价为评标基准价，其价格得分计为30分。其他投标人的价格得分统一按公式计算：投标报价得分=(评标基准价/经评审的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详见附件：技术方案及投标人认为需要提交的其他内容.docx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