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版本号：ZHZB-2026-5120260629001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我要去延安—革命文物融入大思政课主题展览高校巡展活动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ZHZB-2026-51</w:t>
      </w:r>
      <w:r>
        <w:br/>
      </w:r>
      <w:r>
        <w:br/>
      </w:r>
      <w:r>
        <w:br/>
      </w:r>
    </w:p>
    <w:p>
      <w:pPr>
        <w:pStyle w:val="null3"/>
        <w:jc w:val="center"/>
        <w:outlineLvl w:val="2"/>
      </w:pPr>
      <w:r>
        <w:rPr>
          <w:rFonts w:ascii="仿宋_GB2312" w:hAnsi="仿宋_GB2312" w:cs="仿宋_GB2312" w:eastAsia="仿宋_GB2312"/>
          <w:sz w:val="28"/>
          <w:b/>
        </w:rPr>
        <w:t>八路军西安办事处纪念馆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八路军西安办事处纪念馆</w:t>
      </w:r>
      <w:r>
        <w:rPr>
          <w:rFonts w:ascii="仿宋_GB2312" w:hAnsi="仿宋_GB2312" w:cs="仿宋_GB2312" w:eastAsia="仿宋_GB2312"/>
        </w:rPr>
        <w:t>委托，拟对</w:t>
      </w:r>
      <w:r>
        <w:rPr>
          <w:rFonts w:ascii="仿宋_GB2312" w:hAnsi="仿宋_GB2312" w:cs="仿宋_GB2312" w:eastAsia="仿宋_GB2312"/>
        </w:rPr>
        <w:t>我要去延安—革命文物融入大思政课主题展览高校巡展活动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我要去延安—革命文物融入大思政课主题展览高校巡展活动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本项目为全面展示抗日战争时期中国共产党对经济体系发展的高瞻远瞩，同时提升纪念馆的社会影响力与公众认知度，创新红色文化传播形式，扩大红色金融的认知覆盖面。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采购包1（我要去延安—革命文物融入大思政课主题展览高校巡展活动）：属于专门面向小微企业采购。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八路军西安办事处纪念馆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西安市新城区北新街七贤庄1号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王路平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029-87447518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的规定服务类标准。按上述标准计算的代理服务费低于人民币捌仟元按照捌仟元（￥8000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八路军西安办事处纪念馆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八路军西安办事处纪念馆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八路军西安办事处纪念馆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本项目为全面展示抗日战争时期中国共产党对经济体系发展的高瞻远瞩，同时提升纪念馆的社会影响力与公众认知度，创新红色文化传播形式，扩大红色金融的认知覆盖面。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馆藏红色金融文物展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标的名称：馆藏红色金融文物展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p>
            <w:pPr>
              <w:pStyle w:val="null3"/>
              <w:ind w:firstLine="400"/>
              <w:jc w:val="both"/>
            </w:pPr>
            <w:r>
              <w:rPr>
                <w:rFonts w:ascii="仿宋_GB2312" w:hAnsi="仿宋_GB2312" w:cs="仿宋_GB2312" w:eastAsia="仿宋_GB2312"/>
                <w:sz w:val="20"/>
              </w:rPr>
              <w:t>1、展区设计服务</w:t>
            </w:r>
          </w:p>
          <w:p>
            <w:pPr>
              <w:pStyle w:val="null3"/>
              <w:ind w:firstLine="400"/>
              <w:jc w:val="both"/>
            </w:pPr>
            <w:r>
              <w:rPr>
                <w:rFonts w:ascii="仿宋_GB2312" w:hAnsi="仿宋_GB2312" w:cs="仿宋_GB2312" w:eastAsia="仿宋_GB2312"/>
                <w:sz w:val="20"/>
              </w:rPr>
              <w:t>提供专业全面的整体设计方案及实施方案，包含但不限于：展览环境空间设计、主题氛围设计、陈展设计、宣传物料设计、多媒体展示方案设计。</w:t>
            </w:r>
          </w:p>
          <w:p>
            <w:pPr>
              <w:pStyle w:val="null3"/>
              <w:ind w:firstLine="400"/>
              <w:jc w:val="both"/>
            </w:pPr>
            <w:r>
              <w:rPr>
                <w:rFonts w:ascii="仿宋_GB2312" w:hAnsi="仿宋_GB2312" w:cs="仿宋_GB2312" w:eastAsia="仿宋_GB2312"/>
                <w:sz w:val="20"/>
              </w:rPr>
              <w:t>2、展览物料制作</w:t>
            </w:r>
          </w:p>
          <w:p>
            <w:pPr>
              <w:pStyle w:val="null3"/>
              <w:ind w:firstLine="400"/>
              <w:jc w:val="both"/>
            </w:pPr>
            <w:r>
              <w:rPr>
                <w:rFonts w:ascii="仿宋_GB2312" w:hAnsi="仿宋_GB2312" w:cs="仿宋_GB2312" w:eastAsia="仿宋_GB2312"/>
                <w:sz w:val="20"/>
              </w:rPr>
              <w:t>包含但不限于：展墙展板制作、多媒体影片制作、墙柜展柜制作、仿真展品制作、海报及宣传册制作、艺术造型等。</w:t>
            </w:r>
          </w:p>
          <w:p>
            <w:pPr>
              <w:pStyle w:val="null3"/>
              <w:ind w:firstLine="400"/>
              <w:jc w:val="both"/>
            </w:pPr>
            <w:r>
              <w:rPr>
                <w:rFonts w:ascii="仿宋_GB2312" w:hAnsi="仿宋_GB2312" w:cs="仿宋_GB2312" w:eastAsia="仿宋_GB2312"/>
                <w:sz w:val="20"/>
              </w:rPr>
              <w:t>3、展区布展</w:t>
            </w:r>
          </w:p>
          <w:p>
            <w:pPr>
              <w:pStyle w:val="null3"/>
              <w:ind w:firstLine="400"/>
              <w:jc w:val="both"/>
            </w:pPr>
            <w:r>
              <w:rPr>
                <w:rFonts w:ascii="仿宋_GB2312" w:hAnsi="仿宋_GB2312" w:cs="仿宋_GB2312" w:eastAsia="仿宋_GB2312"/>
                <w:sz w:val="20"/>
              </w:rPr>
              <w:t>包含但不限于：布展基础制作、展墙美工制作、多媒体设备采购安装及专业灯光采购安装等布展服务内容。</w:t>
            </w:r>
          </w:p>
          <w:p>
            <w:pPr>
              <w:pStyle w:val="null3"/>
              <w:ind w:firstLine="400"/>
              <w:jc w:val="both"/>
            </w:pPr>
            <w:r>
              <w:rPr>
                <w:rFonts w:ascii="仿宋_GB2312" w:hAnsi="仿宋_GB2312" w:cs="仿宋_GB2312" w:eastAsia="仿宋_GB2312"/>
                <w:sz w:val="20"/>
              </w:rPr>
              <w:t>4、展览配套</w:t>
            </w:r>
          </w:p>
          <w:p>
            <w:pPr>
              <w:pStyle w:val="null3"/>
              <w:ind w:firstLine="400"/>
              <w:jc w:val="both"/>
            </w:pPr>
            <w:r>
              <w:rPr>
                <w:rFonts w:ascii="仿宋_GB2312" w:hAnsi="仿宋_GB2312" w:cs="仿宋_GB2312" w:eastAsia="仿宋_GB2312"/>
                <w:sz w:val="20"/>
              </w:rPr>
              <w:t>数字展览、专家导展、宣传物料制作。</w:t>
            </w:r>
          </w:p>
          <w:p>
            <w:pPr>
              <w:pStyle w:val="null3"/>
              <w:ind w:firstLine="400"/>
              <w:jc w:val="both"/>
            </w:pPr>
            <w:r>
              <w:rPr>
                <w:rFonts w:ascii="仿宋_GB2312" w:hAnsi="仿宋_GB2312" w:cs="仿宋_GB2312" w:eastAsia="仿宋_GB2312"/>
                <w:sz w:val="20"/>
              </w:rPr>
              <w:t>5、服务内容清单如下：</w:t>
            </w:r>
          </w:p>
          <w:tbl>
            <w:tblPr>
              <w:tblBorders>
                <w:top w:val="none" w:color="000000" w:sz="4"/>
                <w:left w:val="none" w:color="000000" w:sz="4"/>
                <w:bottom w:val="none" w:color="000000" w:sz="4"/>
                <w:right w:val="none" w:color="000000" w:sz="4"/>
                <w:insideH w:val="none"/>
                <w:insideV w:val="none"/>
              </w:tblBorders>
            </w:tblPr>
            <w:tblGrid>
              <w:gridCol w:w="204"/>
              <w:gridCol w:w="715"/>
              <w:gridCol w:w="1634"/>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服务项目</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内容说明</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w:t>
                  </w:r>
                </w:p>
              </w:tc>
              <w:tc>
                <w:tcPr>
                  <w:tcW w:type="dxa" w:w="23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展厅基础改造</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墙体改造、隔断、门窗拆建</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为适应新展线布局，需进行局部墙体拆改、新建隔断等。</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天花、灯光基础</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吊顶改造、安装轨道射灯基础线路及灯轨。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w:t>
                  </w:r>
                </w:p>
              </w:tc>
              <w:tc>
                <w:tcPr>
                  <w:tcW w:type="dxa" w:w="23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陈展制作与实施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场景制作与艺术造型</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“陕甘宁边区银行”“马背银行”等场景艺术设计、微缩模型、雕塑制作、雕刻等。</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展览图文版面制作</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所有说明牌、单元板、前言结语、大标题文字的高精度写真、不锈钢、焗漆水晶字、定制</w:t>
                  </w:r>
                  <w:r>
                    <w:rPr>
                      <w:rFonts w:ascii="仿宋_GB2312" w:hAnsi="仿宋_GB2312" w:cs="仿宋_GB2312" w:eastAsia="仿宋_GB2312"/>
                      <w:sz w:val="20"/>
                    </w:rPr>
                    <w:t>UV宣绒布、装裱及安装。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多媒体互动装置</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1.人体感应音响：-10dB≤10°最大声压级80dB，有效距离≤10米；</w:t>
                  </w:r>
                </w:p>
                <w:p>
                  <w:pPr>
                    <w:pStyle w:val="null3"/>
                    <w:jc w:val="left"/>
                  </w:pPr>
                  <w:r>
                    <w:rPr>
                      <w:rFonts w:ascii="仿宋_GB2312" w:hAnsi="仿宋_GB2312" w:cs="仿宋_GB2312" w:eastAsia="仿宋_GB2312"/>
                      <w:sz w:val="20"/>
                    </w:rPr>
                    <w:t>2.RF感应互动装置：响应时间</w:t>
                  </w:r>
                  <w:r>
                    <w:rPr>
                      <w:rFonts w:ascii="仿宋_GB2312" w:hAnsi="仿宋_GB2312" w:cs="仿宋_GB2312" w:eastAsia="仿宋_GB2312"/>
                      <w:sz w:val="20"/>
                    </w:rPr>
                    <w:t>：&lt;100ms（从刷卡到信号输出），支持多卡防冲突，高速读写器群读速度可达65张/秒以上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3.触摸一体机：≥49寸壁挂触控一体机，多点红外触控，分辨率：≥1920*1080，配置：≥I5/8G/SSD120G固态硬盘；</w:t>
                  </w:r>
                </w:p>
                <w:p>
                  <w:pPr>
                    <w:pStyle w:val="null3"/>
                    <w:jc w:val="left"/>
                  </w:pPr>
                  <w:r>
                    <w:rPr>
                      <w:rFonts w:ascii="仿宋_GB2312" w:hAnsi="仿宋_GB2312" w:cs="仿宋_GB2312" w:eastAsia="仿宋_GB2312"/>
                      <w:sz w:val="20"/>
                    </w:rPr>
                    <w:t>4.软硬件集成互动程序制作：1、定制开发资料收集整理细化；2、风格设计/UI设计制作；3、唤醒触发及响应方式设计制作；4、程序框架制作；5、互动内容制作。</w:t>
                  </w:r>
                </w:p>
                <w:p>
                  <w:pPr>
                    <w:pStyle w:val="null3"/>
                    <w:jc w:val="left"/>
                  </w:pPr>
                  <w:r>
                    <w:rPr>
                      <w:rFonts w:ascii="仿宋_GB2312" w:hAnsi="仿宋_GB2312" w:cs="仿宋_GB2312" w:eastAsia="仿宋_GB2312"/>
                      <w:sz w:val="20"/>
                    </w:rPr>
                    <w:t>（投影仪由采购人提供）</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w:t>
                  </w:r>
                </w:p>
              </w:tc>
              <w:tc>
                <w:tcPr>
                  <w:tcW w:type="dxa" w:w="23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展柜制作与采购</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定制墙柜</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定制约</w:t>
                  </w:r>
                  <w:r>
                    <w:rPr>
                      <w:rFonts w:ascii="仿宋_GB2312" w:hAnsi="仿宋_GB2312" w:cs="仿宋_GB2312" w:eastAsia="仿宋_GB2312"/>
                      <w:sz w:val="20"/>
                    </w:rPr>
                    <w:t>10-15个（根据最终设计）定制化展柜。</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w:t>
                  </w:r>
                </w:p>
              </w:tc>
              <w:tc>
                <w:tcPr>
                  <w:tcW w:type="dxa" w:w="23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电路与照明系统</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灯具采购与安装</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采购并安装博物馆级低紫外线</w:t>
                  </w:r>
                  <w:r>
                    <w:rPr>
                      <w:rFonts w:ascii="仿宋_GB2312" w:hAnsi="仿宋_GB2312" w:cs="仿宋_GB2312" w:eastAsia="仿宋_GB2312"/>
                      <w:sz w:val="20"/>
                    </w:rPr>
                    <w:t>LED射灯、环境照明、灯带等。</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强弱电布线</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多媒体、灯光、安防的电路布线及开关插座安装。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w:t>
                  </w:r>
                </w:p>
              </w:tc>
              <w:tc>
                <w:tcPr>
                  <w:tcW w:type="dxa" w:w="23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配套服务项目</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专家导览</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拍摄专家导览（拍摄专家讲解展览视频，时长不小于</w:t>
                  </w:r>
                  <w:r>
                    <w:rPr>
                      <w:rFonts w:ascii="仿宋_GB2312" w:hAnsi="仿宋_GB2312" w:cs="仿宋_GB2312" w:eastAsia="仿宋_GB2312"/>
                      <w:sz w:val="20"/>
                    </w:rPr>
                    <w:t>1小时）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线上虚拟展览制作</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基于</w:t>
                  </w:r>
                  <w:r>
                    <w:rPr>
                      <w:rFonts w:ascii="仿宋_GB2312" w:hAnsi="仿宋_GB2312" w:cs="仿宋_GB2312" w:eastAsia="仿宋_GB2312"/>
                      <w:sz w:val="20"/>
                    </w:rPr>
                    <w:t>720°动态全景技术，制作线上数字展厅，实现永久云上看展。</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宣传物料</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包含设计排版</w:t>
                  </w:r>
                  <w:r>
                    <w:rPr>
                      <w:rFonts w:ascii="仿宋_GB2312" w:hAnsi="仿宋_GB2312" w:cs="仿宋_GB2312" w:eastAsia="仿宋_GB2312"/>
                      <w:sz w:val="20"/>
                    </w:rPr>
                    <w:t>、材料费、印刷费、工艺装订</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w:t>
                  </w:r>
                </w:p>
              </w:tc>
              <w:tc>
                <w:tcPr>
                  <w:tcW w:type="dxa" w:w="23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设计</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展览整体设计与深化</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包含方案深化、执行落地图、内容平面设计、效果图等全部设计。</w:t>
                  </w:r>
                </w:p>
              </w:tc>
            </w:tr>
          </w:tbl>
          <w:p>
            <w:pPr>
              <w:pStyle w:val="null3"/>
              <w:jc w:val="both"/>
            </w:pPr>
            <w:r>
              <w:rPr>
                <w:rFonts w:ascii="仿宋_GB2312" w:hAnsi="仿宋_GB2312" w:cs="仿宋_GB2312" w:eastAsia="仿宋_GB2312"/>
                <w:sz w:val="20"/>
                <w:b/>
              </w:rPr>
              <w:t>二、服务要求</w:t>
            </w:r>
          </w:p>
          <w:p>
            <w:pPr>
              <w:pStyle w:val="null3"/>
              <w:ind w:firstLine="400"/>
              <w:jc w:val="both"/>
            </w:pPr>
            <w:r>
              <w:rPr>
                <w:rFonts w:ascii="仿宋_GB2312" w:hAnsi="仿宋_GB2312" w:cs="仿宋_GB2312" w:eastAsia="仿宋_GB2312"/>
                <w:sz w:val="20"/>
              </w:rPr>
              <w:t>1、展示内容要求：以1921—1948年时间轴为脉络，全面回顾抗日战争时期，面对强敌环伺与经济封锁，中国共产党高瞻远瞩，在陕甘宁边区及各敌后根据地创建红色金融体系。从边区银行的建立到货币的发行，从“马背银行”的转战到生产贷款的普惠，红色金融以独立自主、服务人民为内核，在战火中筑牢经济防线，打破日伪经济掠夺，保障军需民用，支撑持久抗战，书写了“枪杆子”与“钱袋子”协同制胜的壮阔史诗。</w:t>
            </w:r>
          </w:p>
          <w:p>
            <w:pPr>
              <w:pStyle w:val="null3"/>
              <w:ind w:firstLine="400"/>
              <w:jc w:val="both"/>
            </w:pPr>
            <w:r>
              <w:rPr>
                <w:rFonts w:ascii="仿宋_GB2312" w:hAnsi="仿宋_GB2312" w:cs="仿宋_GB2312" w:eastAsia="仿宋_GB2312"/>
                <w:sz w:val="20"/>
              </w:rPr>
              <w:t>展示内容分为，第一单元铸基</w:t>
            </w:r>
            <w:r>
              <w:rPr>
                <w:rFonts w:ascii="仿宋_GB2312" w:hAnsi="仿宋_GB2312" w:cs="仿宋_GB2312" w:eastAsia="仿宋_GB2312"/>
                <w:sz w:val="20"/>
              </w:rPr>
              <w:t>——陕甘宁边区金融奠基，第二单元燎原——敌后根据地金融抗争，第三单元融通——八路军办事处经济枢纽为三大主线。以抗战金融发展、创边区银行、再筑金融体系、启货币秘战、保军需供给、行经济活动展示历史沿革、馆藏建设、陈列展览、公共教育、学术研究、管理创新、未来展望七大重点。</w:t>
            </w:r>
          </w:p>
          <w:p>
            <w:pPr>
              <w:pStyle w:val="null3"/>
              <w:ind w:firstLine="400"/>
              <w:jc w:val="both"/>
            </w:pPr>
            <w:r>
              <w:rPr>
                <w:rFonts w:ascii="仿宋_GB2312" w:hAnsi="仿宋_GB2312" w:cs="仿宋_GB2312" w:eastAsia="仿宋_GB2312"/>
                <w:sz w:val="20"/>
              </w:rPr>
              <w:t>2、展陈形式要求：采用“实物+图文+多媒体”结合模式，拟设置室外前言序厅+主题展区“铸基——陕甘宁边区金融奠基”“燎原——敌后根据地金融抗争”“融通——八路军办事处经济枢纽”+互动知识展区“抗币防伪知识”“互动知识”。三个主体篇章，共六部分，设计需在符合场馆总体基调的基础上，有创新有亮点。</w:t>
            </w:r>
          </w:p>
          <w:p>
            <w:pPr>
              <w:pStyle w:val="null3"/>
              <w:ind w:firstLine="400"/>
              <w:jc w:val="both"/>
            </w:pPr>
            <w:r>
              <w:rPr>
                <w:rFonts w:ascii="仿宋_GB2312" w:hAnsi="仿宋_GB2312" w:cs="仿宋_GB2312" w:eastAsia="仿宋_GB2312"/>
                <w:sz w:val="20"/>
              </w:rPr>
              <w:t>3、结构安全要求：展体主体框架采用钢结构或铝合金材质，钢结构必须防锈处理，结构强度、承重性能满足设计及现场使用要求，安装牢固无松动、无晃动、无安全隐患，符合建筑结构安全相关规范标准。</w:t>
            </w:r>
          </w:p>
          <w:p>
            <w:pPr>
              <w:pStyle w:val="null3"/>
              <w:ind w:firstLine="400"/>
              <w:jc w:val="both"/>
            </w:pPr>
            <w:r>
              <w:rPr>
                <w:rFonts w:ascii="仿宋_GB2312" w:hAnsi="仿宋_GB2312" w:cs="仿宋_GB2312" w:eastAsia="仿宋_GB2312"/>
                <w:sz w:val="20"/>
              </w:rPr>
              <w:t>4、制作工艺要求：所有制作材料符合国家环保及安全标准，户外展项采用耐候、防水、防晒、防腐材料，工艺精细，画面高清、色彩持久，造型装置还原设计效果，无开裂、变形、褪色、脱落等质量问题。</w:t>
            </w:r>
          </w:p>
          <w:p>
            <w:pPr>
              <w:pStyle w:val="null3"/>
              <w:ind w:firstLine="400"/>
              <w:jc w:val="both"/>
            </w:pPr>
            <w:r>
              <w:rPr>
                <w:rFonts w:ascii="仿宋_GB2312" w:hAnsi="仿宋_GB2312" w:cs="仿宋_GB2312" w:eastAsia="仿宋_GB2312"/>
                <w:sz w:val="20"/>
              </w:rPr>
              <w:t>5、展区面积约187平方米，其中：室外展区80㎡：16m*5.3m，高3m；室内主题展区78㎡：15.6m*5m，吊顶高度3m；室内互动知识展区29㎡：5.75m*5m，吊顶高度3m。</w:t>
            </w:r>
          </w:p>
          <w:p>
            <w:pPr>
              <w:pStyle w:val="null3"/>
              <w:ind w:firstLine="400"/>
              <w:jc w:val="both"/>
            </w:pPr>
            <w:r>
              <w:rPr>
                <w:rFonts w:ascii="仿宋_GB2312" w:hAnsi="仿宋_GB2312" w:cs="仿宋_GB2312" w:eastAsia="仿宋_GB2312"/>
                <w:sz w:val="20"/>
              </w:rPr>
              <w:t>6、服务保障要求：供应商需按约定服务期限完成全部工作，展期内专人负责对接、维护，出现问题及时响应处置；撤场后彻底清理场地，无撤场遗留问题，全程满足采购人现场管理要求。</w:t>
            </w:r>
          </w:p>
          <w:p>
            <w:pPr>
              <w:pStyle w:val="null3"/>
              <w:ind w:firstLine="400"/>
              <w:jc w:val="both"/>
            </w:pPr>
            <w:r>
              <w:rPr>
                <w:rFonts w:ascii="仿宋_GB2312" w:hAnsi="仿宋_GB2312" w:cs="仿宋_GB2312" w:eastAsia="仿宋_GB2312"/>
                <w:sz w:val="20"/>
              </w:rPr>
              <w:t>7、供应商负责展览期间全程运维值守，定期巡检展陈设施；遇突发问题及时响应、限时整改，保障展览安全正常运行，杜绝安全隐患。</w:t>
            </w:r>
          </w:p>
          <w:p>
            <w:pPr>
              <w:pStyle w:val="null3"/>
              <w:ind w:firstLine="400"/>
              <w:jc w:val="both"/>
            </w:pPr>
            <w:r>
              <w:rPr>
                <w:rFonts w:ascii="仿宋_GB2312" w:hAnsi="仿宋_GB2312" w:cs="仿宋_GB2312" w:eastAsia="仿宋_GB2312"/>
                <w:sz w:val="20"/>
              </w:rPr>
              <w:t>8、项目整体保修要求：供应商自项目验收合格之日起1年内，除了质量问题的修复，保修内容还应包括设备物资的维护保养。包括定期巡检、设备维护、清洁保养等，以确保项目的长期稳定运行。在保修期间，还应提供技术支持，包括解答业主的疑问、提供技术咨询和培训等。</w:t>
            </w:r>
          </w:p>
          <w:p>
            <w:pPr>
              <w:pStyle w:val="null3"/>
              <w:jc w:val="both"/>
            </w:pPr>
            <w:r>
              <w:rPr>
                <w:rFonts w:ascii="仿宋_GB2312" w:hAnsi="仿宋_GB2312" w:cs="仿宋_GB2312" w:eastAsia="仿宋_GB2312"/>
                <w:sz w:val="20"/>
                <w:b/>
              </w:rPr>
              <w:t>三、服务、产品（如有）执行的主要技术标准：</w:t>
            </w:r>
          </w:p>
          <w:p>
            <w:pPr>
              <w:pStyle w:val="null3"/>
              <w:ind w:firstLine="400"/>
              <w:jc w:val="both"/>
            </w:pPr>
            <w:r>
              <w:rPr>
                <w:rFonts w:ascii="仿宋_GB2312" w:hAnsi="仿宋_GB2312" w:cs="仿宋_GB2312" w:eastAsia="仿宋_GB2312"/>
                <w:sz w:val="20"/>
              </w:rPr>
              <w:t>服务质量需达到中华人民共和国以及省、市或行业的</w:t>
            </w:r>
            <w:r>
              <w:rPr>
                <w:rFonts w:ascii="仿宋_GB2312" w:hAnsi="仿宋_GB2312" w:cs="仿宋_GB2312" w:eastAsia="仿宋_GB2312"/>
                <w:sz w:val="20"/>
              </w:rPr>
              <w:t>“合格”标准或规范的要求。</w:t>
            </w:r>
          </w:p>
          <w:p>
            <w:pPr>
              <w:pStyle w:val="null3"/>
              <w:jc w:val="both"/>
            </w:pPr>
            <w:r>
              <w:rPr>
                <w:rFonts w:ascii="仿宋_GB2312" w:hAnsi="仿宋_GB2312" w:cs="仿宋_GB2312" w:eastAsia="仿宋_GB2312"/>
                <w:sz w:val="20"/>
                <w:b/>
              </w:rPr>
              <w:t>四、本项目所属行业：</w:t>
            </w:r>
            <w:r>
              <w:rPr>
                <w:rFonts w:ascii="仿宋_GB2312" w:hAnsi="仿宋_GB2312" w:cs="仿宋_GB2312" w:eastAsia="仿宋_GB2312"/>
                <w:sz w:val="20"/>
              </w:rPr>
              <w:t>其他未列明行业（从业人员</w:t>
            </w:r>
            <w:r>
              <w:rPr>
                <w:rFonts w:ascii="仿宋_GB2312" w:hAnsi="仿宋_GB2312" w:cs="仿宋_GB2312" w:eastAsia="仿宋_GB2312"/>
                <w:sz w:val="20"/>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合同签订后50日历天内完成本项目约定的全部工作，展期12个月。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其他，完成全部服务内容并验收合格经结算评审后7个工作日内，支付至结算金额的100%，达到付款条件起7个工作日内，支付合同总金额的40.0%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二、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响应文件上法定代表人（单位负责人）或其委托代理人的签名、盖章齐全符合磋商文件的要求。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一、评审内容：供应商针对本项目的理解程度，内容包含：①项目背景、内容及意义的理解；②项目重点难点分析及应对措施。 二、评审标准：1、完整性：方案（内容）非常全面，对评审内容中的各项要求有详细描述；2、针对性：方案（内容）能够紧扣项目实际情况，内容科学合理。 三、赋分标准（满分4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一、评审内容：供应商针对本项目提供完善的设计方案，内容包含：①馆内展览设计理念；②馆内展览空间规划、展线设计；③馆内展览设计风格及深化设计方案；④宣传物料设计。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内容平面设计图</w:t>
            </w:r>
          </w:p>
        </w:tc>
        <w:tc>
          <w:tcPr>
            <w:tcW w:type="dxa" w:w="2492"/>
          </w:tcPr>
          <w:p>
            <w:pPr>
              <w:pStyle w:val="null3"/>
            </w:pPr>
            <w:r>
              <w:rPr>
                <w:rFonts w:ascii="仿宋_GB2312" w:hAnsi="仿宋_GB2312" w:cs="仿宋_GB2312" w:eastAsia="仿宋_GB2312"/>
              </w:rPr>
              <w:t>内容平面设计图：≥10张得5分，每少1张扣0.5分； 注：每一张内容平面设计图必须为本项目专属设计，匹配采购需求，否则将被视为“未提供”而扣分。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设计效果图</w:t>
            </w:r>
          </w:p>
        </w:tc>
        <w:tc>
          <w:tcPr>
            <w:tcW w:type="dxa" w:w="2492"/>
          </w:tcPr>
          <w:p>
            <w:pPr>
              <w:pStyle w:val="null3"/>
            </w:pPr>
            <w:r>
              <w:rPr>
                <w:rFonts w:ascii="仿宋_GB2312" w:hAnsi="仿宋_GB2312" w:cs="仿宋_GB2312" w:eastAsia="仿宋_GB2312"/>
              </w:rPr>
              <w:t>各角度设计效果图 室外：≥4张得2分，每少1张扣0.5分； 主题厅：≥10张得5分，每少1张扣0.5分； 互动知识厅：≥2张得1分，每少1张扣0.5分； 注：每一张效果图必须为本项目专属设计，匹配采购需求，否则将被视为“未提供”而扣分。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项目实施方案，内容包含：①布展总体实施方案；②展厅基础改造方案；③多媒体系统布置及数字化展示方案；④场景搭建方案；⑤陈列布展方案；⑥专家导展视频拍摄及制作方案；⑦展览物料（含宣传物料）制作方案；⑧项目进度安排及进度、质量保障方案。 二、评审标准：1、完整性：方案（内容）非常全面，对评审内容中的各项要求有详细描述；2、可实施性：切合本项目实际情况，提出步骤清晰、合理的方案（内容）；3、针对性：方案（内容）能够紧扣项目实际情况，内容科学合理。 三、赋分标准（满分24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多媒体设备配置方案</w:t>
            </w:r>
          </w:p>
        </w:tc>
        <w:tc>
          <w:tcPr>
            <w:tcW w:type="dxa" w:w="2492"/>
          </w:tcPr>
          <w:p>
            <w:pPr>
              <w:pStyle w:val="null3"/>
            </w:pPr>
            <w:r>
              <w:rPr>
                <w:rFonts w:ascii="仿宋_GB2312" w:hAnsi="仿宋_GB2312" w:cs="仿宋_GB2312" w:eastAsia="仿宋_GB2312"/>
              </w:rPr>
              <w:t>供应商根据采购需求配备多媒体设备：①人体感应音响；②RF感应互动装置；③触摸一体机；提供的设备完全满足采购需求参数要求得6分，每有一种设备不满足要求或未提供扣2分，扣完为止。 注：提供证明材料，包括但不限于设备合格证书、检验报告或官网参数介绍等有效证明文件，提供任意一种形式即可。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团队人员配备1</w:t>
            </w:r>
          </w:p>
        </w:tc>
        <w:tc>
          <w:tcPr>
            <w:tcW w:type="dxa" w:w="2492"/>
          </w:tcPr>
          <w:p>
            <w:pPr>
              <w:pStyle w:val="null3"/>
            </w:pPr>
            <w:r>
              <w:rPr>
                <w:rFonts w:ascii="仿宋_GB2312" w:hAnsi="仿宋_GB2312" w:cs="仿宋_GB2312" w:eastAsia="仿宋_GB2312"/>
              </w:rPr>
              <w:t>拟派项目负责人：具有设计相关高级（及以上）职称得3分，具有设计相关中级职称得1分，其他不得分。 注：证明材料以职称证书为准。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团队人员配备2</w:t>
            </w:r>
          </w:p>
        </w:tc>
        <w:tc>
          <w:tcPr>
            <w:tcW w:type="dxa" w:w="2492"/>
          </w:tcPr>
          <w:p>
            <w:pPr>
              <w:pStyle w:val="null3"/>
            </w:pPr>
            <w:r>
              <w:rPr>
                <w:rFonts w:ascii="仿宋_GB2312" w:hAnsi="仿宋_GB2312" w:cs="仿宋_GB2312" w:eastAsia="仿宋_GB2312"/>
              </w:rPr>
              <w:t>拟派项目团队人员（项目负责人除外）：服务团队人数不少于10人，得5分，少于10人得0分；其中具有本科及以上学历的，每有1人，加1分，最高加4分。 注：学历证明材料以毕业证书为准。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服务响应时间承诺</w:t>
            </w:r>
          </w:p>
        </w:tc>
        <w:tc>
          <w:tcPr>
            <w:tcW w:type="dxa" w:w="2492"/>
          </w:tcPr>
          <w:p>
            <w:pPr>
              <w:pStyle w:val="null3"/>
            </w:pPr>
            <w:r>
              <w:rPr>
                <w:rFonts w:ascii="仿宋_GB2312" w:hAnsi="仿宋_GB2312" w:cs="仿宋_GB2312" w:eastAsia="仿宋_GB2312"/>
              </w:rPr>
              <w:t>（1）供应商承诺接到采购单位通知后15分钟内响应，1小时内到达采购单位提供服务的得10分； （2）供应商承诺接到采购单位通知后20分钟内响应，3小时内到达采购单位提供服务的得5分； （3）供应商承诺接到采购单位通知后25分钟内响应，5小时内到达采购单位提供服务的得1分； （4）供应商承诺接到采购单位通知后超过25分钟响应，或超过5小时到达采购单位提供服务的不得分。 注：提供承诺书(格式自拟)，加盖公章。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供应商提供2023年7月1日至今完成过类似项目的业绩。每提供一份得3分，最多得9分。业绩证明以加盖单位公章的合同复印件为准，日期以合同签订日期为准。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