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版本号：政采-渭南市-2026-0162720260715001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太里一级站泵站设备应急维修工程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政采-渭南市-2026-01627</w:t>
      </w:r>
      <w:r>
        <w:br/>
      </w:r>
      <w:r>
        <w:br/>
      </w:r>
      <w:r>
        <w:br/>
      </w:r>
    </w:p>
    <w:p>
      <w:pPr>
        <w:pStyle w:val="null3"/>
        <w:jc w:val="center"/>
        <w:outlineLvl w:val="2"/>
      </w:pPr>
      <w:r>
        <w:rPr>
          <w:rFonts w:ascii="仿宋_GB2312" w:hAnsi="仿宋_GB2312" w:cs="仿宋_GB2312" w:eastAsia="仿宋_GB2312"/>
          <w:sz w:val="28"/>
          <w:b/>
        </w:rPr>
        <w:t>渭南市东雷二期抽黄工程管理中心</w:t>
      </w:r>
    </w:p>
    <w:p>
      <w:pPr>
        <w:pStyle w:val="null3"/>
        <w:jc w:val="center"/>
        <w:outlineLvl w:val="2"/>
      </w:pPr>
      <w:r>
        <w:rPr>
          <w:rFonts w:ascii="仿宋_GB2312" w:hAnsi="仿宋_GB2312" w:cs="仿宋_GB2312" w:eastAsia="仿宋_GB2312"/>
          <w:sz w:val="28"/>
          <w:b/>
        </w:rPr>
        <w:t>陕西金合建设项目管理有限公司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陕西金合建设项目管理有限公司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渭南市东雷二期抽黄工程管理中心</w:t>
      </w:r>
      <w:r>
        <w:rPr>
          <w:rFonts w:ascii="仿宋_GB2312" w:hAnsi="仿宋_GB2312" w:cs="仿宋_GB2312" w:eastAsia="仿宋_GB2312"/>
        </w:rPr>
        <w:t>委托，拟对</w:t>
      </w:r>
      <w:r>
        <w:rPr>
          <w:rFonts w:ascii="仿宋_GB2312" w:hAnsi="仿宋_GB2312" w:cs="仿宋_GB2312" w:eastAsia="仿宋_GB2312"/>
        </w:rPr>
        <w:t>太里一级站泵站设备应急维修工程</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政采-渭南市-2026-01627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太里一级站泵站设备应急维修工程</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满⾜太⾥⼀级站1700ZLB型轴流泵机组技术要求，保障⽔泵运⾏安全平稳，提升抽⽔效率，减少事故停机⻛险，确保灌区供⽔安全。现需采购1700ZLB型轴流泵⽔泵叶轮1件、下轴套2件、⽔导轴承（赛⻰）3件、上导流锥3件、下填料盒2件、下填料盒压盖2件、下导流锥2件，共计15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采购包1（太里一级站泵站设备应急维修工程）：属于专门面向中小企业采购。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证明⽂件：供应商具有独立承担民事责任能力的法人、事业法人、其他组织或自然人。企业法人应提供合法有效的社会信用代码营业执照；事业单位法人证书；其他组织应提供合法登记证明文件；自然人应提供身份证；</w:t>
      </w:r>
    </w:p>
    <w:p>
      <w:pPr>
        <w:pStyle w:val="null3"/>
      </w:pPr>
      <w:r>
        <w:rPr>
          <w:rFonts w:ascii="仿宋_GB2312" w:hAnsi="仿宋_GB2312" w:cs="仿宋_GB2312" w:eastAsia="仿宋_GB2312"/>
        </w:rPr>
        <w:t>2、法定代表人（负责人）或授权委托代理人身份证明：法定代表人参加谈判的，须出具法定代表人身份证明和身份证（正反面）复印件；授权委托代理人参加谈判的，须出具授权委托书，附法定代表人和委托代理人身份证（正反面）复印件；</w:t>
      </w:r>
    </w:p>
    <w:p>
      <w:pPr>
        <w:pStyle w:val="null3"/>
      </w:pPr>
      <w:r>
        <w:rPr>
          <w:rFonts w:ascii="仿宋_GB2312" w:hAnsi="仿宋_GB2312" w:cs="仿宋_GB2312" w:eastAsia="仿宋_GB2312"/>
        </w:rPr>
        <w:t>3、信用信息：供应商不得为“信用中国”网站（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4、联合体投标：本项目不接受联合体投标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渭南市东雷二期抽黄工程管理中心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渭南市朝阳大街中段26号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16602931029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陕西金合建设项目管理有限公司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渭南市临渭区朝阳大街审计大楼八层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邱晓艳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0913-2023388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采购包1：578,400.00元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开户名称：陕西金合建设项目管理有限公司</w:t>
            </w:r>
          </w:p>
          <w:p>
            <w:pPr>
              <w:pStyle w:val="null3"/>
            </w:pPr>
            <w:r>
              <w:rPr>
                <w:rFonts w:ascii="仿宋_GB2312" w:hAnsi="仿宋_GB2312" w:cs="仿宋_GB2312" w:eastAsia="仿宋_GB2312"/>
              </w:rPr>
              <w:t>开户银行：长安银行股份有限公司渭南分行</w:t>
            </w:r>
          </w:p>
          <w:p>
            <w:pPr>
              <w:pStyle w:val="null3"/>
            </w:pPr>
            <w:r>
              <w:rPr>
                <w:rFonts w:ascii="仿宋_GB2312" w:hAnsi="仿宋_GB2312" w:cs="仿宋_GB2312" w:eastAsia="仿宋_GB2312"/>
              </w:rPr>
              <w:t>银行账号：60001015201090000920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说明：履约保证金可通过银行转账、支票/汇票/本票、保函/保险方式缴纳，银行转账、票据形式需转入采购人指定账户。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中国招标投标协会关于贯彻&lt;国家发展改革委关于进一步放开建设项目专业服务价格的通知&gt;（发改价格〔2015〕299号）的指导意见》的要求、经双方协商，代理费参照【国家发改委发改价格（2011）534号文件】。</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渭南市东雷二期抽黄工程管理中心</w:t>
      </w:r>
      <w:r>
        <w:rPr>
          <w:rFonts w:ascii="仿宋_GB2312" w:hAnsi="仿宋_GB2312" w:cs="仿宋_GB2312" w:eastAsia="仿宋_GB2312"/>
        </w:rPr>
        <w:t>和</w:t>
      </w:r>
      <w:r>
        <w:rPr>
          <w:rFonts w:ascii="仿宋_GB2312" w:hAnsi="仿宋_GB2312" w:cs="仿宋_GB2312" w:eastAsia="仿宋_GB2312"/>
        </w:rPr>
        <w:t>陕西金合建设项目管理有限公司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渭南市东雷二期抽黄工程管理中心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陕西金合建设项目管理有限公司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渭南市东雷二期抽黄工程管理中心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陕西金合建设项目管理有限公司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联系人：邱晓艳</w:t>
      </w:r>
    </w:p>
    <w:p>
      <w:pPr>
        <w:pStyle w:val="null3"/>
      </w:pPr>
      <w:r>
        <w:rPr>
          <w:rFonts w:ascii="仿宋_GB2312" w:hAnsi="仿宋_GB2312" w:cs="仿宋_GB2312" w:eastAsia="仿宋_GB2312"/>
        </w:rPr>
        <w:t>联系电话：0913-2023388</w:t>
      </w:r>
    </w:p>
    <w:p>
      <w:pPr>
        <w:pStyle w:val="null3"/>
      </w:pPr>
      <w:r>
        <w:rPr>
          <w:rFonts w:ascii="仿宋_GB2312" w:hAnsi="仿宋_GB2312" w:cs="仿宋_GB2312" w:eastAsia="仿宋_GB2312"/>
        </w:rPr>
        <w:t>地址：渭南市临渭区朝阳大街审计大楼八层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太里一级站1700ZLB型轴流泵机组技术要求，保障水泵运行安全平稳，提升抽水效率，减少事故停机风险，确保灌区供水安全。现需采购1700ZLB型轴流泵水泵叶轮1件、下轴套2件、水导轴承（赛龙）3件、上导流锥3件、下填料盒2件、下填料盒压盖2件、下导流锥2件，共计15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578,400.00</w:t>
      </w:r>
    </w:p>
    <w:p>
      <w:pPr>
        <w:pStyle w:val="null3"/>
      </w:pPr>
      <w:r>
        <w:rPr>
          <w:rFonts w:ascii="仿宋_GB2312" w:hAnsi="仿宋_GB2312" w:cs="仿宋_GB2312" w:eastAsia="仿宋_GB2312"/>
        </w:rPr>
        <w:t>采购包最高限价（元）: 578,400.00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太里一级站泵站设备应急维修工程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578,400.00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标的名称：太里一级站泵站设备应急维修工程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1"/>
              </w:rPr>
              <w:t>一、</w:t>
            </w:r>
            <w:r>
              <w:rPr>
                <w:rFonts w:ascii="仿宋_GB2312" w:hAnsi="仿宋_GB2312" w:cs="仿宋_GB2312" w:eastAsia="仿宋_GB2312"/>
                <w:sz w:val="21"/>
                <w:b/>
              </w:rPr>
              <w:t>技术要求</w:t>
            </w:r>
          </w:p>
          <w:p>
            <w:pPr>
              <w:pStyle w:val="null3"/>
              <w:ind w:firstLine="640"/>
              <w:jc w:val="both"/>
            </w:pPr>
            <w:r>
              <w:rPr>
                <w:rFonts w:ascii="仿宋_GB2312" w:hAnsi="仿宋_GB2312" w:cs="仿宋_GB2312" w:eastAsia="仿宋_GB2312"/>
                <w:sz w:val="21"/>
              </w:rPr>
              <w:t>1、</w:t>
            </w:r>
            <w:r>
              <w:rPr>
                <w:rFonts w:ascii="仿宋_GB2312" w:hAnsi="仿宋_GB2312" w:cs="仿宋_GB2312" w:eastAsia="仿宋_GB2312"/>
                <w:sz w:val="21"/>
                <w:b/>
              </w:rPr>
              <w:t>水泵配件技术要求</w:t>
            </w:r>
          </w:p>
          <w:p>
            <w:pPr>
              <w:pStyle w:val="null3"/>
              <w:ind w:firstLine="640"/>
              <w:jc w:val="both"/>
            </w:pPr>
            <w:r>
              <w:rPr>
                <w:rFonts w:ascii="仿宋_GB2312" w:hAnsi="仿宋_GB2312" w:cs="仿宋_GB2312" w:eastAsia="仿宋_GB2312"/>
                <w:sz w:val="21"/>
              </w:rPr>
              <w:t>（1）下轴套：外径220mm，内径190mm，长度620mm；材质为20Cr13锻，粗加工完成后调质处理HB241—277，精加工完成后喷涂Ni60，表面不允许有任何缺陷，不允许有任何方式修补。</w:t>
            </w:r>
          </w:p>
          <w:p>
            <w:pPr>
              <w:pStyle w:val="null3"/>
              <w:ind w:firstLine="640"/>
              <w:jc w:val="both"/>
            </w:pPr>
            <w:r>
              <w:rPr>
                <w:rFonts w:ascii="仿宋_GB2312" w:hAnsi="仿宋_GB2312" w:cs="仿宋_GB2312" w:eastAsia="仿宋_GB2312"/>
                <w:sz w:val="21"/>
              </w:rPr>
              <w:t>（2）水导轴承：外径395mm，内径220mm，长500mm；使用寿命长，性能稳定和耐磨性能好的进口赛龙材料2件；壳体材质为ZG230-450，不得有气孔、沙眼等铸造缺陷，铸造完成后应做人工时效处理；赛龙轴承用干冰冷冻后插入导轴承壳，轴承部件装配后加工内控尺寸；制造的水导轴承保证使用寿命≥15000小时；水导轴承采用清水润滑及冷却，满足泵站现状润滑水的水质、水量、水压要求。</w:t>
            </w:r>
          </w:p>
          <w:p>
            <w:pPr>
              <w:pStyle w:val="null3"/>
              <w:ind w:firstLine="640"/>
              <w:jc w:val="both"/>
            </w:pPr>
            <w:r>
              <w:rPr>
                <w:rFonts w:ascii="仿宋_GB2312" w:hAnsi="仿宋_GB2312" w:cs="仿宋_GB2312" w:eastAsia="仿宋_GB2312"/>
                <w:sz w:val="21"/>
              </w:rPr>
              <w:t>（3）上导流锥：上端外径340mm，内径235mm，下端外径746mm，高度520mm，壳体等厚；制造材料为ZG200-450材质或材料性能优于该材料性能的其他金属材料。</w:t>
            </w:r>
          </w:p>
          <w:p>
            <w:pPr>
              <w:pStyle w:val="null3"/>
              <w:ind w:firstLine="640"/>
              <w:jc w:val="both"/>
            </w:pPr>
            <w:r>
              <w:rPr>
                <w:rFonts w:ascii="仿宋_GB2312" w:hAnsi="仿宋_GB2312" w:cs="仿宋_GB2312" w:eastAsia="仿宋_GB2312"/>
                <w:sz w:val="21"/>
              </w:rPr>
              <w:t>（4）下填料盒：外径344mm，内径242mm，高140mm，两半式；制造材料为ZG200-450材质或材料性能优于该材料性能的其他金属材料。</w:t>
            </w:r>
          </w:p>
          <w:p>
            <w:pPr>
              <w:pStyle w:val="null3"/>
              <w:ind w:firstLine="640"/>
              <w:jc w:val="both"/>
            </w:pPr>
            <w:r>
              <w:rPr>
                <w:rFonts w:ascii="仿宋_GB2312" w:hAnsi="仿宋_GB2312" w:cs="仿宋_GB2312" w:eastAsia="仿宋_GB2312"/>
                <w:sz w:val="21"/>
              </w:rPr>
              <w:t>（5）下填料盒压盖：外径344mm，内径242mm，高20mm，两半式；制造材料为ZG200-450材质或材料性能优于该材料性能的其他金属材料。</w:t>
            </w:r>
          </w:p>
          <w:p>
            <w:pPr>
              <w:pStyle w:val="null3"/>
              <w:ind w:firstLine="640"/>
              <w:jc w:val="both"/>
            </w:pPr>
            <w:r>
              <w:rPr>
                <w:rFonts w:ascii="仿宋_GB2312" w:hAnsi="仿宋_GB2312" w:cs="仿宋_GB2312" w:eastAsia="仿宋_GB2312"/>
                <w:sz w:val="21"/>
              </w:rPr>
              <w:t>（6）叶轮：直径1596mm，高510mm，由叶片5片、轮毂体等组成，使用寿命≥15000小时；叶片采用Q235-B热压模热压而成；叶片表面粗糙度不超过6.3um，过流表面光滑，无裂纹；叶片与叶轮外壳的间隙均匀，尽量减少容积损失，表面喷涂Ni60，或采用其他技术手段提升叶轮耐磨强度；轮毂体为ZG250-400整体铸造；各转动部件具有足够强度以承受最大转速、应力，并具有足够的刚度和抗疲劳强度，确保转轮在周期性变动荷载下不出现任何裂纹断裂或有害变形；水泵叶轮过流表面光滑，呈流线型，无裂纹或凹凸不平等缺陷；叶轮加工完成后，对叶轮进行探伤检测，供货方提交检测报告；叶轮与轮毂焊接后需做去应力处理，并按照按GB/T9239.1进行动平衡试验，精度不低于G6.3级，交货时提交试验报告。</w:t>
            </w:r>
          </w:p>
          <w:p>
            <w:pPr>
              <w:pStyle w:val="null3"/>
              <w:ind w:firstLine="640"/>
              <w:jc w:val="both"/>
            </w:pPr>
            <w:r>
              <w:rPr>
                <w:rFonts w:ascii="仿宋_GB2312" w:hAnsi="仿宋_GB2312" w:cs="仿宋_GB2312" w:eastAsia="仿宋_GB2312"/>
                <w:sz w:val="21"/>
              </w:rPr>
              <w:t>（7）下导流锥制造材料为ZG230-450材质或材料性能优于该材料性能的其他金属材料；制造完成后按GB/T9239.1进行动平衡试验，精度不低于G6.3级，交货时提交试验报告。</w:t>
            </w:r>
          </w:p>
          <w:p>
            <w:pPr>
              <w:pStyle w:val="null3"/>
              <w:ind w:firstLine="640"/>
              <w:jc w:val="both"/>
            </w:pPr>
            <w:r>
              <w:rPr>
                <w:rFonts w:ascii="仿宋_GB2312" w:hAnsi="仿宋_GB2312" w:cs="仿宋_GB2312" w:eastAsia="仿宋_GB2312"/>
                <w:sz w:val="21"/>
              </w:rPr>
              <w:t>（8）以上零配件尺寸为大概尺寸，具体以技术协议及图纸为准。</w:t>
            </w:r>
          </w:p>
          <w:p>
            <w:pPr>
              <w:pStyle w:val="null3"/>
              <w:ind w:firstLine="321"/>
              <w:jc w:val="both"/>
            </w:pPr>
            <w:r>
              <w:rPr>
                <w:rFonts w:ascii="仿宋_GB2312" w:hAnsi="仿宋_GB2312" w:cs="仿宋_GB2312" w:eastAsia="仿宋_GB2312"/>
                <w:sz w:val="21"/>
                <w:b/>
              </w:rPr>
              <w:t>2、性能要求：</w:t>
            </w:r>
            <w:r>
              <w:rPr>
                <w:rFonts w:ascii="仿宋_GB2312" w:hAnsi="仿宋_GB2312" w:cs="仿宋_GB2312" w:eastAsia="仿宋_GB2312"/>
                <w:sz w:val="21"/>
              </w:rPr>
              <w:t>水泵机组以黄河水源为介质，含有泥沙，要求水泵机组在高泥沙含量、低水位时机组能够安全平稳运行。</w:t>
            </w:r>
          </w:p>
          <w:p>
            <w:pPr>
              <w:pStyle w:val="null3"/>
              <w:spacing w:after="120"/>
              <w:ind w:left="195" w:firstLine="200"/>
              <w:jc w:val="both"/>
            </w:pPr>
            <w:r>
              <w:rPr>
                <w:rFonts w:ascii="仿宋_GB2312" w:hAnsi="仿宋_GB2312" w:cs="仿宋_GB2312" w:eastAsia="仿宋_GB2312"/>
                <w:sz w:val="21"/>
                <w:b/>
              </w:rPr>
              <w:t>3、其它要求</w:t>
            </w:r>
            <w:r>
              <w:br/>
            </w:r>
            <w:r>
              <w:rPr>
                <w:rFonts w:ascii="仿宋_GB2312" w:hAnsi="仿宋_GB2312" w:cs="仿宋_GB2312" w:eastAsia="仿宋_GB2312"/>
                <w:sz w:val="21"/>
              </w:rPr>
              <w:t xml:space="preserve">       （1）叶轮、水导轴承、轴套、上导流锥、下导流锥保证使用寿命不小于15000小时，下填料盒、下填料盒压盖使用寿命不小于8000小时。所有配件材质要达到或高于要求材质。</w:t>
            </w:r>
          </w:p>
          <w:p>
            <w:pPr>
              <w:pStyle w:val="null3"/>
              <w:spacing w:after="120"/>
              <w:ind w:left="195" w:firstLine="200"/>
              <w:jc w:val="both"/>
            </w:pPr>
            <w:r>
              <w:rPr>
                <w:rFonts w:ascii="仿宋_GB2312" w:hAnsi="仿宋_GB2312" w:cs="仿宋_GB2312" w:eastAsia="仿宋_GB2312"/>
                <w:sz w:val="21"/>
              </w:rPr>
              <w:t>（2）水泵配件必须附带安装图纸，收货方根据图纸校核配件尺寸，尺寸存在问题的，供货方无条件30天内更换配件。</w:t>
            </w:r>
          </w:p>
          <w:p>
            <w:pPr>
              <w:pStyle w:val="null3"/>
              <w:spacing w:after="120"/>
              <w:ind w:left="195" w:firstLine="200"/>
              <w:jc w:val="both"/>
            </w:pPr>
            <w:r>
              <w:rPr>
                <w:rFonts w:ascii="仿宋_GB2312" w:hAnsi="仿宋_GB2312" w:cs="仿宋_GB2312" w:eastAsia="仿宋_GB2312"/>
                <w:sz w:val="21"/>
              </w:rPr>
              <w:t>（3）不能满足水泵安装及水泵机组运行的技术要求，供货方无条件30天内更换配件，如仍不能使用，全额退款，并赔偿收货方相关损失。</w:t>
            </w:r>
          </w:p>
          <w:p>
            <w:pPr>
              <w:pStyle w:val="null3"/>
              <w:spacing w:after="120"/>
              <w:ind w:left="195" w:firstLine="200"/>
              <w:jc w:val="both"/>
            </w:pPr>
            <w:r>
              <w:rPr>
                <w:rFonts w:ascii="仿宋_GB2312" w:hAnsi="仿宋_GB2312" w:cs="仿宋_GB2312" w:eastAsia="仿宋_GB2312"/>
                <w:sz w:val="21"/>
              </w:rPr>
              <w:t>（4）严格执行现行国家、行业标准、规范。</w:t>
            </w:r>
          </w:p>
          <w:p>
            <w:pPr>
              <w:pStyle w:val="null3"/>
              <w:spacing w:after="120"/>
              <w:ind w:left="195" w:firstLine="200"/>
              <w:jc w:val="both"/>
            </w:pPr>
            <w:r>
              <w:rPr>
                <w:rFonts w:ascii="仿宋_GB2312" w:hAnsi="仿宋_GB2312" w:cs="仿宋_GB2312" w:eastAsia="仿宋_GB2312"/>
                <w:sz w:val="21"/>
              </w:rPr>
              <w:t>（5）为提高所有配备配件适配性，采购的配件须从同一个厂家生产的。</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after="120"/>
              <w:ind w:left="195" w:firstLine="200"/>
              <w:jc w:val="both"/>
            </w:pPr>
            <w:r>
              <w:rPr>
                <w:rFonts w:ascii="仿宋_GB2312" w:hAnsi="仿宋_GB2312" w:cs="仿宋_GB2312" w:eastAsia="仿宋_GB2312"/>
                <w:sz w:val="21"/>
                <w:b/>
              </w:rPr>
              <w:t>二、商务要求</w:t>
            </w:r>
          </w:p>
          <w:p>
            <w:pPr>
              <w:pStyle w:val="null3"/>
              <w:spacing w:after="120"/>
              <w:ind w:left="195" w:firstLine="200"/>
              <w:jc w:val="both"/>
            </w:pPr>
            <w:r>
              <w:rPr>
                <w:rFonts w:ascii="仿宋_GB2312" w:hAnsi="仿宋_GB2312" w:cs="仿宋_GB2312" w:eastAsia="仿宋_GB2312"/>
                <w:sz w:val="21"/>
              </w:rPr>
              <w:t>1、供货期：自合同签订后60日历天完成供货。</w:t>
            </w:r>
          </w:p>
          <w:p>
            <w:pPr>
              <w:pStyle w:val="null3"/>
              <w:spacing w:after="120"/>
              <w:ind w:left="195" w:firstLine="200"/>
              <w:jc w:val="both"/>
            </w:pPr>
            <w:r>
              <w:rPr>
                <w:rFonts w:ascii="仿宋_GB2312" w:hAnsi="仿宋_GB2312" w:cs="仿宋_GB2312" w:eastAsia="仿宋_GB2312"/>
                <w:sz w:val="21"/>
              </w:rPr>
              <w:t>2、交货地点：</w:t>
            </w:r>
            <w:r>
              <w:rPr>
                <w:rFonts w:ascii="仿宋_GB2312" w:hAnsi="仿宋_GB2312" w:cs="仿宋_GB2312" w:eastAsia="仿宋_GB2312"/>
                <w:sz w:val="21"/>
              </w:rPr>
              <w:t>陕西省渭南市合阳县洽川镇二黄太里一级站。</w:t>
            </w:r>
          </w:p>
          <w:p>
            <w:pPr>
              <w:pStyle w:val="null3"/>
              <w:spacing w:after="120"/>
              <w:ind w:left="195" w:firstLine="200"/>
              <w:jc w:val="both"/>
            </w:pPr>
            <w:r>
              <w:rPr>
                <w:rFonts w:ascii="仿宋_GB2312" w:hAnsi="仿宋_GB2312" w:cs="仿宋_GB2312" w:eastAsia="仿宋_GB2312"/>
                <w:sz w:val="21"/>
              </w:rPr>
              <w:t>3、质量标准：符合现行国家、行业相关标准，质量达到合格等级，并实现采购单位质量要求和交付使用要求。</w:t>
            </w:r>
          </w:p>
          <w:p>
            <w:pPr>
              <w:pStyle w:val="null3"/>
              <w:spacing w:after="120"/>
              <w:ind w:left="195" w:firstLine="200"/>
              <w:jc w:val="both"/>
            </w:pPr>
            <w:r>
              <w:rPr>
                <w:rFonts w:ascii="仿宋_GB2312" w:hAnsi="仿宋_GB2312" w:cs="仿宋_GB2312" w:eastAsia="仿宋_GB2312"/>
                <w:sz w:val="21"/>
              </w:rPr>
              <w:t>4、质保期：自验收合格之日起一年或运行8000小时（以先到为准）。</w:t>
            </w:r>
          </w:p>
          <w:p>
            <w:pPr>
              <w:pStyle w:val="null3"/>
              <w:spacing w:after="120"/>
              <w:ind w:left="195" w:firstLine="200"/>
              <w:jc w:val="both"/>
            </w:pPr>
            <w:r>
              <w:rPr>
                <w:rFonts w:ascii="仿宋_GB2312" w:hAnsi="仿宋_GB2312" w:cs="仿宋_GB2312" w:eastAsia="仿宋_GB2312"/>
                <w:sz w:val="21"/>
              </w:rPr>
              <w:t>5、售后服务</w:t>
            </w:r>
          </w:p>
          <w:p>
            <w:pPr>
              <w:pStyle w:val="null3"/>
              <w:spacing w:after="120"/>
              <w:ind w:left="195" w:firstLine="200"/>
              <w:jc w:val="both"/>
            </w:pPr>
            <w:r>
              <w:rPr>
                <w:rFonts w:ascii="仿宋_GB2312" w:hAnsi="仿宋_GB2312" w:cs="仿宋_GB2312" w:eastAsia="仿宋_GB2312"/>
                <w:sz w:val="21"/>
              </w:rPr>
              <w:t>（1）售后技术服务1年。</w:t>
            </w:r>
          </w:p>
          <w:p>
            <w:pPr>
              <w:pStyle w:val="null3"/>
              <w:spacing w:after="120"/>
              <w:ind w:left="195" w:firstLine="200"/>
              <w:jc w:val="both"/>
            </w:pPr>
            <w:r>
              <w:rPr>
                <w:rFonts w:ascii="仿宋_GB2312" w:hAnsi="仿宋_GB2312" w:cs="仿宋_GB2312" w:eastAsia="仿宋_GB2312"/>
                <w:sz w:val="21"/>
              </w:rPr>
              <w:t>（2）供应商须指派专人负责与采购人联系售后服务事宜。</w:t>
            </w:r>
          </w:p>
          <w:p>
            <w:pPr>
              <w:pStyle w:val="null3"/>
              <w:spacing w:after="120"/>
              <w:ind w:left="195" w:firstLine="200"/>
              <w:jc w:val="both"/>
            </w:pPr>
            <w:r>
              <w:rPr>
                <w:rFonts w:ascii="仿宋_GB2312" w:hAnsi="仿宋_GB2312" w:cs="仿宋_GB2312" w:eastAsia="仿宋_GB2312"/>
                <w:sz w:val="21"/>
              </w:rPr>
              <w:t>（3）质保期内出现质量问题，供应商在接到通知后30天无条件30天内更换配件，并承担更换所需的费用；如产品经3次更换仍不能达到规定的质量标准，视作供应商未能按时交货，采购人有权退货并追究供应商的违约责任。货到现场后由于采购人保管不当造成的问题，供应商亦应负责修复，但费用由采购人负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自合同签订后60日历天完成供货。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陕西省渭南市合阳县洽川镇二黄太里一级站。</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进度款，供应商完成全部采购任务并通过验收，达到付款条件起20个工作日内，支付合同总金额的60.0%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对供应商提交的货物依据谈判文件中的技术规格要求和国家有关质量标准进行现场初步验收，外观、说明书符合谈判文件技术要求的，给予签收，初步验收不合格的不予签收。货到后，采购人需在五个工作日内验收。 （2）供应商交货前应对产品做出全面检查和对验收文件进行整理,并列出清单,作为采购人收货验收和使用的技术条件依据,检验的结果应随货物交采购人。 （3）采购人对供应商提供的货物在安装时,供应商需负责协助采购人安装,直到符合技术要求,采购人才做最终验收。 （4）对技术复杂的货物，采购人应请国家认可的专业检测机构参与初步验收及最终验收，并由其出具质量检测报告。 （5）验收时供应商须在场，验收完毕后作出验收结果报告。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（1）质量保修范围：采购文件中采购的所有配备配件产品。 （2）质量标准：符合现行国家、行业相关标准，质量达到合格等级，并实现采购单位质量要求和交付使用要求。（3）质保期：自验收合格之日起一年或运行8000小时（以先到为准）。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（1）未按合同要求提供服务或服务质量不能满足合同要求，采购人应当将供应商 违约的情况以及拟采取的措施以书面形式报政府采购监管部门，根据政府采购监管部门的处理意见，采购人有权依据《中华人民共和国民法典》有关条款及合同约定终止合同， 并要求供应商承担违约责任。同时，政府采购监管部门有权依据《中华人民共和国政府采购法》及相关法律法规对供货商的违法行为进行相应的处罚。 （2）其他未尽事宜，按《中华人民共和国民法典》中的相关条款执行。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采购的配件产品，如有不同供应商提供相同品牌产品参加采购活动的，以其中通过资格审查、符合性审查且报价合理且最低的参加评审；报价相同的，由采购人或者采购人委托谈判小组按照随机抽取方式确定一个参加谈判的供应商，其他响应无效。 2、谈判保证金注意事项：（1）以转账、支票、汇票等方式递交谈判保证金的，须从供应商户名支付（备注项目编号或项目名称），如从个人户名或非供应商户名支付，将被拒绝，视为自动放弃投标权利；供应商持保证金缴纳凭证到代理机构换取保证金收据；（2）以保函形式缴纳谈判保证金的，必须由具有开具投标保函资格的单位开具；若供应商违约，开具保函单位承担连带责任；（3）谈判保证金的提交金额、时间不满足谈判文件要求的，投标无效；（4）未按指定账户提交的，我公司将退回，供应商须在响应文件递交截止时间前按照指定账户再次提交。 3、成交供应商领取中标通知书时需提供纸质版响应文件两份（经编标工具生成的响应文件进行下载、打印），提供的纸质版响应文件内容确保与线上电子响应文件保持一致，不允许修改和补充。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事业法人、其他组织或自然人。企业法人应提供合法有效的社会信用代码营业执照；事业单位法人证书；其他组织应提供合法登记证明文件；自然人应提供身份证；（2）有依法缴纳税收的记录，提供供应商近一年内以来任意一个月的依法缴纳税收凭据或完税证明（依法免税的供应商应提供相关文件证明）；（3）有依法缴纳社会保障资金的记录，提供供应商近一年内以来任意一个月的社会保障资金缴存单据或社保机构开具的社会保险参保缴费情况证明（依法不需要缴纳社会保障资金的供应商应提供相关文件证明）；（4）提供具备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2025年度经审计的财务报告（至少包括资产负债表和利润表；成立时间至提交响应文件截止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单位负责人为同一人或者存在直接控股、管理关系的不同供应商提交响应文件，按递交顺序只接受第一家响应文件，其他供应商按无效标处理；</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营业执照证明⽂件</w:t>
            </w:r>
          </w:p>
        </w:tc>
        <w:tc>
          <w:tcPr>
            <w:tcW w:type="dxa" w:w="3322"/>
          </w:tcPr>
          <w:p>
            <w:pPr>
              <w:pStyle w:val="null3"/>
            </w:pPr>
            <w:r>
              <w:rPr>
                <w:rFonts w:ascii="仿宋_GB2312" w:hAnsi="仿宋_GB2312" w:cs="仿宋_GB2312" w:eastAsia="仿宋_GB2312"/>
              </w:rPr>
              <w:t>供应商具有独立承担民事责任能力的法人、事业法人、其他组织或自然人。企业法人应提供合法有效的社会信用代码营业执照；事业单位法人证书；其他组织应提供合法登记证明文件；自然人应提供身份证；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法定代表人（负责人）或授权委托代理人身份证明</w:t>
            </w:r>
          </w:p>
        </w:tc>
        <w:tc>
          <w:tcPr>
            <w:tcW w:type="dxa" w:w="3322"/>
          </w:tcPr>
          <w:p>
            <w:pPr>
              <w:pStyle w:val="null3"/>
            </w:pPr>
            <w:r>
              <w:rPr>
                <w:rFonts w:ascii="仿宋_GB2312" w:hAnsi="仿宋_GB2312" w:cs="仿宋_GB2312" w:eastAsia="仿宋_GB2312"/>
              </w:rPr>
              <w:t>法定代表人参加谈判的，须出具法定代表人身份证明和身份证（正反面）复印件；授权委托代理人参加谈判的，须出具授权委托书，附法定代表人和委托代理人身份证（正反面）复印件；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响应文件签署、盖章及格式响应</w:t>
            </w:r>
          </w:p>
        </w:tc>
        <w:tc>
          <w:tcPr>
            <w:tcW w:type="dxa" w:w="3322"/>
          </w:tcPr>
          <w:p>
            <w:pPr>
              <w:pStyle w:val="null3"/>
            </w:pPr>
            <w:r>
              <w:rPr>
                <w:rFonts w:ascii="仿宋_GB2312" w:hAnsi="仿宋_GB2312" w:cs="仿宋_GB2312" w:eastAsia="仿宋_GB2312"/>
              </w:rPr>
              <w:t>响应文件签署、盖章及格式满足谈判文件的要求</w:t>
            </w:r>
          </w:p>
        </w:tc>
        <w:tc>
          <w:tcPr>
            <w:tcW w:type="dxa" w:w="1661"/>
          </w:tcPr>
          <w:p>
            <w:pPr>
              <w:pStyle w:val="null3"/>
            </w:pPr>
            <w:r>
              <w:rPr>
                <w:rFonts w:ascii="仿宋_GB2312" w:hAnsi="仿宋_GB2312" w:cs="仿宋_GB2312" w:eastAsia="仿宋_GB2312"/>
              </w:rPr>
              <w:t>中小企业声明函 商务应答表 报价表 响应文件封面 产品技术参数表 残疾人福利性单位声明函 供应商应提交的相关资格证明材料.pdf 标的清单 响应函 谈判保证金.pdf 响应方案.pdf 监狱企业的证明文件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响应报价未超过采购预算或最高限价</w:t>
            </w:r>
          </w:p>
        </w:tc>
        <w:tc>
          <w:tcPr>
            <w:tcW w:type="dxa" w:w="1661"/>
          </w:tcPr>
          <w:p>
            <w:pPr>
              <w:pStyle w:val="null3"/>
            </w:pPr>
            <w:r>
              <w:rPr>
                <w:rFonts w:ascii="仿宋_GB2312" w:hAnsi="仿宋_GB2312" w:cs="仿宋_GB2312" w:eastAsia="仿宋_GB2312"/>
              </w:rPr>
              <w:t>标的清单 报价表 分项报价表.pdf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供货期满足采购文件要求</w:t>
            </w:r>
          </w:p>
        </w:tc>
        <w:tc>
          <w:tcPr>
            <w:tcW w:type="dxa" w:w="1661"/>
          </w:tcPr>
          <w:p>
            <w:pPr>
              <w:pStyle w:val="null3"/>
            </w:pPr>
            <w:r>
              <w:rPr>
                <w:rFonts w:ascii="仿宋_GB2312" w:hAnsi="仿宋_GB2312" w:cs="仿宋_GB2312" w:eastAsia="仿宋_GB2312"/>
              </w:rPr>
              <w:t>商务应答表 报价表 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谈判保证金满足采购文件要求</w:t>
            </w:r>
          </w:p>
        </w:tc>
        <w:tc>
          <w:tcPr>
            <w:tcW w:type="dxa" w:w="1661"/>
          </w:tcPr>
          <w:p>
            <w:pPr>
              <w:pStyle w:val="null3"/>
            </w:pPr>
            <w:r>
              <w:rPr>
                <w:rFonts w:ascii="仿宋_GB2312" w:hAnsi="仿宋_GB2312" w:cs="仿宋_GB2312" w:eastAsia="仿宋_GB2312"/>
              </w:rPr>
              <w:t>谈判保证金.pdf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谈判内容</w:t>
            </w:r>
          </w:p>
        </w:tc>
        <w:tc>
          <w:tcPr>
            <w:tcW w:type="dxa" w:w="3322"/>
          </w:tcPr>
          <w:p>
            <w:pPr>
              <w:pStyle w:val="null3"/>
            </w:pPr>
            <w:r>
              <w:rPr>
                <w:rFonts w:ascii="仿宋_GB2312" w:hAnsi="仿宋_GB2312" w:cs="仿宋_GB2312" w:eastAsia="仿宋_GB2312"/>
              </w:rPr>
              <w:t>响应文件内容未出现漏项或数量与要求不符，未出现负偏差；</w:t>
            </w:r>
          </w:p>
        </w:tc>
        <w:tc>
          <w:tcPr>
            <w:tcW w:type="dxa" w:w="1661"/>
          </w:tcPr>
          <w:p>
            <w:pPr>
              <w:pStyle w:val="null3"/>
            </w:pPr>
            <w:r>
              <w:rPr>
                <w:rFonts w:ascii="仿宋_GB2312" w:hAnsi="仿宋_GB2312" w:cs="仿宋_GB2312" w:eastAsia="仿宋_GB2312"/>
              </w:rPr>
              <w:t>产品技术参数表 商务应答表 标的清单 报价表 响应方案.pdf 分项报价表.pdf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响应文件是否含有采购人不能接受的附加条件的</w:t>
            </w:r>
          </w:p>
        </w:tc>
        <w:tc>
          <w:tcPr>
            <w:tcW w:type="dxa" w:w="3322"/>
          </w:tcPr>
          <w:p>
            <w:pPr>
              <w:pStyle w:val="null3"/>
            </w:pPr>
            <w:r>
              <w:rPr>
                <w:rFonts w:ascii="仿宋_GB2312" w:hAnsi="仿宋_GB2312" w:cs="仿宋_GB2312" w:eastAsia="仿宋_GB2312"/>
              </w:rPr>
              <w:t>响应文件未含有采购人不能接受的附加条件的 （合格），响应文件含有采购人不能接受的附加条件的（不合格）</w:t>
            </w:r>
          </w:p>
        </w:tc>
        <w:tc>
          <w:tcPr>
            <w:tcW w:type="dxa" w:w="1661"/>
          </w:tcPr>
          <w:p>
            <w:pPr>
              <w:pStyle w:val="null3"/>
            </w:pPr>
            <w:r>
              <w:rPr>
                <w:rFonts w:ascii="仿宋_GB2312" w:hAnsi="仿宋_GB2312" w:cs="仿宋_GB2312" w:eastAsia="仿宋_GB2312"/>
              </w:rPr>
              <w:t>产品技术参数表 商务应答表 标的清单 报价表 响应方案.pdf 分项报价表.pdf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 情形(合格)，存在法律、法规和竞争性谈判文件规定的其他无效情形(不合格)</w:t>
            </w:r>
          </w:p>
        </w:tc>
        <w:tc>
          <w:tcPr>
            <w:tcW w:type="dxa" w:w="1661"/>
          </w:tcPr>
          <w:p>
            <w:pPr>
              <w:pStyle w:val="null3"/>
            </w:pPr>
            <w:r>
              <w:rPr>
                <w:rFonts w:ascii="仿宋_GB2312" w:hAnsi="仿宋_GB2312" w:cs="仿宋_GB2312" w:eastAsia="仿宋_GB2312"/>
              </w:rPr>
              <w:t>产品技术参数表 商务应答表 供应商应提交的相关资格证明材料.pdf 标的清单 报价表 响应方案.pdf 分项报价表.pdf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详见附件：谈判保证金.pdf</w:t>
      </w:r>
    </w:p>
    <w:p>
      <w:pPr>
        <w:pStyle w:val="null3"/>
        <w:ind w:firstLine="960"/>
      </w:pPr>
      <w:r>
        <w:rPr>
          <w:rFonts w:ascii="仿宋_GB2312" w:hAnsi="仿宋_GB2312" w:cs="仿宋_GB2312" w:eastAsia="仿宋_GB2312"/>
        </w:rPr>
        <w:t>详见附件：响应方案.pdf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