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版本号：GXCZ-C-2657017920260603002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行业网络安全技术服务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GXCZ-C-26570179</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行业网络安全技术服务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行业网络安全技术服务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国家网络强国战略思想和关于防范化解重大风险等重要讲话精神，落实党中央、国务院关于加强网络安全的部署，陕西省交通运输行业（以下简称省交通行业）网络安全监管要多项并举，狠抓落实，筑牢网络安全防线。开展网络安全专项检查、网站安全监测预警服务及风险通报、安全培训、应急响应等网络安全工作，以营造安全文明的网络环境，维护网络空间良好生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虚拟账号：1299104125105012600010740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国家网络强国战略思想和关于防范化解重大风险等重要讲话精神，落实党中央、国务院关于加强网络安全的部署，陕西省交通运输行业（以下简称省交通行业）网络安全监管要多项并举，狠抓落实，筑牢网络安全防线。开展网络安全专项检查、网站安全监测预警服务及风险通报、安全培训、应急响应等网络安全工作，以营造安全文明的网络环境，维护网络空间良好生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489,400.00</w:t>
      </w:r>
    </w:p>
    <w:p>
      <w:pPr>
        <w:pStyle w:val="null3"/>
      </w:pPr>
      <w:r>
        <w:rPr>
          <w:rFonts w:ascii="仿宋_GB2312" w:hAnsi="仿宋_GB2312" w:cs="仿宋_GB2312" w:eastAsia="仿宋_GB2312"/>
        </w:rPr>
        <w:t>采购包最高限价（元）: 489,400.00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行业网络安全技术服务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标的名称：行业网络安全技术服务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网络安全专项检查：6家重点单位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护网技术保障（国家、交通运输部、省公安厅）：全年预估88天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行业网络安全应急演练：2次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行业三级系统等保测评结果整改情况核查服务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网络安全宣传周活动：宣传活动协办、宣传展示物料设计制作、派遣专业讲师宣讲</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应急响应服务：2次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重保期间安全值守：全年预估48天</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交通运输行业网络安全技术服务项目主要内容包括：重要信息系统网络安全检查、网络安全应急演练、网络安全攻防演练、国家部省护网行动期间网络安全防守、网络安全周宣传、网络安全培训、重保期间安全值守等主要工作内容。</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项目的成果及实现的预期效果</w:t>
            </w:r>
          </w:p>
          <w:p>
            <w:pPr>
              <w:pStyle w:val="null3"/>
            </w:pPr>
            <w:r>
              <w:rPr>
                <w:rFonts w:ascii="仿宋_GB2312" w:hAnsi="仿宋_GB2312" w:cs="仿宋_GB2312" w:eastAsia="仿宋_GB2312"/>
                <w:sz w:val="21"/>
              </w:rPr>
              <w:t>项目的实施，将主动发现行业信息系统存在的安全隐患，督促相关部门及时整改；以应急演练、攻防渗透等手段，增强重要信息系统面对网络威胁时的抵御能力、处置能力；以安全培训、宣传的方式强化网络安全管理意识。最终目标是确保省交通运输行业整体网络安全环境的平稳安定，提升行业整体网络安全管理水平。</w:t>
            </w:r>
          </w:p>
          <w:p>
            <w:pPr>
              <w:pStyle w:val="null3"/>
            </w:pPr>
            <w:r>
              <w:rPr>
                <w:rFonts w:ascii="仿宋_GB2312" w:hAnsi="仿宋_GB2312" w:cs="仿宋_GB2312" w:eastAsia="仿宋_GB2312"/>
                <w:sz w:val="21"/>
              </w:rPr>
              <w:t>项目具体实施单位对每项任务编制实施计划，任务执行期间编制相应进度报告，在任务完成后编制任务总结报告，相关报告均提交采购人进行审核，确保任务完成的质量和效果符合预期。在年未进行所有任务的完成情况汇总，总结经验和教训，由采购人组织验收。</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项目建设依据</w:t>
            </w:r>
          </w:p>
          <w:p>
            <w:pPr>
              <w:pStyle w:val="null3"/>
            </w:pPr>
            <w:r>
              <w:rPr>
                <w:rFonts w:ascii="仿宋_GB2312" w:hAnsi="仿宋_GB2312" w:cs="仿宋_GB2312" w:eastAsia="仿宋_GB2312"/>
                <w:sz w:val="21"/>
              </w:rPr>
              <w:t>陕西省交通运输厅关于印发《2026年网络和数据安全工作要点》的通知（陕交函〔2026〕225号）。重点任务章节，第5项开展年度网络安全检查工作内容。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根据项目采购需求，安全技术服务团队人员配置应满足以下要求。 （1）配备服务团队负责人1人； （2）配备网络安全专项检查（含行业三级系统等保测评结果整改情况核查）组，负责专项检查及整改核查实施工作； （3）配备网络安全应急专家组，负责应急演练及应急响应服务实施； （4）配备网络安全宣传周培训专业讲师1人,负责安全培训工作； （5）配备护网技术保障及重保值守小组，提供护网技术保障和重要时期安全保障及值守工作。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2026年7月28日至2027年7月27日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1.护网技术保障服务 在国家、部、省网络安全监管部门组织开展的网络安全护网行动或攻防演练期间，帮助监测中心进行网络安全值守，全力防御针对业务系统的黑客入侵和攻击，发现安全漏洞和隐患，有效识别、分析和控制信息系统安全风险。促进统一指挥、协调有序的安全应急管理机制的落实，完善安全事件防范与处置流程，保障企业在攻防演练期间具有强大的安全突发事件处置能力。 1.1事前阶段 1.1.1资产自查 资产自查阶段实施人员工作内容主要有以下：信息资产收集、互联网资产收集、网络架构梳理、防护设备梳理、边界控制梳理、账号信息统计、物理环境核查 1.1.2风险发现 风险发现阶段实施人员工作内容主要有以下：弱口令核查、漏洞风险梳理、基础配置风险梳理、安全设备策略核查、敏感信息发现 1.1.3安全整改 风险发现阶段实施人员工作内容主要有以下：弱口令整改、漏洞风险整改、基础配置风险加固、安全设备策略调整、敏感信息收敛 1.2事中阶段 1.2.1流量监控：流量监控主要是使用常见流量监控设备对异常的流量进行监测。 1.2.2流量分析：对告警的流量进行下载，通过专用流量分析工具，对下载的数据包分析，查看攻击信息、查看攻击类型、攻击内容，确定异常IP以及攻击路径。进行沙箱分析对木马攻击、钓鱼邮件、漏洞攻击等进行及时分析上报。 1.2.3日志分析：将安全设备syslog日志统一存储syslog服务器，方便后期分析。通过日志分析工具进行自动化日志分析，特殊情况下可进行手工日志分析筛选，判断异常。 1.2.4封禁汇报：建立快速沟通渠道，对恶意IP、境外IP、异常IP，持续访问IP、以及进行危险操作的IP进行及时封禁，并记录相应IP，进行汇总报告。 1.2.5事件处置：对于已发现的攻击成功事件，采用应急响应方式进行及时处置。并对“护网”期间发现的最新漏洞进行及时修复，确保系统处于安全状态。 1.3事后阶段：“护网”现场防护工作结束后，对现场工作进行总结形成报告。总结报告内容包含项目中各类工作内容及成果，预演成果，防守成果，以及根据现场工作存在的问题及建议。 1.4服务产出：《陕西省交通运行监测中心xxx护网行动总结报告》 2.网络安全应急演练服务 应急演练服务是指监测中心组织开展的，针对省内交通运输行业单位业务信息系统进行的模拟黑客入侵和攻击，旨在发现安全漏洞和隐患，有效识别、分析和控制信息系统安全风险。促进统一指挥、协调有序的安全应急管理机制的落实，完善安全事件防范与处置流程，提升运维人员安全意识和安全突发事件处置能力。最后形成《陕西省交通运行监测中心业务场景应急演练报告》。应急演练是在真实的网络环境中进行攻击、防御，发现并解决存在的安全问题，为提升网络与信息安全保障能力积累经验。应急演练既要做到对业务系统具有破坏性，又不影响整体信息系统的正常使用；既有危害性，又具有可控性。为了达到应急演练力求实效、管控有序，造成的风险降到最低，需要对实战演练进行认真部署。通过演练，进一步加强中心信息安全小组和各部门之间的协同配合，提高应对突发事故的组织指挥、快速响应及处置能力，营造安全稳定的氛围，特制定了攻防实战对抗演练计划。 （1）结合实际，合理定位。紧密结合信息安全应急管理工作实际，明确演练目的，根据资源条件确定演练方式和规模。 （2）着眼实战，讲求实效。以提高应急指挥人员的指挥协调能力、应急队伍的实战能力为重点，重视对演练效果及组织工作的评估，总结推广好经验，及时整改存在的问题。 （3）精心组织，确保安全。围绕演练目的，精心策划演练内容，周密组织演练活动，严格遵守相关安全措施，确保演练参与人员及演练装备设施的安全。 （4）服务提供方制定应急演练方案，交监测中心审订，演练方案应包括演练部门、人员、时间、地点、演练步骤等。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网络安全专项检查服务方案</w:t>
            </w:r>
          </w:p>
        </w:tc>
        <w:tc>
          <w:tcPr>
            <w:tcW w:type="dxa" w:w="2492"/>
          </w:tcPr>
          <w:p>
            <w:pPr>
              <w:pStyle w:val="null3"/>
            </w:pPr>
            <w:r>
              <w:rPr>
                <w:rFonts w:ascii="仿宋_GB2312" w:hAnsi="仿宋_GB2312" w:cs="仿宋_GB2312" w:eastAsia="仿宋_GB2312"/>
              </w:rPr>
              <w:t>网络安全检查工作由采购人依据国家网络安全等级保护、商用密码应用安全保障、关键信息基础设施保护相关法律法规与标准发起的对交通运输行业重点单位开展的检查工作，供应商应根据国家及交通行业相关技术标准制定合理的服务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护网技术保障服务方案</w:t>
            </w:r>
          </w:p>
        </w:tc>
        <w:tc>
          <w:tcPr>
            <w:tcW w:type="dxa" w:w="2492"/>
          </w:tcPr>
          <w:p>
            <w:pPr>
              <w:pStyle w:val="null3"/>
            </w:pPr>
            <w:r>
              <w:rPr>
                <w:rFonts w:ascii="仿宋_GB2312" w:hAnsi="仿宋_GB2312" w:cs="仿宋_GB2312" w:eastAsia="仿宋_GB2312"/>
              </w:rPr>
              <w:t>供应商应在国家、交通运输部、省公安厅开展护网行动或护网演练时为采购人提供护网技术保障服务，供应商应制定合理的服务方案。服务方案详细，完全满足采购需求得5分；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行业网络安全应急演练服务方案</w:t>
            </w:r>
          </w:p>
        </w:tc>
        <w:tc>
          <w:tcPr>
            <w:tcW w:type="dxa" w:w="2492"/>
          </w:tcPr>
          <w:p>
            <w:pPr>
              <w:pStyle w:val="null3"/>
            </w:pPr>
            <w:r>
              <w:rPr>
                <w:rFonts w:ascii="仿宋_GB2312" w:hAnsi="仿宋_GB2312" w:cs="仿宋_GB2312" w:eastAsia="仿宋_GB2312"/>
              </w:rPr>
              <w:t>供应商应根据采购人的需求及时间安排，提供行业网络安全应急演练服务，演练服务内容须符合国家及行业相关标准，供应商应制定详细的演练服务方案。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行业三级系统等保测评结果整改情况核查服务方案</w:t>
            </w:r>
          </w:p>
        </w:tc>
        <w:tc>
          <w:tcPr>
            <w:tcW w:type="dxa" w:w="2492"/>
          </w:tcPr>
          <w:p>
            <w:pPr>
              <w:pStyle w:val="null3"/>
            </w:pPr>
            <w:r>
              <w:rPr>
                <w:rFonts w:ascii="仿宋_GB2312" w:hAnsi="仿宋_GB2312" w:cs="仿宋_GB2312" w:eastAsia="仿宋_GB2312"/>
              </w:rPr>
              <w:t>行业三级系统等保测评结果整改情况核查，要求供应商依据网络安全等级保护测评相关技术标准对采购人指定的多个网络安全等级为第三级的信息系统开展整改情况核查，供应商应制定详细的整改情况核查方案。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网络安全宣传周活动服务方案</w:t>
            </w:r>
          </w:p>
        </w:tc>
        <w:tc>
          <w:tcPr>
            <w:tcW w:type="dxa" w:w="2492"/>
          </w:tcPr>
          <w:p>
            <w:pPr>
              <w:pStyle w:val="null3"/>
            </w:pPr>
            <w:r>
              <w:rPr>
                <w:rFonts w:ascii="仿宋_GB2312" w:hAnsi="仿宋_GB2312" w:cs="仿宋_GB2312" w:eastAsia="仿宋_GB2312"/>
              </w:rPr>
              <w:t>网络安全宣传周活动包括宣传活动协办、宣传展示物料设计制作、派遣具备专业资质的网络安全专业讲师进行培训宣讲，供应商应制定详细的服务方案。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应急响应服务</w:t>
            </w:r>
          </w:p>
        </w:tc>
        <w:tc>
          <w:tcPr>
            <w:tcW w:type="dxa" w:w="2492"/>
          </w:tcPr>
          <w:p>
            <w:pPr>
              <w:pStyle w:val="null3"/>
            </w:pPr>
            <w:r>
              <w:rPr>
                <w:rFonts w:ascii="仿宋_GB2312" w:hAnsi="仿宋_GB2312" w:cs="仿宋_GB2312" w:eastAsia="仿宋_GB2312"/>
              </w:rPr>
              <w:t>应急响应服务要求供应商派遣技术人员在服务期限内为采购人提供网络安全时间应急响应服务。供应商应制定合理的应急响应服务方案。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重保期间安全值守</w:t>
            </w:r>
          </w:p>
        </w:tc>
        <w:tc>
          <w:tcPr>
            <w:tcW w:type="dxa" w:w="2492"/>
          </w:tcPr>
          <w:p>
            <w:pPr>
              <w:pStyle w:val="null3"/>
            </w:pPr>
            <w:r>
              <w:rPr>
                <w:rFonts w:ascii="仿宋_GB2312" w:hAnsi="仿宋_GB2312" w:cs="仿宋_GB2312" w:eastAsia="仿宋_GB2312"/>
              </w:rPr>
              <w:t>重保期间安全值守服务要求供应商派遣技术人员，在采购人指定的重要时期或重大时间节点提供安全值守服务。供应商应制定完善的重保方案。 服务方案详细，完全满足采购需求得5分； 服务方案基本完整，基本满足采购需求得3分；未提供不得分。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根据供应商针对本项目提供的保密方案（包括但不限于技术资料、电子数据及现场管理的保密及应对措施等方面）进行评审： 1.保密方案全面完善，应对措施切实可行、有针对性，完全满足项目采购要求，得10分；2.保密方案比较全面完善，应对措施基本切实可行，比较有针对性，基本满足项目采购要求，得7分； 3.保密方案不够全面完善，应对措施不够切实可行，针对性较差，部分满足项目采购要求，得3分；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提供针对本项目的质量保证措施各项质量保障、保证措施完善、分工明确得10分； 保障、保证措施较完善、分工安排较合理得7分； 保障、保证措施一般、分工安排基本合理得3分；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项目实施方案进度安排合理，能充分保证项目服务期限和质量；包括详实的项目实施计划、项目管理制度、进度计划、风险管理措施等，满足服务要求。 1.方案合理、完整，可行性优越得10分； 2.方案基本合理、完整，可行性较好得7分； 3.方案合理性、完整性、可行性一般得3分；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拟投入项目团队人员分工明确、配置合理，经验丰富，专业性强，满足采购要求的得7分； 分工较明确、配置较合理、经验较丰富的，基本满足采购要求的得4分； 分工不够明确、配置一般、经验一般的得1分；未提供不得分。 注：提供人员明细表。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团队服务</w:t>
            </w:r>
          </w:p>
        </w:tc>
        <w:tc>
          <w:tcPr>
            <w:tcW w:type="dxa" w:w="2492"/>
          </w:tcPr>
          <w:p>
            <w:pPr>
              <w:pStyle w:val="null3"/>
            </w:pPr>
            <w:r>
              <w:rPr>
                <w:rFonts w:ascii="仿宋_GB2312" w:hAnsi="仿宋_GB2312" w:cs="仿宋_GB2312" w:eastAsia="仿宋_GB2312"/>
              </w:rPr>
              <w:t>1.供应商针对本项目拟派的团队负责人具备信息安全工程师证书的，得2分；具备信息化相关行业副高级或以上职称证书，得2分。 2.团队其他成员具备信息安全工程师证书，得2分，不具备不得分，本项最高得4分。 注：须提供人员身份证、证书扫描件。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1.制定了详细、合理的项目进度计划及进度计划保证措施，且承诺为满足项目需求可以节假日赶工的，得5分； 2.制定了比较详细、合理的项目进度计划及进度计划保证措施，且承诺为满足项目需求可以节假日赶工的，得3分； 3.制定的项目进度计划及进度计划保证措施较差，且未承诺为满足项目需求可以节假日赶工的，得1分；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从2023年1月1日起至磋商响应文件递交截止时间（以合同签订时间为准）完成类似项目业绩，每提供一份得1分，最多得5分。 注：以磋商响应文件中所附的合同复印件为准。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 各供应商的报价得分按下列公式计算： 报价得分=（基准价/磋商报价）×10 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首轮报价表</w:t>
            </w:r>
          </w:p>
          <w:p>
            <w:pPr>
              <w:pStyle w:val="null3"/>
            </w:pPr>
            <w:r>
              <w:rPr>
                <w:rFonts w:ascii="仿宋_GB2312" w:hAnsi="仿宋_GB2312" w:cs="仿宋_GB2312" w:eastAsia="仿宋_GB2312"/>
              </w:rPr>
              <w:t>分项报价表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