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版本号：HXZK2026ZC050600120260507001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2026年交通量统计服务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HXZK2026ZC0506001</w:t>
      </w:r>
      <w:r>
        <w:br/>
      </w:r>
      <w:r>
        <w:br/>
      </w:r>
      <w:r>
        <w:br/>
      </w:r>
    </w:p>
    <w:p>
      <w:pPr>
        <w:pStyle w:val="null3"/>
        <w:jc w:val="center"/>
        <w:outlineLvl w:val="2"/>
      </w:pPr>
      <w:r>
        <w:rPr>
          <w:rFonts w:ascii="仿宋_GB2312" w:hAnsi="仿宋_GB2312" w:cs="仿宋_GB2312" w:eastAsia="仿宋_GB2312"/>
          <w:sz w:val="28"/>
          <w:b/>
        </w:rPr>
        <w:t>陕西省高速公路收费中心</w:t>
      </w:r>
    </w:p>
    <w:p>
      <w:pPr>
        <w:pStyle w:val="null3"/>
        <w:jc w:val="center"/>
        <w:outlineLvl w:val="2"/>
      </w:pPr>
      <w:r>
        <w:rPr>
          <w:rFonts w:ascii="仿宋_GB2312" w:hAnsi="仿宋_GB2312" w:cs="仿宋_GB2312" w:eastAsia="仿宋_GB2312"/>
          <w:sz w:val="28"/>
          <w:b/>
        </w:rPr>
        <w:t>华夏正康（陕西）工程技术有限公司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华夏正康（陕西）工程技术有限公司</w:t>
      </w:r>
      <w:r>
        <w:rPr>
          <w:rFonts w:ascii="仿宋_GB2312" w:hAnsi="仿宋_GB2312" w:cs="仿宋_GB2312" w:eastAsia="仿宋_GB2312"/>
        </w:rPr>
        <w:t>（以下简称“代理机构”）受</w:t>
      </w:r>
      <w:r>
        <w:rPr>
          <w:rFonts w:ascii="仿宋_GB2312" w:hAnsi="仿宋_GB2312" w:cs="仿宋_GB2312" w:eastAsia="仿宋_GB2312"/>
        </w:rPr>
        <w:t>陕西省高速公路收费中心</w:t>
      </w:r>
      <w:r>
        <w:rPr>
          <w:rFonts w:ascii="仿宋_GB2312" w:hAnsi="仿宋_GB2312" w:cs="仿宋_GB2312" w:eastAsia="仿宋_GB2312"/>
        </w:rPr>
        <w:t>委托，拟对</w:t>
      </w:r>
      <w:r>
        <w:rPr>
          <w:rFonts w:ascii="仿宋_GB2312" w:hAnsi="仿宋_GB2312" w:cs="仿宋_GB2312" w:eastAsia="仿宋_GB2312"/>
        </w:rPr>
        <w:t>2026年交通量统计服务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HXZK2026ZC0506001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2026年交通量统计服务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交通量统计服务包括：1、高速公路日常数据处理与统计分析推送服务，包含：（1）旬报服务；（2）动态监测服务；（3）节日预测研判、经济运行分析及其他行业数据统计服务；（4）流量分布图数据加工及地图编制。2、陕西省高速公路货运专项分析。</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采购包1（2026年交通量统计服务）：属于专门面向中小企业采购。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1、营业执照或其他组织：具有独立承担民事责任能力的法人、其他组织或自然人，提供营业执照/事业单位法人证书/非企业专业服务机构执业许可证/自然人身份证。 供应商需在项目电子化交易系统中按要求上传相应证明文件并进行电子签章。</w:t>
      </w:r>
    </w:p>
    <w:p>
      <w:pPr>
        <w:pStyle w:val="null3"/>
      </w:pPr>
      <w:r>
        <w:rPr>
          <w:rFonts w:ascii="仿宋_GB2312" w:hAnsi="仿宋_GB2312" w:cs="仿宋_GB2312" w:eastAsia="仿宋_GB2312"/>
        </w:rPr>
        <w:t>2、供应商应授权合法的人员参加磋商全过程：法定代表人直接参加的，提供法定代表人身份证；授权代表参加的，提供法定代表人授权书（附法定代表人及授权代表身份证）；非法人单位参照执行。 供应商需在项目电子化交易系统中按要求上传相应证明文件并进行电子签章。</w:t>
      </w:r>
    </w:p>
    <w:p>
      <w:pPr>
        <w:pStyle w:val="null3"/>
      </w:pPr>
      <w:r>
        <w:rPr>
          <w:rFonts w:ascii="仿宋_GB2312" w:hAnsi="仿宋_GB2312" w:cs="仿宋_GB2312" w:eastAsia="仿宋_GB2312"/>
        </w:rPr>
        <w:t>3、财务状况：提供2024年度或2025年度的财务审计报告并具有在“注册会计师行业统一监管平台”赋予的验证码(包括审计报告、资产负债表、利润表、现金流量表、所有者权益变动表及其附注等，成立时间至提交响应文件截止时间不足一年的可提供成立后任意时段的资产负债表)，或其响应文件提交截止时间前三个月内银行出具的资信证明，或信用担保机构出具的投标担保函(以上三种形式的资料提供任何一种即可)。 供应商需在项目电子化交易系统中按要求上传相应证明文件并进行电子签章。</w:t>
      </w:r>
    </w:p>
    <w:p>
      <w:pPr>
        <w:pStyle w:val="null3"/>
      </w:pPr>
      <w:r>
        <w:rPr>
          <w:rFonts w:ascii="仿宋_GB2312" w:hAnsi="仿宋_GB2312" w:cs="仿宋_GB2312" w:eastAsia="仿宋_GB2312"/>
        </w:rPr>
        <w:t>4、依法缴纳税收证明资料：提供响应文件提交截止时间前一年内至少一个月已缴纳的纳税证明或完税证明(时间以税款所属日期为准)，依法免税的单位应提供相关证明材料，凭据应有税务机关或代收机关的公章或业务专用章；依法免税或无须缴纳税收的供应商，应提供相应证明文件。 供应商需在项目电子化交易系统中按要求上传相应证明文件并进行电子签章。</w:t>
      </w:r>
    </w:p>
    <w:p>
      <w:pPr>
        <w:pStyle w:val="null3"/>
      </w:pPr>
      <w:r>
        <w:rPr>
          <w:rFonts w:ascii="仿宋_GB2312" w:hAnsi="仿宋_GB2312" w:cs="仿宋_GB2312" w:eastAsia="仿宋_GB2312"/>
        </w:rPr>
        <w:t>5、依法缴纳社会保险证明资料：提供响应文件提交截止时间前一年内至少一个月已缴纳的社会保障资金缴存单据或社保机构开具的社会保险参保缴费情况证明，依法不需要缴纳社会保障资金的单位应提供相关证明材料。 供应商需在项目电子化交易系统中按要求上传相应证明文件并进行电子签章。</w:t>
      </w:r>
    </w:p>
    <w:p>
      <w:pPr>
        <w:pStyle w:val="null3"/>
      </w:pPr>
      <w:r>
        <w:rPr>
          <w:rFonts w:ascii="仿宋_GB2312" w:hAnsi="仿宋_GB2312" w:cs="仿宋_GB2312" w:eastAsia="仿宋_GB2312"/>
        </w:rPr>
        <w:t>6、承诺书：提供具有履行合同所必需的设备和专业技术能力的承诺。 供应商需在项目电子化交易系统中按要求上传相应证明文件并进行电子签章。</w:t>
      </w:r>
    </w:p>
    <w:p>
      <w:pPr>
        <w:pStyle w:val="null3"/>
      </w:pPr>
      <w:r>
        <w:rPr>
          <w:rFonts w:ascii="仿宋_GB2312" w:hAnsi="仿宋_GB2312" w:cs="仿宋_GB2312" w:eastAsia="仿宋_GB2312"/>
        </w:rPr>
        <w:t>7、书面声明：提供参加政府采购活动前三年内在经营活动中没有重大违法记录的书面声明。 供应商需在项目电子化交易系统中按要求上传相应证明文件并进行电子签章。</w:t>
      </w:r>
    </w:p>
    <w:p>
      <w:pPr>
        <w:pStyle w:val="null3"/>
      </w:pPr>
      <w:r>
        <w:rPr>
          <w:rFonts w:ascii="仿宋_GB2312" w:hAnsi="仿宋_GB2312" w:cs="仿宋_GB2312" w:eastAsia="仿宋_GB2312"/>
        </w:rPr>
        <w:t>8、控股管理关系：单位负责人为同一人或者存在直接控股、管理关系的不同供应商，不得参加同一合同项下的政府采购活动。供应商需在项目电子化交易系统中按要求上传相应证明文件并进行电子签章。</w:t>
      </w:r>
    </w:p>
    <w:p>
      <w:pPr>
        <w:pStyle w:val="null3"/>
      </w:pPr>
      <w:r>
        <w:rPr>
          <w:rFonts w:ascii="仿宋_GB2312" w:hAnsi="仿宋_GB2312" w:cs="仿宋_GB2312" w:eastAsia="仿宋_GB2312"/>
        </w:rPr>
        <w:t>9、非联合体磋商：本采购包不接受联合体磋商，供应商提供非联合体磋商承诺书。 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陕西省高速公路收费中心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陕西省西安市未央区未央路208号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029-86250115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华夏正康（陕西）工程技术有限公司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陕西省西安市雁塔区高新路15号城建大厦4楼401室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薛淑丹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17791951522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采购包1：860,000.00元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无产品</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无产品</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无产品</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开户名称：华夏正康（陕西）工程技术有限公司</w:t>
            </w:r>
          </w:p>
          <w:p>
            <w:pPr>
              <w:pStyle w:val="null3"/>
            </w:pPr>
            <w:r>
              <w:rPr>
                <w:rFonts w:ascii="仿宋_GB2312" w:hAnsi="仿宋_GB2312" w:cs="仿宋_GB2312" w:eastAsia="仿宋_GB2312"/>
              </w:rPr>
              <w:t>开户银行：中国建设银行股份有限公司西安咸宁中路支行</w:t>
            </w:r>
          </w:p>
          <w:p>
            <w:pPr>
              <w:pStyle w:val="null3"/>
            </w:pPr>
            <w:r>
              <w:rPr>
                <w:rFonts w:ascii="仿宋_GB2312" w:hAnsi="仿宋_GB2312" w:cs="仿宋_GB2312" w:eastAsia="仿宋_GB2312"/>
              </w:rPr>
              <w:t>银行账号：61050173430000001131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和国家发展改革委办公厅颁发的《关于招标代理服务收费有关问题的通知》（发改办价格『2003』857号）规定，代理采购项目实际成交金额为计算基准按1980号文件类标准的 89% 向中标（成交）供应商收取代理服务费。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踏勘时间：2026-05-14 15:00:00</w:t>
            </w:r>
          </w:p>
          <w:p>
            <w:pPr>
              <w:pStyle w:val="null3"/>
              <w:ind w:firstLine="975"/>
            </w:pPr>
            <w:r>
              <w:rPr>
                <w:rFonts w:ascii="仿宋_GB2312" w:hAnsi="仿宋_GB2312" w:cs="仿宋_GB2312" w:eastAsia="仿宋_GB2312"/>
              </w:rPr>
              <w:t>踏勘地点：陕西省高速公路收费中心</w:t>
            </w:r>
          </w:p>
          <w:p>
            <w:pPr>
              <w:pStyle w:val="null3"/>
              <w:ind w:firstLine="975"/>
            </w:pPr>
            <w:r>
              <w:rPr>
                <w:rFonts w:ascii="仿宋_GB2312" w:hAnsi="仿宋_GB2312" w:cs="仿宋_GB2312" w:eastAsia="仿宋_GB2312"/>
              </w:rPr>
              <w:t>联系人：王老师</w:t>
            </w:r>
          </w:p>
          <w:p>
            <w:pPr>
              <w:pStyle w:val="null3"/>
              <w:ind w:firstLine="975"/>
            </w:pPr>
            <w:r>
              <w:rPr>
                <w:rFonts w:ascii="仿宋_GB2312" w:hAnsi="仿宋_GB2312" w:cs="仿宋_GB2312" w:eastAsia="仿宋_GB2312"/>
              </w:rPr>
              <w:t>联系电话号码：029-86250115</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陕西省高速公路收费中心</w:t>
      </w:r>
      <w:r>
        <w:rPr>
          <w:rFonts w:ascii="仿宋_GB2312" w:hAnsi="仿宋_GB2312" w:cs="仿宋_GB2312" w:eastAsia="仿宋_GB2312"/>
        </w:rPr>
        <w:t>和</w:t>
      </w:r>
      <w:r>
        <w:rPr>
          <w:rFonts w:ascii="仿宋_GB2312" w:hAnsi="仿宋_GB2312" w:cs="仿宋_GB2312" w:eastAsia="仿宋_GB2312"/>
        </w:rPr>
        <w:t>华夏正康（陕西）工程技术有限公司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陕西省高速公路收费中心</w:t>
      </w:r>
      <w:r>
        <w:rPr>
          <w:rFonts w:ascii="仿宋_GB2312" w:hAnsi="仿宋_GB2312" w:cs="仿宋_GB2312" w:eastAsia="仿宋_GB2312"/>
        </w:rPr>
        <w:t>负责解释。除上述磋商文件内容，其他内容由</w:t>
      </w:r>
      <w:r>
        <w:rPr>
          <w:rFonts w:ascii="仿宋_GB2312" w:hAnsi="仿宋_GB2312" w:cs="仿宋_GB2312" w:eastAsia="仿宋_GB2312"/>
        </w:rPr>
        <w:t>华夏正康（陕西）工程技术有限公司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陕西省高速公路收费中心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华夏正康（陕西）工程技术有限公司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华夏正康（陕西）工程技术有限公司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华夏正康（陕西）工程技术有限公司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华夏正康（陕西）工程技术有限公司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联系人：薛淑丹</w:t>
      </w:r>
    </w:p>
    <w:p>
      <w:pPr>
        <w:pStyle w:val="null3"/>
      </w:pPr>
      <w:r>
        <w:rPr>
          <w:rFonts w:ascii="仿宋_GB2312" w:hAnsi="仿宋_GB2312" w:cs="仿宋_GB2312" w:eastAsia="仿宋_GB2312"/>
        </w:rPr>
        <w:t>联系电话：17791951522</w:t>
      </w:r>
    </w:p>
    <w:p>
      <w:pPr>
        <w:pStyle w:val="null3"/>
      </w:pPr>
      <w:r>
        <w:rPr>
          <w:rFonts w:ascii="仿宋_GB2312" w:hAnsi="仿宋_GB2312" w:cs="仿宋_GB2312" w:eastAsia="仿宋_GB2312"/>
        </w:rPr>
        <w:t>地址：陕西省西安市雁塔区高新路15号城建大厦4楼401室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交通量统计服务包括：1、高速公路日常数据处理与统计分析推送服务，包含：（1）旬报服务；（2）动态监测服务；（3）节日预测研判、经济运行分析及其他行业数据统计服务；（4）流量分布图数据加工及地图编制。2、陕西省高速公路货运专项分析。</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860,000.00</w:t>
      </w:r>
    </w:p>
    <w:p>
      <w:pPr>
        <w:pStyle w:val="null3"/>
      </w:pPr>
      <w:r>
        <w:rPr>
          <w:rFonts w:ascii="仿宋_GB2312" w:hAnsi="仿宋_GB2312" w:cs="仿宋_GB2312" w:eastAsia="仿宋_GB2312"/>
        </w:rPr>
        <w:t>采购包最高限价（元）: 860,000.00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2026年交通量统计服务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860,000.00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标的名称：2026年交通量统计服务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400"/>
              <w:jc w:val="left"/>
            </w:pPr>
            <w:r>
              <w:rPr>
                <w:rFonts w:ascii="仿宋_GB2312" w:hAnsi="仿宋_GB2312" w:cs="仿宋_GB2312" w:eastAsia="仿宋_GB2312"/>
                <w:sz w:val="20"/>
              </w:rPr>
              <w:t>一、服务内容</w:t>
            </w:r>
          </w:p>
          <w:p>
            <w:pPr>
              <w:pStyle w:val="null3"/>
              <w:ind w:firstLine="400"/>
              <w:jc w:val="left"/>
            </w:pPr>
            <w:r>
              <w:rPr>
                <w:rFonts w:ascii="仿宋_GB2312" w:hAnsi="仿宋_GB2312" w:cs="仿宋_GB2312" w:eastAsia="仿宋_GB2312"/>
                <w:sz w:val="20"/>
              </w:rPr>
              <w:t>（一）高速公路日常数据处理与统计分析推送服务</w:t>
            </w:r>
          </w:p>
          <w:p>
            <w:pPr>
              <w:pStyle w:val="null3"/>
              <w:ind w:firstLine="400"/>
              <w:jc w:val="left"/>
            </w:pPr>
            <w:r>
              <w:rPr>
                <w:rFonts w:ascii="仿宋_GB2312" w:hAnsi="仿宋_GB2312" w:cs="仿宋_GB2312" w:eastAsia="仿宋_GB2312"/>
                <w:sz w:val="20"/>
              </w:rPr>
              <w:t>1.旬报统计审核服务：从高速公路收费系统中抽取信息，统计交通运输量旬度数据，并审核报送数据异常原因，具体要求如下：</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1）报送内容：按旬报报表样式要求，统计旬度货运量数据，包含路网及新增收费站驶入的货车流量、货运量、周转量数据。</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2）时间要求：按旬统计，旬后1天立即统计，即每月1号、11号、21号分别统计上月下旬、当月上旬和中旬数据，如遇周末或节假日，顺延在第一个工作日完成统计。统计完成后按照规定时间报送采购人。</w:t>
            </w:r>
          </w:p>
          <w:p>
            <w:pPr>
              <w:pStyle w:val="null3"/>
              <w:ind w:firstLine="400"/>
              <w:jc w:val="left"/>
            </w:pPr>
            <w:r>
              <w:rPr>
                <w:rFonts w:ascii="仿宋_GB2312" w:hAnsi="仿宋_GB2312" w:cs="仿宋_GB2312" w:eastAsia="仿宋_GB2312"/>
                <w:sz w:val="20"/>
              </w:rPr>
              <w:t>2.动态监测服务：动态监测服务通过“部级交通运输数据资源交换共享与开放应用平台”以文件交换的方式将相关数据进行报送，具体要求如下：</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1）报送内容：高速公路入口通行数据表、门架通行数据表、出口通行数据表及相应数据字典表等，数据字典表包括高速公路收费单元字典（SFDY）、收费站字典（SFZ）、收费门架字典（SFMJ）。并根据交通部要求，及时调整报送内容。</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2）时间及方式要求：按交通部统一要求，每15分钟向部级交通运输数据资源交换共享与开放应用平台指定前置机中推送一次最新的数据文件；数据字典表在发生变化时应以全量更新的方式报送；若交通部要求发生变化，按照最新要求报送。</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3）传输控制文件格式及内容：应满足部级数据资源交换共享平台的要求。</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4）数据质量核验：每日监测核验数据传输情况，数据异常波动时，应分析引起数据波动的原因，并进行排查处理及报告，报送有关文字说明材料；若交通部反馈问题时应对数据进行核查并反馈核查结果。</w:t>
            </w:r>
          </w:p>
          <w:p>
            <w:pPr>
              <w:pStyle w:val="null3"/>
              <w:ind w:firstLine="400"/>
              <w:jc w:val="left"/>
            </w:pPr>
            <w:r>
              <w:rPr>
                <w:rFonts w:ascii="仿宋_GB2312" w:hAnsi="仿宋_GB2312" w:cs="仿宋_GB2312" w:eastAsia="仿宋_GB2312"/>
                <w:sz w:val="20"/>
              </w:rPr>
              <w:t>3.节日预测研判：在节假日开始前，通过大数据分析，对高速公路运行情况进行预测研判，具体要求如下：</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1）内容要求：包括节前流量研判报告、节前微信版出行温馨提示，并根据要求进行完善调整。节前流量研判报告应能体现路网流量变化趋势、拥堵情况、重点旅游景区周边收费站流量情况，能为路网监测、公众出行提供数据决策支持。</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2）时间要求：国家法定节假日及春运（元旦、春节、清明节、劳动节、端午节、中秋节、国庆节）假期前一周提供报告及微信版。</w:t>
            </w:r>
          </w:p>
          <w:p>
            <w:pPr>
              <w:pStyle w:val="null3"/>
              <w:ind w:firstLine="400"/>
              <w:jc w:val="left"/>
            </w:pPr>
            <w:r>
              <w:rPr>
                <w:rFonts w:ascii="仿宋_GB2312" w:hAnsi="仿宋_GB2312" w:cs="仿宋_GB2312" w:eastAsia="仿宋_GB2312"/>
                <w:sz w:val="20"/>
              </w:rPr>
              <w:t>4.经济运行分析</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1）次月10号前，提供上月“全省交通运输其他统计数据”报表，时间维度应能体现当月、当年累计情况，及与去年同期、去年累计同期的对比情况；并根据省厅需求对报表内容进行必要的更新。</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2）次月10号前，提供上月陕籍货车收费数据统计，若报表格式发生变化应根据最新表格样式统计。</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3）每季度末月25号前提供本季度“交通运输经济运行分析报告”，报告内容依据省厅文件要求。</w:t>
            </w:r>
          </w:p>
          <w:p>
            <w:pPr>
              <w:pStyle w:val="null3"/>
              <w:ind w:firstLine="400"/>
              <w:jc w:val="left"/>
            </w:pPr>
            <w:r>
              <w:rPr>
                <w:rFonts w:ascii="仿宋_GB2312" w:hAnsi="仿宋_GB2312" w:cs="仿宋_GB2312" w:eastAsia="仿宋_GB2312"/>
                <w:sz w:val="20"/>
              </w:rPr>
              <w:t>5.其他行业数据统计服务：各类临时性统计分析任务，平均每年约200余次，包含但不限于如下内容：</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1）根据陕西省高速公路通行数据，每月按时分析上月度全省高速公路路段交通流量、路网车型比例、省界出入口流量、收费站出入口流量、车型比例，重点分析陕西境内国高线交通流量指标；对反映经济运行数据的指标(路网交通量、省际交通量、货物运转量及主要通道的交通量和行驶量)进行统计；</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2）每季度对全省高速公路交调站点数据进行核查，并向甲方提交数据核查报告；</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3）按时完成陕西省高速公路路网运行分析半年报、年报；</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4）每天对陕西省高速公路通行数据采集进行数据质量监测；</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5）每天对前一日高速公路路网总体车流量情况统计，并按要求发送至相关群组；</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6）每天统计全省拥堵收费站交通流量及西安地区车辆来源等相关数据统计；</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7）统计全省高速公路实时交通量明细数据、计算平均时速、流量0D等并推送至外部系统综合应用；</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8）配合甲方完成行业内外(省交通运输厅、省公路局、省运管局、地市交通局、省规划院、公安、交警、文旅等部门)各类专题流量统计等数据分析支撑，以及提供给上级主管部门的数据急报服务。(仅包含数据统计工作，不包含程序开发任务)。</w:t>
            </w:r>
          </w:p>
          <w:p>
            <w:pPr>
              <w:pStyle w:val="null3"/>
              <w:ind w:firstLine="400"/>
              <w:jc w:val="left"/>
            </w:pPr>
            <w:r>
              <w:rPr>
                <w:rFonts w:ascii="仿宋_GB2312" w:hAnsi="仿宋_GB2312" w:cs="仿宋_GB2312" w:eastAsia="仿宋_GB2312"/>
                <w:sz w:val="20"/>
              </w:rPr>
              <w:t>6.流量分布图数据加工及地图编制</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1）对2026年高速公路交通量较大的区间、收费车道通行压力较大的收费站、高速公路拥挤度较大的区间、普通干线公路拥挤度较大的区间进行总结。</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2）总结路网运行特点，编制路网交通运行状况图，直观展现2026年全省公路网交通流量运行分布状况。</w:t>
            </w:r>
          </w:p>
          <w:p>
            <w:pPr>
              <w:pStyle w:val="null3"/>
              <w:ind w:firstLine="400"/>
              <w:jc w:val="left"/>
            </w:pPr>
            <w:r>
              <w:rPr>
                <w:rFonts w:ascii="仿宋_GB2312" w:hAnsi="仿宋_GB2312" w:cs="仿宋_GB2312" w:eastAsia="仿宋_GB2312"/>
                <w:sz w:val="20"/>
              </w:rPr>
              <w:t>（二）陕西省高速公路货运专项分析</w:t>
            </w:r>
          </w:p>
          <w:p>
            <w:pPr>
              <w:pStyle w:val="null3"/>
              <w:ind w:firstLine="400"/>
              <w:jc w:val="left"/>
            </w:pPr>
            <w:r>
              <w:rPr>
                <w:rFonts w:ascii="仿宋_GB2312" w:hAnsi="仿宋_GB2312" w:cs="仿宋_GB2312" w:eastAsia="仿宋_GB2312"/>
                <w:sz w:val="20"/>
              </w:rPr>
              <w:t>基于</w:t>
            </w:r>
            <w:r>
              <w:rPr>
                <w:rFonts w:ascii="仿宋_GB2312" w:hAnsi="仿宋_GB2312" w:cs="仿宋_GB2312" w:eastAsia="仿宋_GB2312"/>
                <w:sz w:val="20"/>
              </w:rPr>
              <w:t>2022-2026年高速公路联网收费数据，开展我省近五年货运车辆运输情况专项分析，形成专项分析报告。分析报告应能准确反映我省货运变化情况,多维度、细粒度深入分析我省货运车辆运输特征、货运流向、时间趋势、车型结构等关键指标，全面反映我省高速公路货运发展变化趋势，为我省经济运行分析工作提供数据基础。</w:t>
            </w:r>
          </w:p>
          <w:p>
            <w:pPr>
              <w:pStyle w:val="null3"/>
              <w:ind w:firstLine="400"/>
              <w:jc w:val="left"/>
            </w:pPr>
            <w:r>
              <w:rPr>
                <w:rFonts w:ascii="仿宋_GB2312" w:hAnsi="仿宋_GB2312" w:cs="仿宋_GB2312" w:eastAsia="仿宋_GB2312"/>
                <w:sz w:val="20"/>
              </w:rPr>
              <w:t>二、服务要求</w:t>
            </w:r>
          </w:p>
          <w:p>
            <w:pPr>
              <w:pStyle w:val="null3"/>
              <w:ind w:firstLine="400"/>
              <w:jc w:val="left"/>
            </w:pPr>
            <w:r>
              <w:rPr>
                <w:rFonts w:ascii="仿宋_GB2312" w:hAnsi="仿宋_GB2312" w:cs="仿宋_GB2312" w:eastAsia="仿宋_GB2312"/>
                <w:sz w:val="20"/>
              </w:rPr>
              <w:t>（一）</w:t>
            </w:r>
            <w:r>
              <w:rPr>
                <w:rFonts w:ascii="仿宋_GB2312" w:hAnsi="仿宋_GB2312" w:cs="仿宋_GB2312" w:eastAsia="仿宋_GB2312"/>
                <w:sz w:val="20"/>
              </w:rPr>
              <w:t>技术支持服务</w:t>
            </w:r>
          </w:p>
          <w:p>
            <w:pPr>
              <w:pStyle w:val="null3"/>
              <w:ind w:firstLine="400"/>
              <w:jc w:val="left"/>
            </w:pPr>
            <w:r>
              <w:rPr>
                <w:rFonts w:ascii="仿宋_GB2312" w:hAnsi="仿宋_GB2312" w:cs="仿宋_GB2312" w:eastAsia="仿宋_GB2312"/>
                <w:sz w:val="20"/>
              </w:rPr>
              <w:t>1、</w:t>
            </w:r>
            <w:r>
              <w:rPr>
                <w:rFonts w:ascii="仿宋_GB2312" w:hAnsi="仿宋_GB2312" w:cs="仿宋_GB2312" w:eastAsia="仿宋_GB2312"/>
                <w:sz w:val="20"/>
              </w:rPr>
              <w:t>供应商应具备完善的技术支持服务体系，并承诺提供</w:t>
            </w:r>
            <w:r>
              <w:rPr>
                <w:rFonts w:ascii="仿宋_GB2312" w:hAnsi="仿宋_GB2312" w:cs="仿宋_GB2312" w:eastAsia="仿宋_GB2312"/>
                <w:sz w:val="20"/>
              </w:rPr>
              <w:t xml:space="preserve"> 7*24 小时的电话支持服务。</w:t>
            </w:r>
          </w:p>
          <w:p>
            <w:pPr>
              <w:pStyle w:val="null3"/>
            </w:pPr>
            <w:r>
              <w:rPr>
                <w:rFonts w:ascii="仿宋_GB2312" w:hAnsi="仿宋_GB2312" w:cs="仿宋_GB2312" w:eastAsia="仿宋_GB2312"/>
                <w:sz w:val="20"/>
              </w:rPr>
              <w:t xml:space="preserve">    2、</w:t>
            </w:r>
            <w:r>
              <w:rPr>
                <w:rFonts w:ascii="仿宋_GB2312" w:hAnsi="仿宋_GB2312" w:cs="仿宋_GB2312" w:eastAsia="仿宋_GB2312"/>
                <w:sz w:val="20"/>
              </w:rPr>
              <w:t>提供节假日、重要时段及重大突发事件的现场技术保障支持工作。</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服务过程中，对于供应商向采购人提供服务过程中所指派具体承担服务的人员，应向采购人提供人员名单、简历、学历等相应证明文件，并保证所提供信息的准确性和有效性。采购人有权对派入人员的资格和相关信息进行审核。为确保服务工作的顺利开展，供应商应对服务人员及现场驻场人员素质整体把关，原则上应满足以下条件： 1.拟投入本项目的相关技术人员需对陕西省高速公路网、高速公路业务情况充分熟悉，数据分析人员具有丰富的数据统计经验（能快速理解采购的统计需求）。 2.为保证服务质量及问题及时响应，服务单位需安排不少于1名数据分析人员作为本项目的常驻专职服务人员，每日9:00至17:00（包括周末及节假日）在采购人所在地驻场维护；驻场工程师需具备相应的能力保障服务质量（数据分析人员需具备至少两年以上的高速公路数据分析服务经验）。 3.所报项目组人员一旦确定，不能擅自更改。提供人员社保证明材料复印件。社保证明材料有效期为近6个月内任意1个月，需加盖供应商公章。</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一、磋商报价要求 （一）本项目采购预算为86万元，1、高速公路日常数据处理与统计分析推送服务71万元，其中：（1）旬报服务费12万元；（2）动态监测服务费9.6万元；（3）节日预测研判、经济运行分析及其他行业数据统计服务48万元；（4）流量分布图数据加工及地图编制费1.4万元。2、陕西省高速公路货运专项分析15万元 。 （二）各供应商的磋商总报价不能超过采购包最高总限价为860,000.00元。各分项报价不能超过分项采购最高限价：1、高速公路日常数据处理与统计分析推送服务最高限价为710,000.00元，包括：（1）旬报服务费最高限价为120,000.00元；（2）动态监测服务费最高限价为96,000.00元；（3）节日预测研判、经济运行分析及其他行业数据统计服务最高限价为480,000.00元；（4）流量分布图数据加工及地图编制费最高限价为14,000.00元。2、陕西省高速公路货运专项分析150,000.00元。 二、保密要求 项目实施过程中所收集、产生的所有与本项目相关的文档、资料，包括文字、图片、表格、数字等各种形式所属权均归属采购人，供应商必须对所涉及到的内容保密，供应商及服务人员应按照要求签署保密协议。 三、付款要求 服务期间服务总费用不变，采购人无须另向服务单位支付合同约定之外的其它任何费用。</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旬报服务及动态监测服务、节日预测研判、经济运行分析及其他行业数据统计服务等服务时间为2026年7月1日至2027年6月30日。 2027年4月底前完成2026年度路网综合分析报告及运行状况图电子版编制。2027年3月底前提供陕西省高速公路货运专项分析报告。</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陕西省高速公路收费中心。</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（一）履约验收要求 项目履约验收主体为采购人，验收工作流程为供应商提出验收申请之日起30日内，由采购人组织验收工作。本项目为一次性验收，采购人严格按照磋商文件、响应文件和合同约定内容进行履约验收。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生效并进入服务期后高速公路日常数据处理与统计分析推送服务部分按月支付服务费，供应商按照合同约定每月完成服务并提交服务报告，经采购人审核后10个工作日内支付上月服务费，满足服务期限的第一个月后，首次支付供应商须向采购人出具合法有效的全额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6.88</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高速公路日常数据处理与统计分析推送服务部分满足服务期限的第二个月后，供应商按照合同约定每月完成服务并提交服务报告，经采购人审核后10个工作日内</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6.88</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高速公路日常数据处理与统计分析推送服务部分满足服务期限的第三个月后，供应商按照合同约定每月完成服务并提交服务报告，经采购人审核后10个工作日内</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6.88</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高速公路日常数据处理与统计分析推送服务部分满足服务期限的第四个月后，供应商按照合同约定每月完成服务并提交服务报告，经采购人审核后10个工作日内</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6.88</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高速公路日常数据处理与统计分析推送服务部分满足服务期限的第五个月后，供应商按照合同约定每月完成服务并提交服务报告，2026年12月申请年度最后一次支付时，供应商需提供剩余款项的有效银行保函（保函的有效期应持续至合同约定的服务期限届满之日后的至少30个自然日），采购人一次性支付剩余款项，即支付合同总金额的55.04%，待到项目验收通过后中心退还保函</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55.04</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陕西省高速公路货运专项分析部分分三次支付，供应商提供专项分析报告大纲后支付本部分的40%，经采购人审核后10个工作日内</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6.98</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陕西省高速公路货运专项分析部分分三次支付，供应商提供专项分析报告初稿后支付50%，经采购人审核后10个工作日内</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8.72</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陕西省高速公路货运专项分析部分分三次支付，供应商提供专项分析报告经采购人审核定稿后支付剩余10%，2026年12月申请年度最后一次支付时，供应商需提供剩余款项的有效银行保函（保函的有效期应持续至合同约定的服务期限届满之日后的至少30个自然日），采购人一次性支付剩余款项，待到项目验收通过后中心退还保函</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1.74</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 1.供应商如不能及时开具全额发票或采购人要求的保函，采购人有权延时付款且不承担违约责任，直至供应商开具全额发票或采购人要求的保函后再进行付款。 2.节假日、重要活动等特殊时期的保障，应加强值班值守，若发现有人擅离职守，发现1次，每次扣除服务费500元。 3.动态监测数据因供应商原因，出现月度高速公路通行数据超过3%数据缺失，或连续12小时传输中断的，每次扣除服务费5000元。 4.供应商提供日常数据统计分析服务，由驻场人员对按照日常数据统计分析需求，按时做好日常服务。 各项临时统计分析任务每逾期一天扣除服务费500元；各项常态化定时（固定时间提供的）统计分析任务，每项每逾期一天扣除服务费500元，以上逾期天数以采购人签字确认的数据服务记录为准；供应商向采购人提供的统计分析成果应保证真实、准确，如不符合采购人要求，应无条件修改至满足采购人要求，每项每次出现错误扣除服务费500元；年度地图编制定稿印刷后若发现错误，每出现一处扣500元。 5.未经采购人同意，供应商擅自减少、变更驻场人员，每次扣除维护服务费1000元；供应商驻场人员和节日值班人员擅离职守，迟到、早退、脱岗、未提前请假不到岗的，每人每次扣除维护服务费1000元。 6.对于重大数据统计分析任务（例如年度报告、地图编制、及外部正式公文要求提供的其他数据、报告等），供应商未按采购人要求进行准备与统计分析，导致数据统计分析成果不能按时出具或达不到文件要求的，每次扣除维护服务费1000元。 7.因供应商责任导致数据信息外泄或丢失的，每次扣除维护服务费5000元。 （二）解决争议的方法 双方本着友好合作的态度,对合同履行过程中发生的纠纷应及时协商解决，协商不成的，向采购人所在地有管辖权的人民法院诉讼解决。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3.4.1以上商务要求为实质性要求，供应商必须全部响应。 3.4.2落实的政府采购政策： （1）《国务院办公厅关于建立政府强制采购节能产品制度的通知》（国办发〔2007〕51号）； （2）《财政部司法部关于政府采购支持监狱企业发展有关问题的通知》（财库〔2014〕68号）； （3）《关于促进残疾人就业政府采购政策的通知》（财库〔2017〕141号）； （4）《陕西省财政厅关于印发&lt;陕西省中小企业政府采购信用融资办法&gt;的通知》（陕财办采〔2018〕23 号）； （5）《财政部发展改革委生态环境部市场监管总局关于调整优化节能产品、环境标志产品政府采购执行机制的通知》（财库〔2019〕9号）； （6）《关于印发环境标志产品政府采购品目清单的通知》（财库〔2019〕18号）； （7）《关于印发节能产品政府采购品目清单的通知》（财库〔2019〕19号）； （8）《关于发布参与实施政府采购节能产品、环境标志产品认证机构名录的公告》—2019年第16号； （9）《陕西省财政厅关于加快推进我省中小企业政府采购信用融资工作的通知》（陕财办采〔2020〕15号）； （10）《政府采购促进中小企业发展管理办法》（财库〔2020〕46号）； （11）关于印发《商品包装政府采购需求标准（试行）》（财办库〔2020〕123号）； （12）《陕西省财政厅陕西省工业和信息化厅关于运用政府采购政策支持首台（套）及创新产品有关事项的通知》（陕财办采〔2021〕17号）； （13）《关于运用政府采购政策支持乡村产业振兴的通知》（财库〔2021〕19号）； （14）《关于进一步加大政府采购支持中小企业力度的通知》（财库〔2022〕19号）； （15）《关于进一步加强政府绿色采购有关问题的通知》（陕财办采〔2021〕29号）； （16）《关于扩大政府采购支持绿色建材促进建筑品质提升政策实施范围的通知》（财库〔2022〕35号）； （17）《国家互联网信息办公室 工业和信息化部 公安部 财政部 国家认证认可监督管理委员会关于调整网络安全专用产品安全管理有关事项的公告》（2023年第1号）； （18）《财政部办公厅 住房城乡建设部办公厅 工业和信息化部办公厅关于印发&lt;政府采购支持绿色建材促进建筑品质提升政策项目实施指南&gt;的通知》（ 财办库〔2023〕52号）； （19）《国务院办公厅关于在政府采购中实施本国产品标准及相关政策的通知》（国办发〔2025〕34号）； （20）《关于推动解决政府采购异常低价问题的通知》（财库〔2026〕2号）； （21）其他需要落实的政府采购政策。如有最新颁布的政府采购政策，按最新的文件执行。 3.4.3本项目为专门面向中小企业采购，供应商应为中小微企业、残疾人企业或监狱企业。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营业执照或其他组织</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法定代表人直接参加的，提供法定代表人身份证；授权代表参加的，提供法定代表人授权书（附法定代表人及授权代表身份证）；非法人单位参照执行。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年度或2025年度的财务审计报告并具有在“注册会计师行业统一监管平台”赋予的验证码(包括审计报告、资产负债表、利润表、现金流量表、所有者权益变动表及其附注等，成立时间至提交响应文件截止时间不足一年的可提供成立后任意时段的资产负债表)，或其响应文件提交截止时间前三个月内银行出具的资信证明，或信用担保机构出具的投标担保函(以上三种形式的资料提供任何一种即可)。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依法缴纳税收证明资料</w:t>
            </w:r>
          </w:p>
        </w:tc>
        <w:tc>
          <w:tcPr>
            <w:tcW w:type="dxa" w:w="3322"/>
          </w:tcPr>
          <w:p>
            <w:pPr>
              <w:pStyle w:val="null3"/>
            </w:pPr>
            <w:r>
              <w:rPr>
                <w:rFonts w:ascii="仿宋_GB2312" w:hAnsi="仿宋_GB2312" w:cs="仿宋_GB2312" w:eastAsia="仿宋_GB2312"/>
              </w:rPr>
              <w:t>提供响应文件提交截止时间前一年内至少一个月已缴纳的纳税证明或完税证明(时间以税款所属日期为准)，依法免税的单位应提供相关证明材料，凭据应有税务机关或代收机关的公章或业务专用章；依法免税或无须缴纳税收的供应商，应提供相应证明文件。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依法缴纳社会保险证明资料</w:t>
            </w:r>
          </w:p>
        </w:tc>
        <w:tc>
          <w:tcPr>
            <w:tcW w:type="dxa" w:w="3322"/>
          </w:tcPr>
          <w:p>
            <w:pPr>
              <w:pStyle w:val="null3"/>
            </w:pPr>
            <w:r>
              <w:rPr>
                <w:rFonts w:ascii="仿宋_GB2312" w:hAnsi="仿宋_GB2312" w:cs="仿宋_GB2312" w:eastAsia="仿宋_GB2312"/>
              </w:rPr>
              <w:t>提供响应文件提交截止时间前一年内至少一个月已缴纳的社会保障资金缴存单据或社保机构开具的社会保险参保缴费情况证明，依法不需要缴纳社会保障资金的单位应提供相关证明材料。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提供具有履行合同所必需的设备和专业技术能力的承诺。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本采购包不接受联合体磋商，供应商提供非联合体磋商承诺书。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3.落实《关于推动解决政府采购异常低价问题的通知》财库〔2026〕2号相关要求。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磋商响应文件签字、盖章</w:t>
            </w:r>
          </w:p>
        </w:tc>
        <w:tc>
          <w:tcPr>
            <w:tcW w:type="dxa" w:w="3322"/>
          </w:tcPr>
          <w:p>
            <w:pPr>
              <w:pStyle w:val="null3"/>
            </w:pPr>
            <w:r>
              <w:rPr>
                <w:rFonts w:ascii="仿宋_GB2312" w:hAnsi="仿宋_GB2312" w:cs="仿宋_GB2312" w:eastAsia="仿宋_GB2312"/>
              </w:rPr>
              <w:t>响应文件、磋商响应函加盖供应商公章并经法定代表人或被授权委托人签字或盖章。</w:t>
            </w:r>
          </w:p>
        </w:tc>
        <w:tc>
          <w:tcPr>
            <w:tcW w:type="dxa" w:w="1661"/>
          </w:tcPr>
          <w:p>
            <w:pPr>
              <w:pStyle w:val="null3"/>
            </w:pPr>
            <w:r>
              <w:rPr>
                <w:rFonts w:ascii="仿宋_GB2312" w:hAnsi="仿宋_GB2312" w:cs="仿宋_GB2312" w:eastAsia="仿宋_GB2312"/>
              </w:rPr>
              <w:t>服务内容及服务邀请应答表 中小企业声明函 商务应答表 分项报价明细表.docx 报价表 资格证明资料.docx 响应文件封面 业绩资料.docx 残疾人福利性单位声明函 标的清单 响应函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磋商响应文件有效期</w:t>
            </w:r>
          </w:p>
        </w:tc>
        <w:tc>
          <w:tcPr>
            <w:tcW w:type="dxa" w:w="3322"/>
          </w:tcPr>
          <w:p>
            <w:pPr>
              <w:pStyle w:val="null3"/>
            </w:pPr>
            <w:r>
              <w:rPr>
                <w:rFonts w:ascii="仿宋_GB2312" w:hAnsi="仿宋_GB2312" w:cs="仿宋_GB2312" w:eastAsia="仿宋_GB2312"/>
              </w:rPr>
              <w:t>磋商响应文件有效期达到磋商文件的要求。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供应商首次磋商报价没有超出采购预算或最高限价。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符合技术、服务、商务要求</w:t>
            </w:r>
          </w:p>
        </w:tc>
        <w:tc>
          <w:tcPr>
            <w:tcW w:type="dxa" w:w="3322"/>
          </w:tcPr>
          <w:p>
            <w:pPr>
              <w:pStyle w:val="null3"/>
            </w:pPr>
            <w:r>
              <w:rPr>
                <w:rFonts w:ascii="仿宋_GB2312" w:hAnsi="仿宋_GB2312" w:cs="仿宋_GB2312" w:eastAsia="仿宋_GB2312"/>
              </w:rPr>
              <w:t>完全响应技术、服务、商务要求。</w:t>
            </w:r>
          </w:p>
        </w:tc>
        <w:tc>
          <w:tcPr>
            <w:tcW w:type="dxa" w:w="1661"/>
          </w:tcPr>
          <w:p>
            <w:pPr>
              <w:pStyle w:val="null3"/>
            </w:pPr>
            <w:r>
              <w:rPr>
                <w:rFonts w:ascii="仿宋_GB2312" w:hAnsi="仿宋_GB2312" w:cs="仿宋_GB2312" w:eastAsia="仿宋_GB2312"/>
              </w:rPr>
              <w:t>服务内容及服务邀请应答表 商务应答表 服务方案.docx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符合磋商文件规定的其他实质性要求的</w:t>
            </w:r>
          </w:p>
        </w:tc>
        <w:tc>
          <w:tcPr>
            <w:tcW w:type="dxa" w:w="3322"/>
          </w:tcPr>
          <w:p>
            <w:pPr>
              <w:pStyle w:val="null3"/>
            </w:pPr>
            <w:r>
              <w:rPr>
                <w:rFonts w:ascii="仿宋_GB2312" w:hAnsi="仿宋_GB2312" w:cs="仿宋_GB2312" w:eastAsia="仿宋_GB2312"/>
              </w:rPr>
              <w:t>符合磋商文件规定的其他实质性要求。</w:t>
            </w:r>
          </w:p>
        </w:tc>
        <w:tc>
          <w:tcPr>
            <w:tcW w:type="dxa" w:w="1661"/>
          </w:tcPr>
          <w:p>
            <w:pPr>
              <w:pStyle w:val="null3"/>
            </w:pPr>
            <w:r>
              <w:rPr>
                <w:rFonts w:ascii="仿宋_GB2312" w:hAnsi="仿宋_GB2312" w:cs="仿宋_GB2312" w:eastAsia="仿宋_GB2312"/>
              </w:rPr>
              <w:t>服务内容及服务邀请应答表 中小企业声明函 商务应答表 分项报价明细表.docx 报价表 资格证明资料.docx 响应文件封面 业绩资料.docx 残疾人福利性单位声明函 标的清单 响应函 服务方案.docx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不存在其他不符合法律法规或磋商文件规定的响应无效条款的情形。</w:t>
            </w:r>
          </w:p>
        </w:tc>
        <w:tc>
          <w:tcPr>
            <w:tcW w:type="dxa" w:w="1661"/>
          </w:tcPr>
          <w:p>
            <w:pPr>
              <w:pStyle w:val="null3"/>
            </w:pPr>
            <w:r>
              <w:rPr>
                <w:rFonts w:ascii="仿宋_GB2312" w:hAnsi="仿宋_GB2312" w:cs="仿宋_GB2312" w:eastAsia="仿宋_GB2312"/>
              </w:rPr>
              <w:t>服务内容及服务邀请应答表 中小企业声明函 商务应答表 分项报价明细表.docx 报价表 资格证明资料.docx 响应文件封面 业绩资料.docx 残疾人福利性单位声明函 标的清单 响应函 服务方案.docx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项目背景及需求分析</w:t>
            </w:r>
          </w:p>
        </w:tc>
        <w:tc>
          <w:tcPr>
            <w:tcW w:type="dxa" w:w="2492"/>
          </w:tcPr>
          <w:p>
            <w:pPr>
              <w:pStyle w:val="null3"/>
            </w:pPr>
            <w:r>
              <w:rPr>
                <w:rFonts w:ascii="仿宋_GB2312" w:hAnsi="仿宋_GB2312" w:cs="仿宋_GB2312" w:eastAsia="仿宋_GB2312"/>
              </w:rPr>
              <w:t>一、评审内容 针对本项目的服务内容及要求，供应商应对项目背景理解及需求分析，内容包括： 1、对项目背景的理解； 2、对项目的需求分析。 二、评审标准 1、完整性：项目背景及需求分析必须全面，对评审内容中的各项要求有详细描述； 2、可实施性：切合本项目实际情况，项目背景及需求分析具体、合理、可行； 3、针对性：项目背景及需求能够紧扣项目实际需求，内容科学合理。 三、赋分标准（满分3分） 1、对项目背景的理解：每完全满足一个评审标准得0.5分，满分1.5分； 2、对项目的需求分析：每完全满足一个评审标准得0.5分，满分1.5分。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项目服务方案</w:t>
            </w:r>
          </w:p>
        </w:tc>
        <w:tc>
          <w:tcPr>
            <w:tcW w:type="dxa" w:w="2492"/>
          </w:tcPr>
          <w:p>
            <w:pPr>
              <w:pStyle w:val="null3"/>
            </w:pPr>
            <w:r>
              <w:rPr>
                <w:rFonts w:ascii="仿宋_GB2312" w:hAnsi="仿宋_GB2312" w:cs="仿宋_GB2312" w:eastAsia="仿宋_GB2312"/>
              </w:rPr>
              <w:t>一、评审内容 针对本项目服务内容及要求，详细列明项目服务方案，方案内容包括： 1、服务目标； 2、服务计划； 3、服务内容； 4、重难点分析； 5、服务保障机制； 6、安全风险管理。 二、评审标准 1、完整性：方案必须全面，对评审内容中的各项要求有详细描述； 2、可实施性：切合本项目实际情况，实施步骤清晰、合理、可行； 3、针对性：方案能够紧扣项目实际需求，内容科学合理。 三、赋分标准（满分9分） 1、服务目标：每完全满足一个评审标准得 0.5分，满分1.5分； 2、服务计划：每完全满足一个评审标准得0.5分，满分1.5分； 3、服务内容：每完全满足一个评审标准得 0.5分，满分1.5分； 4、重难点分析：每完全满足一个评审标准得0.5分，满分1.5分； 5、服务保障机制：每完全满足一个评审标准得0.5 分，满分1.5分 6、安全风险管理：每完全满足一个评审标准得0.5分，满分1.5分。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为保障各项统计服务分析成果的真实和准确性提供实施方案，内容包括： 1、旬报统计审核服务； 2、动态监测服务； 3、节假日流量研判分析； 4、交通运输经济分析； 5、其他行业数据统计分析及流量分布地图编制； 6、近五年货运车辆运输专项分析。 二、评审标准 1、完整性：内容必须全面，对评审内容中的各项要求有详细描述； 2、可实施性：切合本项目实际情况，实施步骤清晰、合理、可行； 3、针对性：描述能够紧扣项目实际需求，内容科学合理。 三、赋分标准（满分18分） 1、旬报统计审核服务：每完全满足一个评审标准得1分，满分3分。 2、动态监测服务：每完全满足一个评审标准得1分，满分3分； 3、节假日流量研判分析：每完全满足一个评审标准得1分，满分3分； 4、交通运输经济分析：每完全满足一个评审标准得1分，满分3分； 5、其他行业数据统计分析及流量分布地图编制：每完全满足一个评审标准得1分，满分3分； 6、近五年货运车辆运输专项分析：每完全满足一个评审标准得1分，满分3 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技术支持服务方案</w:t>
            </w:r>
          </w:p>
        </w:tc>
        <w:tc>
          <w:tcPr>
            <w:tcW w:type="dxa" w:w="2492"/>
          </w:tcPr>
          <w:p>
            <w:pPr>
              <w:pStyle w:val="null3"/>
            </w:pPr>
            <w:r>
              <w:rPr>
                <w:rFonts w:ascii="仿宋_GB2312" w:hAnsi="仿宋_GB2312" w:cs="仿宋_GB2312" w:eastAsia="仿宋_GB2312"/>
              </w:rPr>
              <w:t>一、评审内容 为保障各项统计分析服务提供的技术支持服务，内容包括： 1、服务响应时间； 2、技术保障方案； 3、技术支持服务合理化建议。 二、评审标准 1、完整性：内容必须全面，对评审内容中的各项要求有详细描述； 2、可实施性：切合本项目实际情况，实施步骤清晰、合理、可行； 3、针对性：描述能够紧扣项目实际需求，内容科学合理。 三、赋分标准（满分9分） 1、服务响应时间：每完全满足一个评审标准得1分，满分3分； 2、技术保障方案：每完全满足一个评审标准得1分，满分3分； 3、技术支持服务合理化建议：每完全满足一个评审标准得1分，满分3分。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项目人员配置</w:t>
            </w:r>
          </w:p>
        </w:tc>
        <w:tc>
          <w:tcPr>
            <w:tcW w:type="dxa" w:w="2492"/>
          </w:tcPr>
          <w:p>
            <w:pPr>
              <w:pStyle w:val="null3"/>
            </w:pPr>
            <w:r>
              <w:rPr>
                <w:rFonts w:ascii="仿宋_GB2312" w:hAnsi="仿宋_GB2312" w:cs="仿宋_GB2312" w:eastAsia="仿宋_GB2312"/>
              </w:rPr>
              <w:t>一、评审内容 结合对本项目的服务内容及要求的人员配置，提供拟投入本项目人员，内容包括： 1、人员组织结构； 2、拟投入本项目的人员配置(提供简历表等,格式自拟,包括但不限于姓名、职务、年龄、工作经验、年限、学历等相关信息)； 3、项目人员岗位职责。 二、评审标准 1、完整性：人员配置必须全面，对评审内容中的各项要求有详细描述； 2、可实施性：切合本项目实际情况，人员分工明确，岗位设置合理、可行； 3、针对性：人员配置能够紧扣项目实际需求，科学合理。 三、赋分标准（满分9分） 1、人员组织结构：每完全满足一个评审标准得1分，满分 3分； 2、拟投入本项目的人员配置(提供简历表等,格式自拟,包括但不限于姓名、职务、年龄、工作经验、年限、学历等相关信息)：每完全满足一个评审标准得 1 分，满分3 分； 3、项目人员岗位职责：每完全满足一个评审标准得 1 分，满分3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应急处理方案</w:t>
            </w:r>
          </w:p>
        </w:tc>
        <w:tc>
          <w:tcPr>
            <w:tcW w:type="dxa" w:w="2492"/>
          </w:tcPr>
          <w:p>
            <w:pPr>
              <w:pStyle w:val="null3"/>
            </w:pPr>
            <w:r>
              <w:rPr>
                <w:rFonts w:ascii="仿宋_GB2312" w:hAnsi="仿宋_GB2312" w:cs="仿宋_GB2312" w:eastAsia="仿宋_GB2312"/>
              </w:rPr>
              <w:t>一、评审内容 供应商针对本项目提供合理的应急处理方案，包括： 1、应急处理时效响应； 2、应急处理方案。 二、评审标准 1、完整性：对评审内容中的各项要求有全面、详细描述； 2、可实施性：切合项目实际情况，各项内容清晰、合理、可行； 3、针对性：各项内容能够满足项目及采购人实际需求，内容科学合理。 三、赋分标准（满分3分） 1、应急处理时效响应：每完全满足一个评审标准得0.5分，满分1.5分； 2、应急处理方案：每完全满足一个评审标准得0.5分，满分1.5分。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服务保障方案</w:t>
            </w:r>
          </w:p>
        </w:tc>
        <w:tc>
          <w:tcPr>
            <w:tcW w:type="dxa" w:w="2492"/>
          </w:tcPr>
          <w:p>
            <w:pPr>
              <w:pStyle w:val="null3"/>
            </w:pPr>
            <w:r>
              <w:rPr>
                <w:rFonts w:ascii="仿宋_GB2312" w:hAnsi="仿宋_GB2312" w:cs="仿宋_GB2312" w:eastAsia="仿宋_GB2312"/>
              </w:rPr>
              <w:t>一、评审内容 供应商需针对服务内容及要求，提供服务保障方案，内容包括： 1、服务质量保证方案； 2、售后服务方案； 3、项目验收方案。 二、评审标准 1、完整性：内容必须全面，对评审内容中的各项要求有详细描述； 2、可实施性：切合本项目实际情况，实施步骤清晰、合理、可行； 3、针对性：描述能够紧扣项目实际需求，内容科学合理。 三、赋分标准（满分9分） 1、服务质量保证方案：每完全满足一个评审标准得1分，满分3分； 2、售后服务方案：每完全满足一个评审标准得1分，满分3分； 3、项目验收方案：每完全满足一个评审标准得 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服务能力</w:t>
            </w:r>
          </w:p>
        </w:tc>
        <w:tc>
          <w:tcPr>
            <w:tcW w:type="dxa" w:w="2492"/>
          </w:tcPr>
          <w:p>
            <w:pPr>
              <w:pStyle w:val="null3"/>
            </w:pPr>
            <w:r>
              <w:rPr>
                <w:rFonts w:ascii="仿宋_GB2312" w:hAnsi="仿宋_GB2312" w:cs="仿宋_GB2312" w:eastAsia="仿宋_GB2312"/>
              </w:rPr>
              <w:t>一、评审内容 供应商应满足本项目服务内容及技术要求的服务能力，内容包括： 1、数据信息成果真实性、准确性； 2、人员保密及管理制度体系。 二、评审标准 1、完整性：对评审内容中的各项要求有全面、详细描述； 2、可实施性：切合项目实际情况，各项内容清晰、合理、可行； 3、针对性：各项描述能够满足项目的实际需求，内容科学合理。 三、赋分标准（满分6分） 1、数据信息成果真实性、准确性：每完全满足一个评审标准得1分，满分3分； 2、人员保密及管理制度体系：每完全满足一个评审标准得1分，满分3分。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1、承诺：严格按照项目服务内容及要求，保证采购人要求各项服务的响应时限完成服务，确保交通量统计服务的质量，得2分。无承诺不得分。 2、承诺：为保证服务质量及问题及时响应，服务单位安排不少于1名数据分析人员作为本项目的常驻专职服务人员，每日9:00至17:00（包括周末及节假日）在采购人所在地驻场维护，得2分。无承诺不得分。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供应商应提供2023年1月1日起至今类似项目业绩，每提供1份业绩得2分，满分10分。 注：1、供应商提供的业绩以合同签订时间为准； 2、业绩资料需提供合同（合同关键页含客户名称、项目内容、签订日期、金额）等资料（需有甲方的签字或盖章）的复印件或扫描件，并加盖公章。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业绩资料.docx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后报价最低的供应商的价格为磋商基准价，其价格分为满分。其他供应商的价格分统一按照下列公式计算：磋商报价得分=（磋商基准价/最后磋商报价）×价格权重（20%）×100。（对满足价格扣除条件且在响应文件中提交了《中小企业声明函》、《残疾人福利性单位声明函》或省级以上监狱管理局、戒毒管理局（含新疆生产建设兵团）出具的属于监狱企业的证明文件的供应商，其响应报价扣除 10% 后参与评审。对于同时属于小微企业、监狱企业或残疾人福利性单位的，不重复进行响应报价扣除。）</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详见附件：分项报价明细表.docx</w:t>
      </w:r>
    </w:p>
    <w:p>
      <w:pPr>
        <w:pStyle w:val="null3"/>
        <w:ind w:firstLine="960"/>
      </w:pPr>
      <w:r>
        <w:rPr>
          <w:rFonts w:ascii="仿宋_GB2312" w:hAnsi="仿宋_GB2312" w:cs="仿宋_GB2312" w:eastAsia="仿宋_GB2312"/>
        </w:rPr>
        <w:t>详见附件：资格证明资料.docx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详见附件：业绩资料.docx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详见附件：合同主要条款.docx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