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ADCC">
      <w:pPr>
        <w:jc w:val="center"/>
        <w:rPr>
          <w:rFonts w:hint="eastAsia" w:ascii="宋体" w:hAnsi="宋体"/>
          <w:b/>
          <w:color w:val="auto"/>
          <w:sz w:val="32"/>
        </w:rPr>
      </w:pPr>
    </w:p>
    <w:p w14:paraId="78E71514">
      <w:pPr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698B6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</w:rPr>
      </w:pPr>
      <w:r>
        <w:rPr>
          <w:rFonts w:hint="eastAsia" w:ascii="宋体" w:hAnsi="宋体"/>
          <w:b/>
          <w:color w:val="auto"/>
          <w:sz w:val="26"/>
        </w:rPr>
        <w:t>（格式自拟）</w:t>
      </w:r>
    </w:p>
    <w:p w14:paraId="4FEAA345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740B8BE6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606E1C7A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15AA0549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99A0CD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6925B7BE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154C35F1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979C6FD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44A216C0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04F786AA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1474C549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388C4588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5318ADC0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7720B404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428AF46A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44BF6096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</w:rPr>
        <w:t>报货币为人民币。</w:t>
      </w:r>
    </w:p>
    <w:p w14:paraId="504048DA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2.如果单价与总价不符时，以单价为准。</w:t>
      </w:r>
    </w:p>
    <w:p w14:paraId="3EF9B882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3.本表中的“</w:t>
      </w:r>
      <w:r>
        <w:rPr>
          <w:rFonts w:ascii="宋体" w:hAnsi="宋体" w:cs="宋体"/>
          <w:color w:val="auto"/>
          <w:kern w:val="1"/>
          <w:sz w:val="24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</w:rPr>
        <w:t>报价</w:t>
      </w:r>
      <w:r>
        <w:rPr>
          <w:rFonts w:ascii="宋体" w:hAnsi="宋体" w:cs="宋体"/>
          <w:color w:val="auto"/>
          <w:kern w:val="1"/>
          <w:sz w:val="24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</w:rPr>
        <w:t>金额</w:t>
      </w:r>
      <w:r>
        <w:rPr>
          <w:rFonts w:ascii="宋体" w:hAnsi="宋体" w:cs="宋体"/>
          <w:color w:val="auto"/>
          <w:kern w:val="1"/>
          <w:sz w:val="24"/>
        </w:rPr>
        <w:t>一致。</w:t>
      </w:r>
    </w:p>
    <w:p w14:paraId="6FC5A53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5630B8C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03091F1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675A58F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3538154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A5C5F47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A39C8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1710"/>
    <w:rsid w:val="23681710"/>
    <w:rsid w:val="24702A4B"/>
    <w:rsid w:val="53BF4E90"/>
    <w:rsid w:val="7C37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2026-04-09T07:58:00Z</dcterms:created>
  <dc:creator>知子</dc:creator>
  <cp:lastModifiedBy>知子</cp:lastModifiedBy>
  <dcterms:modified xsi:type="dcterms:W3CDTF">2026-05-06T10:13:27Z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00C13CEA66DA47DDA7BE5811DD46F4A0_11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