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版本号：SCZA2026-ZB-1750-00120260806001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镇巴县中小学食堂智慧监管系统采购项目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SCZA2026-ZB-1750-001</w:t>
      </w:r>
      <w:r>
        <w:br/>
      </w:r>
      <w:r>
        <w:br/>
      </w:r>
      <w:r>
        <w:br/>
      </w:r>
    </w:p>
    <w:p>
      <w:pPr>
        <w:pStyle w:val="null3"/>
        <w:jc w:val="center"/>
        <w:outlineLvl w:val="2"/>
      </w:pPr>
      <w:r>
        <w:rPr>
          <w:rFonts w:ascii="仿宋_GB2312" w:hAnsi="仿宋_GB2312" w:cs="仿宋_GB2312" w:eastAsia="仿宋_GB2312"/>
          <w:sz w:val="28"/>
          <w:b/>
        </w:rPr>
        <w:t>镇巴县教育体育局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镇巴县教育体育局</w:t>
      </w:r>
      <w:r>
        <w:rPr>
          <w:rFonts w:ascii="仿宋_GB2312" w:hAnsi="仿宋_GB2312" w:cs="仿宋_GB2312" w:eastAsia="仿宋_GB2312"/>
        </w:rPr>
        <w:t>委托，拟对</w:t>
      </w:r>
      <w:r>
        <w:rPr>
          <w:rFonts w:ascii="仿宋_GB2312" w:hAnsi="仿宋_GB2312" w:cs="仿宋_GB2312" w:eastAsia="仿宋_GB2312"/>
        </w:rPr>
        <w:t>镇巴县中小学食堂智慧监管系统采购项目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SCZA2026-ZB-1750-001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镇巴县中小学食堂智慧监管系统采购项目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落实《陕西省中小学食堂管理办法》关于“带量食谱”和营养健康管理的要求，解决现有系统“有数据、未贯通、缺智能”的问题，本项目拟建设中小学食堂智慧监管系统。通过部署智慧监管系统，实现科学营养、智能验收、全链监管，确保学生吃得营养、安全、实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0916-6715680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开户银行：中国银行西安雁塔支行营业部</w:t>
            </w:r>
          </w:p>
          <w:p>
            <w:pPr>
              <w:pStyle w:val="null3"/>
            </w:pPr>
            <w:r>
              <w:rPr>
                <w:rFonts w:ascii="仿宋_GB2312" w:hAnsi="仿宋_GB2312" w:cs="仿宋_GB2312" w:eastAsia="仿宋_GB2312"/>
              </w:rPr>
              <w:t>银行账号：102061557412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供应商在领取中标通知书前，须向采购代理机构支付成交服务费，服务费由采购人与采购代理机构约定：（参照原国家计委计价格〔2002〕1980号文和发改办价格〔2003〕857号文的计算方法按标准（按标段）收取。2.中标单位的代理服务费交纳信息银行户名：陕西省采购招标有限责任公司开户银行：中国光大银行西安友谊路支行账号：78560188000095264联系人：张婕；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镇巴县教育体育局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陕西省中小学食堂管理办法》关于“带量食谱”和营养健康管理的要求，解决现有系统“有数据、未贯通、缺智能”的问题，本项目拟建设中小学食堂智慧监管系统。通过部署智慧监管系统，实现科学营养、智能验收、全链监管，确保学生吃得营养、安全、实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镇巴县中小学食堂智慧监管系统采购项目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标的名称：镇巴县中小学食堂智慧监管系统采购项目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5"/>
              <w:gridCol w:w="326"/>
              <w:gridCol w:w="365"/>
              <w:gridCol w:w="1223"/>
              <w:gridCol w:w="232"/>
              <w:gridCol w:w="232"/>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大类</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膳食营养带量食谱制作系统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膳食数据库</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膳食数据库包含食谱库、菜谱库、食材成分库、指标库和商品库等。</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食谱制作</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1.提供食谱设计、制作工具，能够快速配置一周带量、带价营养食谱，支持从菜谱库一键添加菜谱到周食谱中。</w:t>
                  </w:r>
                </w:p>
                <w:p>
                  <w:pPr>
                    <w:pStyle w:val="null3"/>
                    <w:jc w:val="left"/>
                  </w:pPr>
                  <w:r>
                    <w:rPr>
                      <w:rFonts w:ascii="仿宋_GB2312" w:hAnsi="仿宋_GB2312" w:cs="仿宋_GB2312" w:eastAsia="仿宋_GB2312"/>
                      <w:sz w:val="21"/>
                    </w:rPr>
                    <w:t>2.支持自定义当地特色菜肴，可从商品库按关键字或营养素快速搜索所需食材，能够对常用食材进行收藏。</w:t>
                  </w:r>
                </w:p>
                <w:p>
                  <w:pPr>
                    <w:pStyle w:val="null3"/>
                    <w:jc w:val="left"/>
                  </w:pPr>
                  <w:r>
                    <w:rPr>
                      <w:rFonts w:ascii="仿宋_GB2312" w:hAnsi="仿宋_GB2312" w:cs="仿宋_GB2312" w:eastAsia="仿宋_GB2312"/>
                      <w:sz w:val="21"/>
                    </w:rPr>
                    <w:t>3.要求提供云食谱库供使用用户使用参考，每份食谱需包括各类食材的用量、营养成分以及营养分析结果，支持一键复制云食谱到本地。</w:t>
                  </w:r>
                </w:p>
                <w:p>
                  <w:pPr>
                    <w:pStyle w:val="null3"/>
                    <w:jc w:val="left"/>
                  </w:pPr>
                  <w:r>
                    <w:rPr>
                      <w:rFonts w:ascii="仿宋_GB2312" w:hAnsi="仿宋_GB2312" w:cs="仿宋_GB2312" w:eastAsia="仿宋_GB2312"/>
                      <w:sz w:val="21"/>
                    </w:rPr>
                    <w:t>4.主要功能包括周食谱制作、食谱设置和食谱分类等。</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营养分析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1.以制作完成后的周食谱为基础，支持根据不同的评价标准进行营养分析并生成报告。</w:t>
                  </w:r>
                </w:p>
                <w:p>
                  <w:pPr>
                    <w:pStyle w:val="null3"/>
                    <w:jc w:val="left"/>
                  </w:pPr>
                  <w:r>
                    <w:rPr>
                      <w:rFonts w:ascii="仿宋_GB2312" w:hAnsi="仿宋_GB2312" w:cs="仿宋_GB2312" w:eastAsia="仿宋_GB2312"/>
                      <w:sz w:val="21"/>
                    </w:rPr>
                    <w:t>2.分析报告从食物供给量达到建议量的百分比分布情况表（人均）、各食物分类的供给量（人均）、营养素摄入量（人均）、营养素摄入量（人均）、能量来源（人均）、蛋白质来源分析（人均）等维度分析食谱的达标情况，并针对食物供应量偏低的部分给出调整建议。</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运动建议</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以制作完成后的周食谱为基础，能够基于周食谱所摄入的能量数据，生成合理化的运动建议，提供多样化的运动方式选择，满足不同人群的个性化需求。</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数据报表</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以周食谱数据为基础，能够生成周食谱报表、营养分析报表、采购计划报表等，以及根据业务需求定制的其他报表。</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食谱分享</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1.提供食谱成果快速分享功能，可设置食谱类型（周食谱、日食谱）、日期、分享单位名称、是否显示用量、食物种类、食物供给量、宏量营养素、其他营养素等信息。</w:t>
                  </w:r>
                </w:p>
                <w:p>
                  <w:pPr>
                    <w:pStyle w:val="null3"/>
                    <w:jc w:val="left"/>
                  </w:pPr>
                  <w:r>
                    <w:rPr>
                      <w:rFonts w:ascii="仿宋_GB2312" w:hAnsi="仿宋_GB2312" w:cs="仿宋_GB2312" w:eastAsia="仿宋_GB2312"/>
                      <w:sz w:val="21"/>
                    </w:rPr>
                    <w:t>2.支持对分享食谱进行换肤等操作，满足个性化美化需求，可分享至微信等社交工具。</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营养标签</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1.提供营养标签快速生成服务，通过对食物营养成分进行分析，计算菜谱、套餐营养组成成分，自动生成营养标签。</w:t>
                  </w:r>
                </w:p>
                <w:p>
                  <w:pPr>
                    <w:pStyle w:val="null3"/>
                    <w:jc w:val="left"/>
                  </w:pPr>
                  <w:r>
                    <w:rPr>
                      <w:rFonts w:ascii="仿宋_GB2312" w:hAnsi="仿宋_GB2312" w:cs="仿宋_GB2312" w:eastAsia="仿宋_GB2312"/>
                      <w:sz w:val="21"/>
                    </w:rPr>
                    <w:t>2.标签内容可灵活设置，默认主要包括食品名称、贮存条件、配料表、净含量、致敏物质、保质期、生产日期、营养成分表等。</w:t>
                  </w:r>
                </w:p>
                <w:p>
                  <w:pPr>
                    <w:pStyle w:val="null3"/>
                    <w:jc w:val="left"/>
                  </w:pPr>
                  <w:r>
                    <w:rPr>
                      <w:rFonts w:ascii="仿宋_GB2312" w:hAnsi="仿宋_GB2312" w:cs="仿宋_GB2312" w:eastAsia="仿宋_GB2312"/>
                      <w:sz w:val="21"/>
                    </w:rPr>
                    <w:t>3.支持标签导出、打印。</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营养成分计算器</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营养成分计算器能够分析当天就餐菜品，快速计算、分析当餐或三餐营养摄入情况。同时还能够为特殊人群定制食谱，精确控制能量、碳水化合物、脂肪、蛋白质、胆固醇、不溶性膳食纤维、各类维生素及微量元素、灰分等的摄入量。</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每日所需能量计算器</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提供每日所需能量计算功能，能够根据性别、体重、身高、年龄、活动系数（少量活动、轻度活动、中度活动、激烈活动）等数据，分析计算每日所需的卡路里等。</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菜谱库</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1.提供菜谱制作、查询、维护等管理服务，系统至少内置</w:t>
                  </w:r>
                  <w:r>
                    <w:rPr>
                      <w:rFonts w:ascii="仿宋_GB2312" w:hAnsi="仿宋_GB2312" w:cs="仿宋_GB2312" w:eastAsia="仿宋_GB2312"/>
                      <w:sz w:val="22"/>
                    </w:rPr>
                    <w:t>≥</w:t>
                  </w:r>
                  <w:r>
                    <w:rPr>
                      <w:rFonts w:ascii="仿宋_GB2312" w:hAnsi="仿宋_GB2312" w:cs="仿宋_GB2312" w:eastAsia="仿宋_GB2312"/>
                      <w:sz w:val="21"/>
                    </w:rPr>
                    <w:t>5000份常见菜肴的云菜谱库（已关联食物营养成分信息），制作食谱时支持一键添加菜谱，提高食谱制作效率。</w:t>
                  </w:r>
                </w:p>
                <w:p>
                  <w:pPr>
                    <w:pStyle w:val="null3"/>
                    <w:jc w:val="left"/>
                  </w:pPr>
                  <w:r>
                    <w:rPr>
                      <w:rFonts w:ascii="仿宋_GB2312" w:hAnsi="仿宋_GB2312" w:cs="仿宋_GB2312" w:eastAsia="仿宋_GB2312"/>
                      <w:sz w:val="21"/>
                    </w:rPr>
                    <w:t>2.本地特色菜肴可通过自制菜谱功能进行制作保存。</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商品档案</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商品档案包括商品信息查询、商品信息维护和商品信息导入与导出功能等。</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商品分类</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系统支持对商品一级分类、二级分类信息的新增、修改和删除等功能，同时能够对各分类信息进行排序等操作。</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商品图片</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系统提供商品封面、商品图片的快速导入界面，可以通过该界面批量导入商品图片。</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商品辅助资料</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系统提供计量单位的管理模块，可新增计量单位、排序等功能。</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用户管理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1.支持添加修改账号。</w:t>
                  </w:r>
                </w:p>
                <w:p>
                  <w:pPr>
                    <w:pStyle w:val="null3"/>
                    <w:jc w:val="left"/>
                  </w:pPr>
                  <w:r>
                    <w:rPr>
                      <w:rFonts w:ascii="仿宋_GB2312" w:hAnsi="仿宋_GB2312" w:cs="仿宋_GB2312" w:eastAsia="仿宋_GB2312"/>
                      <w:sz w:val="21"/>
                    </w:rPr>
                    <w:t>2.提供共计</w:t>
                  </w:r>
                  <w:r>
                    <w:rPr>
                      <w:rFonts w:ascii="仿宋_GB2312" w:hAnsi="仿宋_GB2312" w:cs="仿宋_GB2312" w:eastAsia="仿宋_GB2312"/>
                      <w:sz w:val="22"/>
                    </w:rPr>
                    <w:t>≥</w:t>
                  </w:r>
                  <w:r>
                    <w:rPr>
                      <w:rFonts w:ascii="仿宋_GB2312" w:hAnsi="仿宋_GB2312" w:cs="仿宋_GB2312" w:eastAsia="仿宋_GB2312"/>
                      <w:sz w:val="21"/>
                    </w:rPr>
                    <w:t>50个学校账号</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食堂营养餐管理系统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基础档案管理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设置功能包括：机构（学校管理）、部门、员工、</w:t>
                  </w:r>
                  <w:r>
                    <w:rPr>
                      <w:rFonts w:ascii="仿宋_GB2312" w:hAnsi="仿宋_GB2312" w:cs="仿宋_GB2312" w:eastAsia="仿宋_GB2312"/>
                      <w:sz w:val="21"/>
                    </w:rPr>
                    <w:t>往来或计量单位</w:t>
                  </w:r>
                  <w:r>
                    <w:rPr>
                      <w:rFonts w:ascii="仿宋_GB2312" w:hAnsi="仿宋_GB2312" w:cs="仿宋_GB2312" w:eastAsia="仿宋_GB2312"/>
                      <w:sz w:val="21"/>
                    </w:rPr>
                    <w:t>、存货、往来单位存货设置、电商商品、仓库、</w:t>
                  </w:r>
                  <w:r>
                    <w:rPr>
                      <w:rFonts w:ascii="仿宋_GB2312" w:hAnsi="仿宋_GB2312" w:cs="仿宋_GB2312" w:eastAsia="仿宋_GB2312"/>
                      <w:sz w:val="21"/>
                    </w:rPr>
                    <w:t>地区及基本信息</w:t>
                  </w:r>
                  <w:r>
                    <w:rPr>
                      <w:rFonts w:ascii="仿宋_GB2312" w:hAnsi="仿宋_GB2312" w:cs="仿宋_GB2312" w:eastAsia="仿宋_GB2312"/>
                      <w:sz w:val="21"/>
                    </w:rPr>
                    <w:t>、收付结算、收入、费用、账号、结算方式、财务信息、科目、凭证类别、</w:t>
                  </w:r>
                  <w:r>
                    <w:rPr>
                      <w:rFonts w:ascii="仿宋_GB2312" w:hAnsi="仿宋_GB2312" w:cs="仿宋_GB2312" w:eastAsia="仿宋_GB2312"/>
                      <w:sz w:val="21"/>
                    </w:rPr>
                    <w:t>凭证</w:t>
                  </w:r>
                  <w:r>
                    <w:rPr>
                      <w:rFonts w:ascii="仿宋_GB2312" w:hAnsi="仿宋_GB2312" w:cs="仿宋_GB2312" w:eastAsia="仿宋_GB2312"/>
                      <w:sz w:val="21"/>
                    </w:rPr>
                    <w:t>、</w:t>
                  </w:r>
                  <w:r>
                    <w:rPr>
                      <w:rFonts w:ascii="仿宋_GB2312" w:hAnsi="仿宋_GB2312" w:cs="仿宋_GB2312" w:eastAsia="仿宋_GB2312"/>
                      <w:sz w:val="21"/>
                    </w:rPr>
                    <w:t>摘要</w:t>
                  </w:r>
                  <w:r>
                    <w:rPr>
                      <w:rFonts w:ascii="仿宋_GB2312" w:hAnsi="仿宋_GB2312" w:cs="仿宋_GB2312" w:eastAsia="仿宋_GB2312"/>
                      <w:sz w:val="21"/>
                    </w:rPr>
                    <w:t>、现金流量项目、价格信息、进价设置导航、进价带出策略、供应商价格本、采购价格查询、</w:t>
                  </w:r>
                  <w:r>
                    <w:rPr>
                      <w:rFonts w:ascii="仿宋_GB2312" w:hAnsi="仿宋_GB2312" w:cs="仿宋_GB2312" w:eastAsia="仿宋_GB2312"/>
                      <w:sz w:val="21"/>
                    </w:rPr>
                    <w:t>采购价格波动分析</w:t>
                  </w:r>
                  <w:r>
                    <w:rPr>
                      <w:rFonts w:ascii="仿宋_GB2312" w:hAnsi="仿宋_GB2312" w:cs="仿宋_GB2312" w:eastAsia="仿宋_GB2312"/>
                      <w:sz w:val="21"/>
                    </w:rPr>
                    <w:t>、售价设置导航、售价带出策略、存货价格本、客户价格本、餐值类别、出入库类别、业务类型等功能。</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p>
                  <w:pPr>
                    <w:pStyle w:val="null3"/>
                    <w:jc w:val="both"/>
                  </w:p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w:t>
                  </w:r>
                </w:p>
                <w:p>
                  <w:pPr>
                    <w:pStyle w:val="null3"/>
                    <w:jc w:val="center"/>
                  </w:pPr>
                  <w:r>
                    <w:rPr>
                      <w:rFonts w:ascii="仿宋_GB2312" w:hAnsi="仿宋_GB2312" w:cs="仿宋_GB2312" w:eastAsia="仿宋_GB2312"/>
                      <w:sz w:val="21"/>
                    </w:rPr>
                    <w:t>管理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设置功能包括：基本信息</w:t>
                  </w:r>
                  <w:r>
                    <w:rPr>
                      <w:rFonts w:ascii="仿宋_GB2312" w:hAnsi="仿宋_GB2312" w:cs="仿宋_GB2312" w:eastAsia="仿宋_GB2312"/>
                      <w:sz w:val="21"/>
                    </w:rPr>
                    <w:t>等</w:t>
                  </w:r>
                  <w:r>
                    <w:rPr>
                      <w:rFonts w:ascii="仿宋_GB2312" w:hAnsi="仿宋_GB2312" w:cs="仿宋_GB2312" w:eastAsia="仿宋_GB2312"/>
                      <w:sz w:val="21"/>
                    </w:rPr>
                    <w:t>、功能启用、选项设置、会计期间、业务流程、用户权限、看板授权、单据档案设置、单据设计、移动单据设置、移动模板设置、单据编码设置、单据审核设置、</w:t>
                  </w:r>
                  <w:r>
                    <w:rPr>
                      <w:rFonts w:ascii="仿宋_GB2312" w:hAnsi="仿宋_GB2312" w:cs="仿宋_GB2312" w:eastAsia="仿宋_GB2312"/>
                      <w:sz w:val="21"/>
                    </w:rPr>
                    <w:t>打印管理、出厂值设置</w:t>
                  </w:r>
                  <w:r>
                    <w:rPr>
                      <w:rFonts w:ascii="仿宋_GB2312" w:hAnsi="仿宋_GB2312" w:cs="仿宋_GB2312" w:eastAsia="仿宋_GB2312"/>
                      <w:sz w:val="21"/>
                    </w:rPr>
                    <w:t>、智能选单、消息中心及预警、单据消息、预警消息、查询消息设置、个性化消息设置、内部消息查询、</w:t>
                  </w:r>
                  <w:r>
                    <w:rPr>
                      <w:rFonts w:ascii="仿宋_GB2312" w:hAnsi="仿宋_GB2312" w:cs="仿宋_GB2312" w:eastAsia="仿宋_GB2312"/>
                      <w:sz w:val="21"/>
                    </w:rPr>
                    <w:t>数据迁移升级</w:t>
                  </w:r>
                  <w:r>
                    <w:rPr>
                      <w:rFonts w:ascii="仿宋_GB2312" w:hAnsi="仿宋_GB2312" w:cs="仿宋_GB2312" w:eastAsia="仿宋_GB2312"/>
                      <w:sz w:val="21"/>
                    </w:rPr>
                    <w:t>、常用模板设置、预警设置、账套管理及工具、备份账套、恢复账套、备份计划（可云端备份）、任务管理、日志管理、大屏设备管理、大屏客户端下载中心、</w:t>
                  </w:r>
                  <w:r>
                    <w:rPr>
                      <w:rFonts w:ascii="仿宋_GB2312" w:hAnsi="仿宋_GB2312" w:cs="仿宋_GB2312" w:eastAsia="仿宋_GB2312"/>
                      <w:sz w:val="21"/>
                    </w:rPr>
                    <w:t>业务及财务结账</w:t>
                  </w:r>
                  <w:r>
                    <w:rPr>
                      <w:rFonts w:ascii="仿宋_GB2312" w:hAnsi="仿宋_GB2312" w:cs="仿宋_GB2312" w:eastAsia="仿宋_GB2312"/>
                      <w:sz w:val="21"/>
                    </w:rPr>
                    <w:t>、基础档案设置、枚举档案设置、基础档案编码设置、自定义档率设置、下载模板、数据导入、数据导出、日常业务等。</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库存核算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设置功能包括：</w:t>
                  </w:r>
                  <w:r>
                    <w:rPr>
                      <w:rFonts w:ascii="仿宋_GB2312" w:hAnsi="仿宋_GB2312" w:cs="仿宋_GB2312" w:eastAsia="仿宋_GB2312"/>
                      <w:sz w:val="21"/>
                    </w:rPr>
                    <w:t>采购入库单</w:t>
                  </w:r>
                  <w:r>
                    <w:rPr>
                      <w:rFonts w:ascii="仿宋_GB2312" w:hAnsi="仿宋_GB2312" w:cs="仿宋_GB2312" w:eastAsia="仿宋_GB2312"/>
                      <w:sz w:val="21"/>
                    </w:rPr>
                    <w:t>、领用出库（教师与营养餐及退库）及单餐成本核算、出库日清表（营养餐</w:t>
                  </w:r>
                  <w:r>
                    <w:rPr>
                      <w:rFonts w:ascii="仿宋_GB2312" w:hAnsi="仿宋_GB2312" w:cs="仿宋_GB2312" w:eastAsia="仿宋_GB2312"/>
                      <w:sz w:val="21"/>
                    </w:rPr>
                    <w:t>&amp;非营养餐）、出库周清单（营养餐&amp;非营养餐）、出库调整单、其他入库单、其他出库单、盘点单、采购入库单明细表统计表、采购入库单统计表、领用出库单明细表</w:t>
                  </w:r>
                  <w:r>
                    <w:rPr>
                      <w:rFonts w:ascii="仿宋_GB2312" w:hAnsi="仿宋_GB2312" w:cs="仿宋_GB2312" w:eastAsia="仿宋_GB2312"/>
                      <w:sz w:val="21"/>
                    </w:rPr>
                    <w:t>及统计表</w:t>
                  </w:r>
                  <w:r>
                    <w:rPr>
                      <w:rFonts w:ascii="仿宋_GB2312" w:hAnsi="仿宋_GB2312" w:cs="仿宋_GB2312" w:eastAsia="仿宋_GB2312"/>
                      <w:sz w:val="21"/>
                    </w:rPr>
                    <w:t>、</w:t>
                  </w:r>
                  <w:r>
                    <w:rPr>
                      <w:rFonts w:ascii="仿宋_GB2312" w:hAnsi="仿宋_GB2312" w:cs="仿宋_GB2312" w:eastAsia="仿宋_GB2312"/>
                      <w:sz w:val="21"/>
                    </w:rPr>
                    <w:t>其他入库单明细表及统计表</w:t>
                  </w:r>
                  <w:r>
                    <w:rPr>
                      <w:rFonts w:ascii="仿宋_GB2312" w:hAnsi="仿宋_GB2312" w:cs="仿宋_GB2312" w:eastAsia="仿宋_GB2312"/>
                      <w:sz w:val="21"/>
                    </w:rPr>
                    <w:t>、其他出库单明细表、其他出库单统计表、入库调整单、出库调整单、重新计价、成本维护、成本差异查询、存货明细账、存货总账、有效期维护、库存上下限维护、库龄预警分析、库存账表、现存量查询、可用量整理工具、库存状况表、出入库流水、出入库汇总、收发存汇总表、库存台账、批次现存量、批次台账、批次汇总表、保质期查询、综合报表、要货单执行表、呆滞存货分析表、库存周转率分析表、库龄分析表、库存资金占用分析表、库存存货毛利预估表</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采购管理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设置功能包括：</w:t>
                  </w:r>
                  <w:r>
                    <w:rPr>
                      <w:rFonts w:ascii="仿宋_GB2312" w:hAnsi="仿宋_GB2312" w:cs="仿宋_GB2312" w:eastAsia="仿宋_GB2312"/>
                      <w:sz w:val="21"/>
                    </w:rPr>
                    <w:t>采购计划单及订单</w:t>
                  </w:r>
                  <w:r>
                    <w:rPr>
                      <w:rFonts w:ascii="仿宋_GB2312" w:hAnsi="仿宋_GB2312" w:cs="仿宋_GB2312" w:eastAsia="仿宋_GB2312"/>
                      <w:sz w:val="21"/>
                    </w:rPr>
                    <w:t>、采购进货单、采购发票、采购计划单明细表、采购计划单统计表、采购订单明细表、采购订单统计表、进货单明细表、进货单统计表、采购发票明细表、采购发票统计表、采购订单执行表、进货单执行表、请购单执行表、采购综合统计分析报表等功能。</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总账</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置功能包括：填制凭证、凭证管理、草稿管理、记账、科目设置、摘要设置、单据生凭证、结转销售成本、凭证单据对照表、期末处理、自定义结转、期间损益结转、凭证整理、科目总账、科目明细账、银行存款日记账、科目多栏账、科目余额表、科目日报表、科目汇总表、辅助总账、辅助明细账、辅助多栏账、辅助余额表、现金流量录入、现金流量明细账、现金流量统计表、往来核销、往来明细账、往来单位对账单、应收账龄分析、应付账龄分析、个人往来对账单、个人往来账龄分析、往来资金预测表、科目部门明细账、科目存货明细账、科目个人明细账、科目往来单位明细账、科目项目明细账、部门发生统计表、科目存货余额表、科目个人余额表、科目往来单位余额表、项目往来单位余额表、电子档案、凭证打印、账簿打印、会计核算接口等功能。</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报表管理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设置功能包括：资产负债表、食堂收支明细表、自定义报表、报表联查、报表自检、出纳应用、现金银行日记账、日记账生成凭证、收入支出单自动生成日记账、日记账总账对账、余额调节表等功能。</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多机构（学校管理）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设置功能包括：库存状况表、出入库流水、出入库汇总、收发存汇总表、库存台账、批次现存量、批次台账、批次汇总表、科目部门明细账、科目存货明细账、科目个人明细账、科目往来单位明细账、科目项目明细账、部门发生统计表、科目存货余额表、科目个人余额表、科目往来单位余额表、项目往来单位余额表等功能。</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智慧监管：十统一、六到位</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智慧监管、包括：留样登记、明细表、餐具消毒、明细表、维修保养、明细表、病因追踪、明细表、食安培训、明细表、食安考核、明细表、生物防制、明细表、投诉记录、明细表、晨检登记、明细表、校园档案、班级档案、餐次档案、餐具用具、教师档案、学生档案、症状档案、考勤档案、</w:t>
                  </w:r>
                  <w:r>
                    <w:rPr>
                      <w:rFonts w:ascii="仿宋_GB2312" w:hAnsi="仿宋_GB2312" w:cs="仿宋_GB2312" w:eastAsia="仿宋_GB2312"/>
                      <w:sz w:val="21"/>
                    </w:rPr>
                    <w:t>教辅档案</w:t>
                  </w:r>
                  <w:r>
                    <w:rPr>
                      <w:rFonts w:ascii="仿宋_GB2312" w:hAnsi="仿宋_GB2312" w:cs="仿宋_GB2312" w:eastAsia="仿宋_GB2312"/>
                      <w:sz w:val="21"/>
                    </w:rPr>
                    <w:t>、计费档案、</w:t>
                  </w:r>
                  <w:r>
                    <w:rPr>
                      <w:rFonts w:ascii="仿宋_GB2312" w:hAnsi="仿宋_GB2312" w:cs="仿宋_GB2312" w:eastAsia="仿宋_GB2312"/>
                      <w:sz w:val="21"/>
                    </w:rPr>
                    <w:t>校服档案</w:t>
                  </w:r>
                  <w:r>
                    <w:rPr>
                      <w:rFonts w:ascii="仿宋_GB2312" w:hAnsi="仿宋_GB2312" w:cs="仿宋_GB2312" w:eastAsia="仿宋_GB2312"/>
                      <w:sz w:val="21"/>
                    </w:rPr>
                    <w:t>、废弃物处置明细表、废油脂回收明细表、操作间消毒明细表、餐成本明细表、就餐人次、就餐收入、课后延时、校服征订、就餐人次、就餐人次明细表、统计表、就餐收入明细表、统计表、课后延时明细表、统计表、</w:t>
                  </w:r>
                  <w:r>
                    <w:rPr>
                      <w:rFonts w:ascii="仿宋_GB2312" w:hAnsi="仿宋_GB2312" w:cs="仿宋_GB2312" w:eastAsia="仿宋_GB2312"/>
                      <w:sz w:val="21"/>
                    </w:rPr>
                    <w:t>校服征订明细表</w:t>
                  </w:r>
                  <w:r>
                    <w:rPr>
                      <w:rFonts w:ascii="仿宋_GB2312" w:hAnsi="仿宋_GB2312" w:cs="仿宋_GB2312" w:eastAsia="仿宋_GB2312"/>
                      <w:sz w:val="21"/>
                    </w:rPr>
                    <w:t>、统计表、就餐人次明细表、统计表、餐成本统计表、餐食材明细表、餐食材统计表</w:t>
                  </w: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云服务器</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≥16C，≥64G，硬盘≥260G，宽带≥10M，专属域名全链路加密传输、自动防护漏洞、多重动态防御、防扫描及探测；</w:t>
                  </w:r>
                </w:p>
                <w:p>
                  <w:pPr>
                    <w:pStyle w:val="null3"/>
                    <w:numPr>
                      <w:ilvl w:val="0"/>
                      <w:numId w:val="1"/>
                    </w:numPr>
                    <w:jc w:val="left"/>
                  </w:pPr>
                  <w:r>
                    <w:rPr>
                      <w:rFonts w:ascii="仿宋_GB2312" w:hAnsi="仿宋_GB2312" w:cs="仿宋_GB2312" w:eastAsia="仿宋_GB2312"/>
                      <w:sz w:val="21"/>
                    </w:rPr>
                    <w:t>被动防护：文件查杀、本地提权、漏洞管理高危命令、恶意请求；</w:t>
                  </w:r>
                </w:p>
                <w:p>
                  <w:pPr>
                    <w:pStyle w:val="null3"/>
                    <w:numPr>
                      <w:ilvl w:val="0"/>
                      <w:numId w:val="1"/>
                    </w:numPr>
                    <w:jc w:val="left"/>
                  </w:pPr>
                  <w:r>
                    <w:rPr>
                      <w:rFonts w:ascii="仿宋_GB2312" w:hAnsi="仿宋_GB2312" w:cs="仿宋_GB2312" w:eastAsia="仿宋_GB2312"/>
                      <w:sz w:val="21"/>
                    </w:rPr>
                    <w:t>兜底策略：全量无感备份、一键恢复系统；</w:t>
                  </w:r>
                </w:p>
                <w:p>
                  <w:pPr>
                    <w:pStyle w:val="null3"/>
                    <w:numPr>
                      <w:ilvl w:val="0"/>
                      <w:numId w:val="1"/>
                    </w:numPr>
                    <w:jc w:val="left"/>
                  </w:pPr>
                  <w:r>
                    <w:rPr>
                      <w:rFonts w:ascii="仿宋_GB2312" w:hAnsi="仿宋_GB2312" w:cs="仿宋_GB2312" w:eastAsia="仿宋_GB2312"/>
                      <w:sz w:val="21"/>
                    </w:rPr>
                    <w:t>网络防护：应用防火墙、网络防火墙；</w:t>
                  </w:r>
                </w:p>
                <w:p>
                  <w:pPr>
                    <w:pStyle w:val="null3"/>
                    <w:numPr>
                      <w:ilvl w:val="0"/>
                      <w:numId w:val="1"/>
                    </w:numPr>
                    <w:jc w:val="left"/>
                  </w:pPr>
                  <w:r>
                    <w:rPr>
                      <w:rFonts w:ascii="仿宋_GB2312" w:hAnsi="仿宋_GB2312" w:cs="仿宋_GB2312" w:eastAsia="仿宋_GB2312"/>
                      <w:sz w:val="21"/>
                    </w:rPr>
                    <w:t>安全监控：云蓄控；</w:t>
                  </w:r>
                </w:p>
                <w:p>
                  <w:pPr>
                    <w:pStyle w:val="null3"/>
                    <w:numPr>
                      <w:ilvl w:val="0"/>
                      <w:numId w:val="1"/>
                    </w:numPr>
                    <w:jc w:val="left"/>
                  </w:pPr>
                  <w:r>
                    <w:rPr>
                      <w:rFonts w:ascii="仿宋_GB2312" w:hAnsi="仿宋_GB2312" w:cs="仿宋_GB2312" w:eastAsia="仿宋_GB2312"/>
                      <w:sz w:val="21"/>
                    </w:rPr>
                    <w:t>备份服务：全量备份；</w:t>
                  </w:r>
                </w:p>
                <w:p>
                  <w:pPr>
                    <w:pStyle w:val="null3"/>
                    <w:numPr>
                      <w:ilvl w:val="0"/>
                      <w:numId w:val="1"/>
                    </w:numPr>
                    <w:jc w:val="left"/>
                  </w:pPr>
                  <w:r>
                    <w:rPr>
                      <w:rFonts w:ascii="仿宋_GB2312" w:hAnsi="仿宋_GB2312" w:cs="仿宋_GB2312" w:eastAsia="仿宋_GB2312"/>
                      <w:sz w:val="21"/>
                    </w:rPr>
                    <w:t>含主机安全、网络安全、证书安全，至少</w:t>
                  </w:r>
                  <w:r>
                    <w:rPr>
                      <w:rFonts w:ascii="仿宋_GB2312" w:hAnsi="仿宋_GB2312" w:cs="仿宋_GB2312" w:eastAsia="仿宋_GB2312"/>
                      <w:sz w:val="21"/>
                    </w:rPr>
                    <w:t>1年租赁期。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食堂验收秤</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numPr>
                      <w:ilvl w:val="0"/>
                      <w:numId w:val="1"/>
                    </w:numPr>
                    <w:jc w:val="left"/>
                  </w:pPr>
                  <w:r>
                    <w:rPr>
                      <w:rFonts w:ascii="仿宋_GB2312" w:hAnsi="仿宋_GB2312" w:cs="仿宋_GB2312" w:eastAsia="仿宋_GB2312"/>
                      <w:sz w:val="21"/>
                    </w:rPr>
                    <w:t>台面尺寸：</w:t>
                  </w:r>
                  <w:r>
                    <w:rPr>
                      <w:rFonts w:ascii="仿宋_GB2312" w:hAnsi="仿宋_GB2312" w:cs="仿宋_GB2312" w:eastAsia="仿宋_GB2312"/>
                      <w:sz w:val="21"/>
                    </w:rPr>
                    <w:t>≥400*500mm</w:t>
                  </w:r>
                </w:p>
                <w:p>
                  <w:pPr>
                    <w:pStyle w:val="null3"/>
                    <w:numPr>
                      <w:ilvl w:val="0"/>
                      <w:numId w:val="1"/>
                    </w:numPr>
                    <w:jc w:val="left"/>
                  </w:pPr>
                  <w:r>
                    <w:rPr>
                      <w:rFonts w:ascii="仿宋_GB2312" w:hAnsi="仿宋_GB2312" w:cs="仿宋_GB2312" w:eastAsia="仿宋_GB2312"/>
                      <w:sz w:val="21"/>
                    </w:rPr>
                    <w:t>显示器规格：</w:t>
                  </w:r>
                  <w:r>
                    <w:rPr>
                      <w:rFonts w:ascii="仿宋_GB2312" w:hAnsi="仿宋_GB2312" w:cs="仿宋_GB2312" w:eastAsia="仿宋_GB2312"/>
                      <w:sz w:val="21"/>
                    </w:rPr>
                    <w:t>≥15.6英寸</w:t>
                  </w:r>
                </w:p>
                <w:p>
                  <w:pPr>
                    <w:pStyle w:val="null3"/>
                    <w:numPr>
                      <w:ilvl w:val="0"/>
                      <w:numId w:val="1"/>
                    </w:numPr>
                    <w:jc w:val="left"/>
                  </w:pPr>
                  <w:r>
                    <w:rPr>
                      <w:rFonts w:ascii="仿宋_GB2312" w:hAnsi="仿宋_GB2312" w:cs="仿宋_GB2312" w:eastAsia="仿宋_GB2312"/>
                      <w:sz w:val="21"/>
                    </w:rPr>
                    <w:t>触摸屏：电容触摸，防护等级</w:t>
                  </w:r>
                  <w:r>
                    <w:rPr>
                      <w:rFonts w:ascii="仿宋_GB2312" w:hAnsi="仿宋_GB2312" w:cs="仿宋_GB2312" w:eastAsia="仿宋_GB2312"/>
                      <w:sz w:val="21"/>
                    </w:rPr>
                    <w:t>≥IP65；</w:t>
                  </w:r>
                </w:p>
                <w:p>
                  <w:pPr>
                    <w:pStyle w:val="null3"/>
                    <w:numPr>
                      <w:ilvl w:val="0"/>
                      <w:numId w:val="1"/>
                    </w:numPr>
                    <w:jc w:val="left"/>
                  </w:pPr>
                  <w:r>
                    <w:rPr>
                      <w:rFonts w:ascii="仿宋_GB2312" w:hAnsi="仿宋_GB2312" w:cs="仿宋_GB2312" w:eastAsia="仿宋_GB2312"/>
                      <w:sz w:val="21"/>
                    </w:rPr>
                    <w:t>分辨率：</w:t>
                  </w:r>
                  <w:r>
                    <w:rPr>
                      <w:rFonts w:ascii="仿宋_GB2312" w:hAnsi="仿宋_GB2312" w:cs="仿宋_GB2312" w:eastAsia="仿宋_GB2312"/>
                      <w:sz w:val="21"/>
                    </w:rPr>
                    <w:t>≥1920*1080；</w:t>
                  </w:r>
                </w:p>
                <w:p>
                  <w:pPr>
                    <w:pStyle w:val="null3"/>
                    <w:numPr>
                      <w:ilvl w:val="0"/>
                      <w:numId w:val="1"/>
                    </w:numPr>
                    <w:jc w:val="left"/>
                  </w:pPr>
                  <w:r>
                    <w:rPr>
                      <w:rFonts w:ascii="仿宋_GB2312" w:hAnsi="仿宋_GB2312" w:cs="仿宋_GB2312" w:eastAsia="仿宋_GB2312"/>
                      <w:sz w:val="21"/>
                    </w:rPr>
                    <w:t>操作系统：兼容</w:t>
                  </w:r>
                  <w:r>
                    <w:rPr>
                      <w:rFonts w:ascii="仿宋_GB2312" w:hAnsi="仿宋_GB2312" w:cs="仿宋_GB2312" w:eastAsia="仿宋_GB2312"/>
                      <w:sz w:val="21"/>
                    </w:rPr>
                    <w:t>Windows等操作系统；</w:t>
                  </w:r>
                </w:p>
                <w:p>
                  <w:pPr>
                    <w:pStyle w:val="null3"/>
                    <w:numPr>
                      <w:ilvl w:val="0"/>
                      <w:numId w:val="1"/>
                    </w:numPr>
                    <w:jc w:val="left"/>
                  </w:pPr>
                  <w:r>
                    <w:rPr>
                      <w:rFonts w:ascii="仿宋_GB2312" w:hAnsi="仿宋_GB2312" w:cs="仿宋_GB2312" w:eastAsia="仿宋_GB2312"/>
                      <w:sz w:val="21"/>
                    </w:rPr>
                    <w:t>通讯接口：</w:t>
                  </w:r>
                  <w:r>
                    <w:rPr>
                      <w:rFonts w:ascii="仿宋_GB2312" w:hAnsi="仿宋_GB2312" w:cs="仿宋_GB2312" w:eastAsia="仿宋_GB2312"/>
                      <w:sz w:val="21"/>
                    </w:rPr>
                    <w:t>≥RS232*2，≥USB*4 ，≥网口*1；</w:t>
                  </w:r>
                </w:p>
                <w:p>
                  <w:pPr>
                    <w:pStyle w:val="null3"/>
                    <w:numPr>
                      <w:ilvl w:val="0"/>
                      <w:numId w:val="1"/>
                    </w:numPr>
                    <w:jc w:val="left"/>
                  </w:pPr>
                  <w:r>
                    <w:rPr>
                      <w:rFonts w:ascii="仿宋_GB2312" w:hAnsi="仿宋_GB2312" w:cs="仿宋_GB2312" w:eastAsia="仿宋_GB2312"/>
                      <w:sz w:val="21"/>
                    </w:rPr>
                    <w:t>通讯方式：支持</w:t>
                  </w:r>
                  <w:r>
                    <w:rPr>
                      <w:rFonts w:ascii="仿宋_GB2312" w:hAnsi="仿宋_GB2312" w:cs="仿宋_GB2312" w:eastAsia="仿宋_GB2312"/>
                      <w:sz w:val="21"/>
                    </w:rPr>
                    <w:t>wifi、蓝牙；</w:t>
                  </w:r>
                </w:p>
                <w:p>
                  <w:pPr>
                    <w:pStyle w:val="null3"/>
                    <w:numPr>
                      <w:ilvl w:val="0"/>
                      <w:numId w:val="1"/>
                    </w:numPr>
                    <w:jc w:val="left"/>
                  </w:pPr>
                  <w:r>
                    <w:rPr>
                      <w:rFonts w:ascii="仿宋_GB2312" w:hAnsi="仿宋_GB2312" w:cs="仿宋_GB2312" w:eastAsia="仿宋_GB2312"/>
                      <w:sz w:val="21"/>
                    </w:rPr>
                    <w:t>多功能电源管理称重盒：</w:t>
                  </w:r>
                </w:p>
                <w:p>
                  <w:pPr>
                    <w:pStyle w:val="null3"/>
                    <w:numPr>
                      <w:ilvl w:val="0"/>
                      <w:numId w:val="1"/>
                    </w:numPr>
                    <w:jc w:val="left"/>
                  </w:pPr>
                  <w:r>
                    <w:rPr>
                      <w:rFonts w:ascii="仿宋_GB2312" w:hAnsi="仿宋_GB2312" w:cs="仿宋_GB2312" w:eastAsia="仿宋_GB2312"/>
                      <w:sz w:val="21"/>
                    </w:rPr>
                    <w:t>内存：</w:t>
                  </w:r>
                  <w:r>
                    <w:rPr>
                      <w:rFonts w:ascii="仿宋_GB2312" w:hAnsi="仿宋_GB2312" w:cs="仿宋_GB2312" w:eastAsia="仿宋_GB2312"/>
                      <w:sz w:val="21"/>
                    </w:rPr>
                    <w:t>≥8G</w:t>
                  </w:r>
                </w:p>
                <w:p>
                  <w:pPr>
                    <w:pStyle w:val="null3"/>
                    <w:numPr>
                      <w:ilvl w:val="0"/>
                      <w:numId w:val="1"/>
                    </w:numPr>
                    <w:jc w:val="left"/>
                  </w:pPr>
                  <w:r>
                    <w:rPr>
                      <w:rFonts w:ascii="仿宋_GB2312" w:hAnsi="仿宋_GB2312" w:cs="仿宋_GB2312" w:eastAsia="仿宋_GB2312"/>
                      <w:sz w:val="21"/>
                    </w:rPr>
                    <w:t>储存：</w:t>
                  </w:r>
                  <w:r>
                    <w:rPr>
                      <w:rFonts w:ascii="仿宋_GB2312" w:hAnsi="仿宋_GB2312" w:cs="仿宋_GB2312" w:eastAsia="仿宋_GB2312"/>
                      <w:sz w:val="21"/>
                    </w:rPr>
                    <w:t>≥128G</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最大量程：</w:t>
                  </w:r>
                  <w:r>
                    <w:rPr>
                      <w:rFonts w:ascii="仿宋_GB2312" w:hAnsi="仿宋_GB2312" w:cs="仿宋_GB2312" w:eastAsia="仿宋_GB2312"/>
                      <w:sz w:val="21"/>
                    </w:rPr>
                    <w:t>≥150kg</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显示分度值：</w:t>
                  </w:r>
                  <w:r>
                    <w:rPr>
                      <w:rFonts w:ascii="仿宋_GB2312" w:hAnsi="仿宋_GB2312" w:cs="仿宋_GB2312" w:eastAsia="仿宋_GB2312"/>
                      <w:sz w:val="21"/>
                    </w:rPr>
                    <w:t>≤20g</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检定分度值：</w:t>
                  </w:r>
                  <w:r>
                    <w:rPr>
                      <w:rFonts w:ascii="仿宋_GB2312" w:hAnsi="仿宋_GB2312" w:cs="仿宋_GB2312" w:eastAsia="仿宋_GB2312"/>
                      <w:sz w:val="21"/>
                    </w:rPr>
                    <w:t>≤50g</w:t>
                  </w:r>
                </w:p>
                <w:p>
                  <w:pPr>
                    <w:pStyle w:val="null3"/>
                    <w:numPr>
                      <w:ilvl w:val="0"/>
                      <w:numId w:val="1"/>
                    </w:numPr>
                    <w:jc w:val="left"/>
                  </w:pPr>
                  <w:r>
                    <w:rPr>
                      <w:rFonts w:ascii="仿宋_GB2312" w:hAnsi="仿宋_GB2312" w:cs="仿宋_GB2312" w:eastAsia="仿宋_GB2312"/>
                      <w:sz w:val="21"/>
                    </w:rPr>
                    <w:t>专用电源：具备防浪涌，抗干扰配置；</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摄像头：</w:t>
                  </w:r>
                  <w:r>
                    <w:rPr>
                      <w:rFonts w:ascii="仿宋_GB2312" w:hAnsi="仿宋_GB2312" w:cs="仿宋_GB2312" w:eastAsia="仿宋_GB2312"/>
                      <w:sz w:val="21"/>
                    </w:rPr>
                    <w:t>≥500万像素，支持Ai识别；</w:t>
                  </w:r>
                </w:p>
                <w:p>
                  <w:pPr>
                    <w:pStyle w:val="null3"/>
                    <w:numPr>
                      <w:ilvl w:val="0"/>
                      <w:numId w:val="1"/>
                    </w:numPr>
                    <w:jc w:val="left"/>
                  </w:pPr>
                  <w:r>
                    <w:rPr>
                      <w:rFonts w:ascii="仿宋_GB2312" w:hAnsi="仿宋_GB2312" w:cs="仿宋_GB2312" w:eastAsia="仿宋_GB2312"/>
                      <w:sz w:val="21"/>
                    </w:rPr>
                    <w:t>Ai识别：Ai识别率≥99.9%</w:t>
                  </w:r>
                </w:p>
                <w:p>
                  <w:pPr>
                    <w:pStyle w:val="null3"/>
                    <w:numPr>
                      <w:ilvl w:val="0"/>
                      <w:numId w:val="1"/>
                    </w:numPr>
                    <w:jc w:val="left"/>
                  </w:pPr>
                  <w:r>
                    <w:rPr>
                      <w:rFonts w:ascii="仿宋_GB2312" w:hAnsi="仿宋_GB2312" w:cs="仿宋_GB2312" w:eastAsia="仿宋_GB2312"/>
                      <w:sz w:val="21"/>
                    </w:rPr>
                    <w:t>电池容量：</w:t>
                  </w:r>
                  <w:r>
                    <w:rPr>
                      <w:rFonts w:ascii="仿宋_GB2312" w:hAnsi="仿宋_GB2312" w:cs="仿宋_GB2312" w:eastAsia="仿宋_GB2312"/>
                      <w:sz w:val="21"/>
                    </w:rPr>
                    <w:t>≥12v/16000 ma 锂电池</w:t>
                  </w:r>
                </w:p>
                <w:p>
                  <w:pPr>
                    <w:pStyle w:val="null3"/>
                    <w:numPr>
                      <w:ilvl w:val="0"/>
                      <w:numId w:val="1"/>
                    </w:numPr>
                    <w:jc w:val="left"/>
                  </w:pPr>
                  <w:r>
                    <w:rPr>
                      <w:rFonts w:ascii="仿宋_GB2312" w:hAnsi="仿宋_GB2312" w:cs="仿宋_GB2312" w:eastAsia="仿宋_GB2312"/>
                      <w:sz w:val="21"/>
                    </w:rPr>
                    <w:t>支持验收软件对接及上传</w:t>
                  </w:r>
                  <w:r>
                    <w:rPr>
                      <w:rFonts w:ascii="仿宋_GB2312" w:hAnsi="仿宋_GB2312" w:cs="仿宋_GB2312" w:eastAsia="仿宋_GB2312"/>
                      <w:sz w:val="21"/>
                    </w:rPr>
                    <w:t>食堂营养餐管理系统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验收秤应用软件</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420"/>
                    <w:jc w:val="left"/>
                  </w:pPr>
                  <w:r>
                    <w:rPr>
                      <w:rFonts w:ascii="仿宋_GB2312" w:hAnsi="仿宋_GB2312" w:cs="仿宋_GB2312" w:eastAsia="仿宋_GB2312"/>
                      <w:sz w:val="21"/>
                    </w:rPr>
                    <w:t>与</w:t>
                  </w:r>
                  <w:r>
                    <w:rPr>
                      <w:rFonts w:ascii="仿宋_GB2312" w:hAnsi="仿宋_GB2312" w:cs="仿宋_GB2312" w:eastAsia="仿宋_GB2312"/>
                      <w:sz w:val="21"/>
                    </w:rPr>
                    <w:t>食堂营养餐管理系统</w:t>
                  </w:r>
                  <w:r>
                    <w:rPr>
                      <w:rFonts w:ascii="仿宋_GB2312" w:hAnsi="仿宋_GB2312" w:cs="仿宋_GB2312" w:eastAsia="仿宋_GB2312"/>
                      <w:sz w:val="21"/>
                    </w:rPr>
                    <w:t>集成使用，实现进货单自动识别提取验收称中的食材重量、食材照片；</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≥24个智能秤匹配接口，带AI识别学习能力和建立数据库功能。</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智慧大屏</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教学会议平板一体机（多点触控）</w:t>
                  </w:r>
                  <w:r>
                    <w:rPr>
                      <w:rFonts w:ascii="仿宋_GB2312" w:hAnsi="仿宋_GB2312" w:cs="仿宋_GB2312" w:eastAsia="仿宋_GB2312"/>
                      <w:sz w:val="21"/>
                    </w:rPr>
                    <w:t>≥120寸、支持双系统。</w:t>
                  </w:r>
                </w:p>
                <w:p>
                  <w:pPr>
                    <w:pStyle w:val="null3"/>
                    <w:jc w:val="left"/>
                  </w:pPr>
                  <w:r>
                    <w:rPr>
                      <w:rFonts w:ascii="仿宋_GB2312" w:hAnsi="仿宋_GB2312" w:cs="仿宋_GB2312" w:eastAsia="仿宋_GB2312"/>
                      <w:sz w:val="21"/>
                    </w:rPr>
                    <w:t>具体参数如下：</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屏幕尺寸：</w:t>
                  </w:r>
                  <w:r>
                    <w:rPr>
                      <w:rFonts w:ascii="仿宋_GB2312" w:hAnsi="仿宋_GB2312" w:cs="仿宋_GB2312" w:eastAsia="仿宋_GB2312"/>
                      <w:sz w:val="21"/>
                    </w:rPr>
                    <w:t>≥120寸</w:t>
                  </w:r>
                </w:p>
                <w:p>
                  <w:pPr>
                    <w:pStyle w:val="null3"/>
                    <w:numPr>
                      <w:ilvl w:val="0"/>
                      <w:numId w:val="1"/>
                    </w:numPr>
                    <w:jc w:val="left"/>
                  </w:pPr>
                  <w:r>
                    <w:rPr>
                      <w:rFonts w:ascii="仿宋_GB2312" w:hAnsi="仿宋_GB2312" w:cs="仿宋_GB2312" w:eastAsia="仿宋_GB2312"/>
                      <w:sz w:val="21"/>
                    </w:rPr>
                    <w:t>显示参数：液晶等级：</w:t>
                  </w:r>
                  <w:r>
                    <w:rPr>
                      <w:rFonts w:ascii="仿宋_GB2312" w:hAnsi="仿宋_GB2312" w:cs="仿宋_GB2312" w:eastAsia="仿宋_GB2312"/>
                      <w:sz w:val="21"/>
                    </w:rPr>
                    <w:t>A；</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≥3840*2160 ；</w:t>
                  </w:r>
                </w:p>
                <w:p>
                  <w:pPr>
                    <w:pStyle w:val="null3"/>
                    <w:jc w:val="left"/>
                  </w:pPr>
                  <w:r>
                    <w:rPr>
                      <w:rFonts w:ascii="仿宋_GB2312" w:hAnsi="仿宋_GB2312" w:cs="仿宋_GB2312" w:eastAsia="仿宋_GB2312"/>
                      <w:sz w:val="21"/>
                    </w:rPr>
                    <w:t>4.可视角度：≥178°；</w:t>
                  </w:r>
                </w:p>
                <w:p>
                  <w:pPr>
                    <w:pStyle w:val="null3"/>
                    <w:jc w:val="left"/>
                  </w:pPr>
                  <w:r>
                    <w:rPr>
                      <w:rFonts w:ascii="仿宋_GB2312" w:hAnsi="仿宋_GB2312" w:cs="仿宋_GB2312" w:eastAsia="仿宋_GB2312"/>
                      <w:sz w:val="21"/>
                    </w:rPr>
                    <w:t>5.屏幕亮度：≥350cd/m2；</w:t>
                  </w:r>
                </w:p>
                <w:p>
                  <w:pPr>
                    <w:pStyle w:val="null3"/>
                    <w:jc w:val="left"/>
                  </w:pPr>
                  <w:r>
                    <w:rPr>
                      <w:rFonts w:ascii="仿宋_GB2312" w:hAnsi="仿宋_GB2312" w:cs="仿宋_GB2312" w:eastAsia="仿宋_GB2312"/>
                      <w:sz w:val="21"/>
                    </w:rPr>
                    <w:t>6.背光类型D-LED，</w:t>
                  </w:r>
                </w:p>
                <w:p>
                  <w:pPr>
                    <w:pStyle w:val="null3"/>
                    <w:jc w:val="left"/>
                  </w:pPr>
                  <w:r>
                    <w:rPr>
                      <w:rFonts w:ascii="仿宋_GB2312" w:hAnsi="仿宋_GB2312" w:cs="仿宋_GB2312" w:eastAsia="仿宋_GB2312"/>
                      <w:sz w:val="21"/>
                    </w:rPr>
                    <w:t>7.刷新频率：≥60HZ</w:t>
                  </w:r>
                </w:p>
                <w:p>
                  <w:pPr>
                    <w:pStyle w:val="null3"/>
                    <w:jc w:val="left"/>
                  </w:pPr>
                  <w:r>
                    <w:rPr>
                      <w:rFonts w:ascii="仿宋_GB2312" w:hAnsi="仿宋_GB2312" w:cs="仿宋_GB2312" w:eastAsia="仿宋_GB2312"/>
                      <w:sz w:val="21"/>
                    </w:rPr>
                    <w:t>8.支持触摸，触摸参数：触摸精度≦2mm；触摸方式：手指或者触摸笔、教鞭；驱动方式：USB免驱；</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系统参数：运行内存</w:t>
                  </w:r>
                  <w:r>
                    <w:rPr>
                      <w:rFonts w:ascii="仿宋_GB2312" w:hAnsi="仿宋_GB2312" w:cs="仿宋_GB2312" w:eastAsia="仿宋_GB2312"/>
                      <w:sz w:val="21"/>
                    </w:rPr>
                    <w:t>≥（RAM）4G（DDR4）；存储内存≥（ROM）32G 高速存储内存；</w:t>
                  </w:r>
                </w:p>
                <w:p>
                  <w:pPr>
                    <w:pStyle w:val="null3"/>
                    <w:jc w:val="left"/>
                  </w:pPr>
                  <w:r>
                    <w:rPr>
                      <w:rFonts w:ascii="仿宋_GB2312" w:hAnsi="仿宋_GB2312" w:cs="仿宋_GB2312" w:eastAsia="仿宋_GB2312"/>
                      <w:sz w:val="21"/>
                    </w:rPr>
                    <w:t>10.OSD语言支持中文、繁体、英文等多国语言；</w:t>
                  </w:r>
                </w:p>
                <w:p>
                  <w:pPr>
                    <w:pStyle w:val="null3"/>
                    <w:jc w:val="left"/>
                  </w:pPr>
                  <w:r>
                    <w:rPr>
                      <w:rFonts w:ascii="仿宋_GB2312" w:hAnsi="仿宋_GB2312" w:cs="仿宋_GB2312" w:eastAsia="仿宋_GB2312"/>
                      <w:sz w:val="21"/>
                    </w:rPr>
                    <w:t>11.WIFI：5G模块兼容2.4G+5G+蓝牙通信；</w:t>
                  </w:r>
                </w:p>
                <w:p>
                  <w:pPr>
                    <w:pStyle w:val="null3"/>
                    <w:jc w:val="left"/>
                  </w:pPr>
                  <w:r>
                    <w:rPr>
                      <w:rFonts w:ascii="仿宋_GB2312" w:hAnsi="仿宋_GB2312" w:cs="仿宋_GB2312" w:eastAsia="仿宋_GB2312"/>
                      <w:sz w:val="21"/>
                    </w:rPr>
                    <w:t>12.应用支持：可添加APP 应用和下载APK 软件、支持office 办公软件的操作。</w:t>
                  </w:r>
                </w:p>
                <w:p>
                  <w:pPr>
                    <w:pStyle w:val="null3"/>
                    <w:jc w:val="left"/>
                  </w:pPr>
                  <w:r>
                    <w:rPr>
                      <w:rFonts w:ascii="仿宋_GB2312" w:hAnsi="仿宋_GB2312" w:cs="仿宋_GB2312" w:eastAsia="仿宋_GB2312"/>
                      <w:sz w:val="21"/>
                    </w:rPr>
                    <w:t>13.图片格式支持：JPEG、BMP、PNG等；</w:t>
                  </w:r>
                </w:p>
                <w:p>
                  <w:pPr>
                    <w:pStyle w:val="null3"/>
                    <w:jc w:val="left"/>
                  </w:pPr>
                  <w:r>
                    <w:rPr>
                      <w:rFonts w:ascii="仿宋_GB2312" w:hAnsi="仿宋_GB2312" w:cs="仿宋_GB2312" w:eastAsia="仿宋_GB2312"/>
                      <w:sz w:val="21"/>
                    </w:rPr>
                    <w:t>14.视频格式支持：RM、MPEG2、MPEG4、H.265、RMVB、MOV、MJPEG等；</w:t>
                  </w:r>
                </w:p>
                <w:p>
                  <w:pPr>
                    <w:pStyle w:val="null3"/>
                    <w:jc w:val="left"/>
                  </w:pPr>
                  <w:r>
                    <w:rPr>
                      <w:rFonts w:ascii="仿宋_GB2312" w:hAnsi="仿宋_GB2312" w:cs="仿宋_GB2312" w:eastAsia="仿宋_GB2312"/>
                      <w:sz w:val="21"/>
                    </w:rPr>
                    <w:t>15.音频格式支持：WMA、MP3、M4A等</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OPS电脑主机，支持Windows10及以上系统；CPU：≥12 核 20 线；运行内存≥8GB；存储内存≥256GB。</w:t>
                  </w:r>
                </w:p>
                <w:p>
                  <w:pPr>
                    <w:pStyle w:val="null3"/>
                    <w:jc w:val="left"/>
                  </w:pPr>
                  <w:r>
                    <w:rPr>
                      <w:rFonts w:ascii="仿宋_GB2312" w:hAnsi="仿宋_GB2312" w:cs="仿宋_GB2312" w:eastAsia="仿宋_GB2312"/>
                      <w:sz w:val="21"/>
                    </w:rPr>
                    <w:t>17.包含所有配件、安装、调试等。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集成服务</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系统平台及硬件适配调测安装服务</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合同签订后60日内完成项目交货、安装、调试。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镇巴县教育体育局指定地点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预付款，签订合同后，乙方书面提出支付申请函及与支付金额等额的增值税普通发票，甲方确认后启动首期款支付流程，达到付款条件起10个工作日内，支付合同总金额的40.0%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进度款，乙方交货并安装调试完毕后，乙方书面提出支付申请函及与支付金额等额的增值税普通发票，甲方确认后启动尾款支付流程，达到付款条件起10个工作日内，支付合同总金额的50.0%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进度款，本项目经甲方验收合格后，乙方书面提出支付申请函及与支付金额等额的增值税普通发票，甲方确认后启动支付流程，达到付款条件起10个工作日内，支付合同总金额的10.0%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国内相应的标准、规范；合同文本、合同附件、招标文件、投标文件。项目竣工后由供应方向采购方提出验收申请，采购方委托第三方组织项目竣工验收，产生的验收相关费用由供应方支付。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按照国家相关规定执行，软件永久授权，设备质量保修期为验收合格之日起1年。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供应商需在项目电子化交易系统中按要求填写《投标函》及《汉中市政府采购供应商资格承诺函》完成承诺并进行电子签章。</w:t>
            </w:r>
          </w:p>
        </w:tc>
        <w:tc>
          <w:tcPr>
            <w:tcW w:type="dxa" w:w="1661"/>
          </w:tcPr>
          <w:p>
            <w:pPr>
              <w:pStyle w:val="null3"/>
            </w:pPr>
            <w:r>
              <w:rPr>
                <w:rFonts w:ascii="仿宋_GB2312" w:hAnsi="仿宋_GB2312" w:cs="仿宋_GB2312" w:eastAsia="仿宋_GB2312"/>
              </w:rPr>
              <w:t>投标函 资格审查资料.docx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供应商需在项目电子化交易系统中按要求填写《投标函》及《汉中市政府采购供应商资格承诺函》完成承诺并进行电子签章。</w:t>
            </w:r>
          </w:p>
        </w:tc>
        <w:tc>
          <w:tcPr>
            <w:tcW w:type="dxa" w:w="1661"/>
          </w:tcPr>
          <w:p>
            <w:pPr>
              <w:pStyle w:val="null3"/>
            </w:pPr>
            <w:r>
              <w:rPr>
                <w:rFonts w:ascii="仿宋_GB2312" w:hAnsi="仿宋_GB2312" w:cs="仿宋_GB2312" w:eastAsia="仿宋_GB2312"/>
              </w:rPr>
              <w:t>资格审查资料.docx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资格审查资料.docx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商务及技术条款偏离表.docx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遵循公平竞争的原则，没有弄虚作假、恶意串通或妨碍其他投标人的竞争行为；不损害采购人或者其他投标人的合法权益。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投标产品的技术指标参数清楚、明确有相应齐全的技术资料；并根据技术指标响应情况评审；全部满足技术标准要求得基础分28分； 技术指标中标“▲”项技术参数，每有1项负偏离扣2分，其他一般参数每有1项负偏离扣1分，扣完为止。 标“▲”项需提供证明材料；证明材料包括但不限于产品说明书、官网截图、检测报告、技术白皮书等技术支持性文件资料。技术偏离表与证明资料文件中不一致的，以证明资料文件为准。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提供投标人2023年1月1日至开标前类似项目业绩（以合同签订日期为准），须提供合同复印件加盖公章，提供不全不计分，每提供一份计2分，此项共计6分。 注：类似项目业绩证明资料以投标人加盖公章的合同，投标人须为合同中的直接履约方；关键信息模糊不清或无法核实的，视为无效业绩。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1.5分，满分3分。政府强制采购产品不予加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提供所投产品的合法来源渠道证明材料（包括但不限于厂家授权、销售协议、代理协议等）。每提供一个产品得1分；未提供不得分。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投标人根据本项目的服务要求配备符合项目需求的团队人员，并按照以下标准评审： ①委派项目负责人具备中级及以上职称的的得2分； ②委派项目团队人员具备与项目实施（音视频、计算机、网络等类）相关技能证书、职称证书等，每有1人具备得2分，最多得4分； ④项⽬团队组织架构明确得2分（提供组织架构图）；具有明确的团队⼈员清单得2分（提供⼈员清单）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生产（采购）、运输、包装方案②安装、调试方案；③运行维护方案；④实施进度保障方案；⑤质量保障方案；⑥应急及验收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1.生产（采购）、运输、包装方案：每满足一个评审标准得1分，不满足得0分，满分3分； 2.安装、调试方案：每满足一个评审标准得1分，不满足得0分，满分3分； 3.运行维护方案：每满足一个评审标准得0.5分，不满足得0分，满分1.5分； 4.实施进度保障方案：每满足一个评审标准得0.5分，不满足得0分，满分1.5分； 5.质量保障方案：每满足一个评审标准得1分，不满足得0分，满分3分； 6.应急及验收方案：每满足一个评审标准得1分，不满足得0分，满分3分。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根据内容的完整性（方案必须全面，对评审内容中的各项要求有详细描述）、针对性（方案能紧扣项目实际情况，内容科学合理）、合理性（切合本项目实际情况，提出步骤清晰、合理的方案），每项内容完全满足得1分，每有一定缺陷扣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方案必须全面，对评审内容中的各项要求有详细描述）、针对性（方案能紧扣项目实际情况，内容科学合理）、合理性（切合本项目实际情况，提出步骤清晰、合理的方案），每项内容完全满足得1分，每有一项具有缺陷扣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