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BDE586">
      <w:pPr>
        <w:rPr>
          <w:rFonts w:hint="eastAsia" w:ascii="宋体" w:hAnsi="宋体" w:cs="宋体"/>
          <w:b/>
          <w:bCs/>
          <w:color w:val="000000" w:themeColor="text1"/>
          <w:sz w:val="32"/>
          <w:szCs w:val="32"/>
          <w:lang w:eastAsia="zh-CN"/>
          <w14:textFill>
            <w14:solidFill>
              <w14:schemeClr w14:val="tx1"/>
            </w14:solidFill>
          </w14:textFill>
        </w:rPr>
      </w:pPr>
      <w:bookmarkStart w:id="0" w:name="_Toc15591"/>
      <w:bookmarkStart w:id="985" w:name="_GoBack"/>
      <w:bookmarkEnd w:id="985"/>
      <w:r>
        <w:rPr>
          <w:rFonts w:hint="eastAsia" w:ascii="宋体" w:hAnsi="宋体" w:cs="宋体"/>
          <w:b/>
          <w:bCs/>
          <w:color w:val="000000" w:themeColor="text1"/>
          <w:sz w:val="32"/>
          <w:szCs w:val="32"/>
          <w14:textFill>
            <w14:solidFill>
              <w14:schemeClr w14:val="tx1"/>
            </w14:solidFill>
          </w14:textFill>
        </w:rPr>
        <w:t>项目编号：</w:t>
      </w:r>
      <w:r>
        <w:rPr>
          <w:rFonts w:hint="eastAsia" w:ascii="宋体" w:hAnsi="宋体" w:cs="宋体"/>
          <w:b/>
          <w:bCs/>
          <w:color w:val="000000" w:themeColor="text1"/>
          <w:sz w:val="32"/>
          <w:szCs w:val="32"/>
          <w:lang w:eastAsia="zh-CN"/>
          <w14:textFill>
            <w14:solidFill>
              <w14:schemeClr w14:val="tx1"/>
            </w14:solidFill>
          </w14:textFill>
        </w:rPr>
        <w:t>SXCY2026-19-2</w:t>
      </w:r>
    </w:p>
    <w:p w14:paraId="224CEAD1">
      <w:pPr>
        <w:jc w:val="both"/>
        <w:rPr>
          <w:rFonts w:hint="eastAsia" w:ascii="宋体" w:hAnsi="宋体" w:cs="宋体"/>
          <w:b/>
          <w:bCs/>
          <w:color w:val="000000" w:themeColor="text1"/>
          <w:sz w:val="48"/>
          <w:szCs w:val="48"/>
          <w14:textFill>
            <w14:solidFill>
              <w14:schemeClr w14:val="tx1"/>
            </w14:solidFill>
          </w14:textFill>
        </w:rPr>
      </w:pPr>
    </w:p>
    <w:p w14:paraId="252BB882">
      <w:pPr>
        <w:jc w:val="center"/>
        <w:rPr>
          <w:rFonts w:hint="eastAsia" w:ascii="宋体" w:hAnsi="宋体" w:cs="宋体"/>
          <w:b/>
          <w:bCs/>
          <w:color w:val="000000" w:themeColor="text1"/>
          <w:sz w:val="48"/>
          <w:szCs w:val="48"/>
          <w14:textFill>
            <w14:solidFill>
              <w14:schemeClr w14:val="tx1"/>
            </w14:solidFill>
          </w14:textFill>
        </w:rPr>
      </w:pPr>
    </w:p>
    <w:p w14:paraId="42A61BEB">
      <w:pPr>
        <w:pStyle w:val="11"/>
        <w:rPr>
          <w:rFonts w:hint="eastAsia"/>
          <w:color w:val="000000" w:themeColor="text1"/>
          <w14:textFill>
            <w14:solidFill>
              <w14:schemeClr w14:val="tx1"/>
            </w14:solidFill>
          </w14:textFill>
        </w:rPr>
      </w:pPr>
    </w:p>
    <w:p w14:paraId="203CEBD0">
      <w:pPr>
        <w:pStyle w:val="11"/>
        <w:rPr>
          <w:rFonts w:hint="eastAsia"/>
          <w:color w:val="000000" w:themeColor="text1"/>
          <w14:textFill>
            <w14:solidFill>
              <w14:schemeClr w14:val="tx1"/>
            </w14:solidFill>
          </w14:textFill>
        </w:rPr>
      </w:pPr>
    </w:p>
    <w:p w14:paraId="594F3C69">
      <w:pPr>
        <w:jc w:val="center"/>
        <w:rPr>
          <w:rFonts w:hint="eastAsia"/>
          <w:b/>
          <w:bCs/>
          <w:color w:val="000000" w:themeColor="text1"/>
          <w:sz w:val="48"/>
          <w:szCs w:val="44"/>
          <w:lang w:eastAsia="zh-CN"/>
          <w14:textFill>
            <w14:solidFill>
              <w14:schemeClr w14:val="tx1"/>
            </w14:solidFill>
          </w14:textFill>
        </w:rPr>
      </w:pPr>
      <w:bookmarkStart w:id="1" w:name="_Toc26697"/>
      <w:bookmarkStart w:id="2" w:name="_Toc27774"/>
      <w:bookmarkStart w:id="3" w:name="_Toc15395"/>
      <w:r>
        <w:rPr>
          <w:rFonts w:hint="eastAsia"/>
          <w:b/>
          <w:bCs/>
          <w:color w:val="000000" w:themeColor="text1"/>
          <w:sz w:val="48"/>
          <w:szCs w:val="44"/>
          <w:lang w:eastAsia="zh-CN"/>
          <w14:textFill>
            <w14:solidFill>
              <w14:schemeClr w14:val="tx1"/>
            </w14:solidFill>
          </w14:textFill>
        </w:rPr>
        <w:t>延安市公安局宝塔分局综合指挥作战装备</w:t>
      </w:r>
    </w:p>
    <w:p w14:paraId="345B6AA1">
      <w:pPr>
        <w:jc w:val="center"/>
        <w:rPr>
          <w:rFonts w:hint="eastAsia"/>
          <w:b/>
          <w:bCs/>
          <w:color w:val="000000" w:themeColor="text1"/>
          <w:sz w:val="48"/>
          <w:szCs w:val="44"/>
          <w:lang w:eastAsia="zh-CN"/>
          <w14:textFill>
            <w14:solidFill>
              <w14:schemeClr w14:val="tx1"/>
            </w14:solidFill>
          </w14:textFill>
        </w:rPr>
      </w:pPr>
    </w:p>
    <w:p w14:paraId="37917588">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购置项目</w:t>
      </w:r>
    </w:p>
    <w:p w14:paraId="556E0A33">
      <w:pPr>
        <w:pStyle w:val="8"/>
        <w:rPr>
          <w:rFonts w:hint="eastAsia"/>
          <w:color w:val="000000" w:themeColor="text1"/>
          <w:lang w:eastAsia="zh-CN"/>
          <w14:textFill>
            <w14:solidFill>
              <w14:schemeClr w14:val="tx1"/>
            </w14:solidFill>
          </w14:textFill>
        </w:rPr>
      </w:pPr>
    </w:p>
    <w:p w14:paraId="07805F6A">
      <w:pPr>
        <w:rPr>
          <w:rFonts w:hint="eastAsia"/>
          <w:color w:val="000000" w:themeColor="text1"/>
          <w14:textFill>
            <w14:solidFill>
              <w14:schemeClr w14:val="tx1"/>
            </w14:solidFill>
          </w14:textFill>
        </w:rPr>
      </w:pPr>
    </w:p>
    <w:p w14:paraId="4D8C4F07">
      <w:pPr>
        <w:rPr>
          <w:rFonts w:hint="eastAsia"/>
          <w:color w:val="000000" w:themeColor="text1"/>
          <w14:textFill>
            <w14:solidFill>
              <w14:schemeClr w14:val="tx1"/>
            </w14:solidFill>
          </w14:textFill>
        </w:rPr>
      </w:pPr>
    </w:p>
    <w:p w14:paraId="62EBE04A">
      <w:pPr>
        <w:rPr>
          <w:rFonts w:hint="eastAsia"/>
          <w:color w:val="000000" w:themeColor="text1"/>
          <w14:textFill>
            <w14:solidFill>
              <w14:schemeClr w14:val="tx1"/>
            </w14:solidFill>
          </w14:textFill>
        </w:rPr>
      </w:pPr>
    </w:p>
    <w:p w14:paraId="1E067AC5">
      <w:pPr>
        <w:pStyle w:val="11"/>
        <w:rPr>
          <w:rFonts w:hint="eastAsia"/>
          <w:color w:val="000000" w:themeColor="text1"/>
          <w14:textFill>
            <w14:solidFill>
              <w14:schemeClr w14:val="tx1"/>
            </w14:solidFill>
          </w14:textFill>
        </w:rPr>
      </w:pPr>
    </w:p>
    <w:p w14:paraId="41C8543A">
      <w:pPr>
        <w:rPr>
          <w:rFonts w:hint="eastAsia"/>
          <w:color w:val="000000" w:themeColor="text1"/>
          <w14:textFill>
            <w14:solidFill>
              <w14:schemeClr w14:val="tx1"/>
            </w14:solidFill>
          </w14:textFill>
        </w:rPr>
      </w:pPr>
    </w:p>
    <w:p w14:paraId="20421A4A">
      <w:pPr>
        <w:rPr>
          <w:rFonts w:hint="eastAsia"/>
          <w:color w:val="000000" w:themeColor="text1"/>
          <w14:textFill>
            <w14:solidFill>
              <w14:schemeClr w14:val="tx1"/>
            </w14:solidFill>
          </w14:textFill>
        </w:rPr>
      </w:pPr>
    </w:p>
    <w:p w14:paraId="532A4B70">
      <w:pPr>
        <w:rPr>
          <w:rFonts w:hint="eastAsia"/>
          <w:color w:val="000000" w:themeColor="text1"/>
          <w14:textFill>
            <w14:solidFill>
              <w14:schemeClr w14:val="tx1"/>
            </w14:solidFill>
          </w14:textFill>
        </w:rPr>
      </w:pPr>
    </w:p>
    <w:p w14:paraId="7B307B1A">
      <w:pPr>
        <w:rPr>
          <w:rFonts w:hint="eastAsia"/>
          <w:color w:val="000000" w:themeColor="text1"/>
          <w14:textFill>
            <w14:solidFill>
              <w14:schemeClr w14:val="tx1"/>
            </w14:solidFill>
          </w14:textFill>
        </w:rPr>
      </w:pPr>
    </w:p>
    <w:p w14:paraId="4CEB4799">
      <w:pPr>
        <w:spacing w:before="360" w:beforeLines="150"/>
        <w:jc w:val="center"/>
        <w:rPr>
          <w:rFonts w:hint="eastAsia" w:ascii="宋体" w:hAnsi="宋体" w:cs="宋体"/>
          <w:b/>
          <w:color w:val="000000" w:themeColor="text1"/>
          <w:spacing w:val="4"/>
          <w:sz w:val="60"/>
          <w:szCs w:val="60"/>
          <w14:textFill>
            <w14:solidFill>
              <w14:schemeClr w14:val="tx1"/>
            </w14:solidFill>
          </w14:textFill>
        </w:rPr>
      </w:pPr>
      <w:r>
        <w:rPr>
          <w:rFonts w:hint="eastAsia" w:ascii="宋体" w:hAnsi="宋体" w:cs="宋体"/>
          <w:b/>
          <w:color w:val="000000" w:themeColor="text1"/>
          <w:spacing w:val="4"/>
          <w:sz w:val="60"/>
          <w:szCs w:val="60"/>
          <w14:textFill>
            <w14:solidFill>
              <w14:schemeClr w14:val="tx1"/>
            </w14:solidFill>
          </w14:textFill>
        </w:rPr>
        <w:t>招 标 文 件</w:t>
      </w:r>
      <w:bookmarkEnd w:id="0"/>
      <w:bookmarkEnd w:id="1"/>
      <w:bookmarkEnd w:id="2"/>
      <w:bookmarkEnd w:id="3"/>
    </w:p>
    <w:p w14:paraId="580D4260">
      <w:pPr>
        <w:jc w:val="center"/>
        <w:rPr>
          <w:rFonts w:hint="eastAsia" w:ascii="宋体" w:hAnsi="宋体" w:cs="宋体"/>
          <w:b/>
          <w:color w:val="000000" w:themeColor="text1"/>
          <w:spacing w:val="4"/>
          <w:sz w:val="24"/>
          <w14:textFill>
            <w14:solidFill>
              <w14:schemeClr w14:val="tx1"/>
            </w14:solidFill>
          </w14:textFill>
        </w:rPr>
      </w:pPr>
    </w:p>
    <w:p w14:paraId="6CC25EF2">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44A92F85">
      <w:pPr>
        <w:spacing w:before="100" w:after="100" w:line="480" w:lineRule="auto"/>
        <w:rPr>
          <w:rFonts w:hint="eastAsia" w:ascii="宋体" w:hAnsi="宋体" w:cs="宋体"/>
          <w:b/>
          <w:color w:val="000000" w:themeColor="text1"/>
          <w:sz w:val="32"/>
          <w:szCs w:val="36"/>
          <w14:textFill>
            <w14:solidFill>
              <w14:schemeClr w14:val="tx1"/>
            </w14:solidFill>
          </w14:textFill>
        </w:rPr>
      </w:pPr>
    </w:p>
    <w:p w14:paraId="727F548F">
      <w:pPr>
        <w:pStyle w:val="11"/>
        <w:rPr>
          <w:rFonts w:hint="eastAsia"/>
          <w:color w:val="000000" w:themeColor="text1"/>
          <w14:textFill>
            <w14:solidFill>
              <w14:schemeClr w14:val="tx1"/>
            </w14:solidFill>
          </w14:textFill>
        </w:rPr>
      </w:pPr>
    </w:p>
    <w:p w14:paraId="68DB540D">
      <w:pPr>
        <w:rPr>
          <w:rFonts w:hint="eastAsia"/>
          <w:color w:val="000000" w:themeColor="text1"/>
          <w14:textFill>
            <w14:solidFill>
              <w14:schemeClr w14:val="tx1"/>
            </w14:solidFill>
          </w14:textFill>
        </w:rPr>
      </w:pPr>
    </w:p>
    <w:p w14:paraId="7F15B853">
      <w:pPr>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ascii="宋体" w:hAnsi="宋体" w:eastAsia="宋体" w:cs="宋体"/>
          <w:b/>
          <w:color w:val="000000" w:themeColor="text1"/>
          <w:sz w:val="32"/>
          <w:szCs w:val="36"/>
          <w:lang w:eastAsia="zh-CN"/>
          <w14:textFill>
            <w14:solidFill>
              <w14:schemeClr w14:val="tx1"/>
            </w14:solidFill>
          </w14:textFill>
        </w:rPr>
      </w:pPr>
      <w:r>
        <w:rPr>
          <w:rFonts w:hint="eastAsia" w:ascii="宋体" w:hAnsi="宋体" w:cs="宋体"/>
          <w:b/>
          <w:color w:val="000000" w:themeColor="text1"/>
          <w:sz w:val="32"/>
          <w:szCs w:val="36"/>
          <w14:textFill>
            <w14:solidFill>
              <w14:schemeClr w14:val="tx1"/>
            </w14:solidFill>
          </w14:textFill>
        </w:rPr>
        <w:t>采</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购</w:t>
      </w:r>
      <w:r>
        <w:rPr>
          <w:rFonts w:hint="eastAsia" w:ascii="宋体" w:hAnsi="宋体" w:cs="宋体"/>
          <w:b/>
          <w:color w:val="000000" w:themeColor="text1"/>
          <w:sz w:val="32"/>
          <w:szCs w:val="36"/>
          <w:lang w:val="en-US" w:eastAsia="zh-CN"/>
          <w14:textFill>
            <w14:solidFill>
              <w14:schemeClr w14:val="tx1"/>
            </w14:solidFill>
          </w14:textFill>
        </w:rPr>
        <w:t xml:space="preserve">   </w:t>
      </w:r>
      <w:r>
        <w:rPr>
          <w:rFonts w:hint="eastAsia" w:ascii="宋体" w:hAnsi="宋体" w:cs="宋体"/>
          <w:b/>
          <w:color w:val="000000" w:themeColor="text1"/>
          <w:sz w:val="32"/>
          <w:szCs w:val="36"/>
          <w14:textFill>
            <w14:solidFill>
              <w14:schemeClr w14:val="tx1"/>
            </w14:solidFill>
          </w14:textFill>
        </w:rPr>
        <w:t>人：</w:t>
      </w:r>
      <w:r>
        <w:rPr>
          <w:rFonts w:hint="eastAsia" w:ascii="宋体" w:hAnsi="宋体" w:cs="宋体"/>
          <w:b/>
          <w:color w:val="000000" w:themeColor="text1"/>
          <w:sz w:val="32"/>
          <w:szCs w:val="36"/>
          <w:lang w:eastAsia="zh-CN"/>
          <w14:textFill>
            <w14:solidFill>
              <w14:schemeClr w14:val="tx1"/>
            </w14:solidFill>
          </w14:textFill>
        </w:rPr>
        <w:t>延安市公安局宝塔分局</w:t>
      </w:r>
    </w:p>
    <w:p w14:paraId="05FE7BA1">
      <w:pPr>
        <w:pStyle w:val="11"/>
        <w:keepNext w:val="0"/>
        <w:keepLines w:val="0"/>
        <w:pageBreakBefore w:val="0"/>
        <w:widowControl w:val="0"/>
        <w:kinsoku/>
        <w:wordWrap/>
        <w:overflowPunct/>
        <w:topLinePunct w:val="0"/>
        <w:autoSpaceDE/>
        <w:autoSpaceDN/>
        <w:bidi w:val="0"/>
        <w:adjustRightInd/>
        <w:snapToGrid/>
        <w:spacing w:line="800" w:lineRule="exact"/>
        <w:ind w:firstLine="964" w:firstLineChars="300"/>
        <w:textAlignment w:val="auto"/>
        <w:rPr>
          <w:rFonts w:hint="eastAsia"/>
          <w:color w:val="000000" w:themeColor="text1"/>
          <w14:textFill>
            <w14:solidFill>
              <w14:schemeClr w14:val="tx1"/>
            </w14:solidFill>
          </w14:textFill>
        </w:rPr>
      </w:pPr>
      <w:r>
        <w:rPr>
          <w:rFonts w:hint="eastAsia" w:cs="宋体"/>
          <w:b/>
          <w:color w:val="000000" w:themeColor="text1"/>
          <w:sz w:val="32"/>
          <w:szCs w:val="36"/>
          <w14:textFill>
            <w14:solidFill>
              <w14:schemeClr w14:val="tx1"/>
            </w14:solidFill>
          </w14:textFill>
        </w:rPr>
        <w:t>采购代理机构：陕西宸永项目管理有限公司</w:t>
      </w:r>
    </w:p>
    <w:p w14:paraId="1DD87828">
      <w:pPr>
        <w:keepNext w:val="0"/>
        <w:keepLines w:val="0"/>
        <w:pageBreakBefore w:val="0"/>
        <w:widowControl w:val="0"/>
        <w:kinsoku/>
        <w:wordWrap/>
        <w:overflowPunct/>
        <w:topLinePunct w:val="0"/>
        <w:autoSpaceDE/>
        <w:autoSpaceDN/>
        <w:bidi w:val="0"/>
        <w:adjustRightInd/>
        <w:snapToGrid/>
        <w:spacing w:line="800" w:lineRule="exact"/>
        <w:ind w:firstLine="964" w:firstLineChars="300"/>
        <w:jc w:val="both"/>
        <w:textAlignment w:val="auto"/>
        <w:rPr>
          <w:rFonts w:hint="eastAsia"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32"/>
          <w:szCs w:val="36"/>
          <w:lang w:val="en-US" w:eastAsia="zh-CN"/>
          <w14:textFill>
            <w14:solidFill>
              <w14:schemeClr w14:val="tx1"/>
            </w14:solidFill>
          </w14:textFill>
        </w:rPr>
        <w:t>日        期：</w:t>
      </w:r>
      <w:r>
        <w:rPr>
          <w:rFonts w:hint="eastAsia" w:ascii="宋体" w:hAnsi="宋体" w:cs="宋体"/>
          <w:b/>
          <w:color w:val="000000" w:themeColor="text1"/>
          <w:sz w:val="32"/>
          <w:szCs w:val="36"/>
          <w14:textFill>
            <w14:solidFill>
              <w14:schemeClr w14:val="tx1"/>
            </w14:solidFill>
          </w14:textFill>
        </w:rPr>
        <w:t>二○二</w:t>
      </w:r>
      <w:r>
        <w:rPr>
          <w:rFonts w:hint="eastAsia" w:ascii="宋体" w:hAnsi="宋体" w:cs="宋体"/>
          <w:b/>
          <w:color w:val="000000" w:themeColor="text1"/>
          <w:sz w:val="32"/>
          <w:szCs w:val="36"/>
          <w:lang w:val="en-US" w:eastAsia="zh-CN"/>
          <w14:textFill>
            <w14:solidFill>
              <w14:schemeClr w14:val="tx1"/>
            </w14:solidFill>
          </w14:textFill>
        </w:rPr>
        <w:t>六</w:t>
      </w:r>
      <w:r>
        <w:rPr>
          <w:rFonts w:hint="eastAsia" w:ascii="宋体" w:hAnsi="宋体" w:cs="宋体"/>
          <w:b/>
          <w:color w:val="000000" w:themeColor="text1"/>
          <w:sz w:val="32"/>
          <w:szCs w:val="36"/>
          <w14:textFill>
            <w14:solidFill>
              <w14:schemeClr w14:val="tx1"/>
            </w14:solidFill>
          </w14:textFill>
        </w:rPr>
        <w:t>年</w:t>
      </w:r>
      <w:r>
        <w:rPr>
          <w:rFonts w:hint="eastAsia" w:ascii="宋体" w:hAnsi="宋体" w:cs="宋体"/>
          <w:b/>
          <w:color w:val="000000" w:themeColor="text1"/>
          <w:sz w:val="32"/>
          <w:szCs w:val="36"/>
          <w:lang w:val="en-US" w:eastAsia="zh-CN"/>
          <w14:textFill>
            <w14:solidFill>
              <w14:schemeClr w14:val="tx1"/>
            </w14:solidFill>
          </w14:textFill>
        </w:rPr>
        <w:t>七</w:t>
      </w:r>
      <w:r>
        <w:rPr>
          <w:rFonts w:hint="eastAsia" w:ascii="宋体" w:hAnsi="宋体" w:cs="宋体"/>
          <w:b/>
          <w:color w:val="000000" w:themeColor="text1"/>
          <w:sz w:val="32"/>
          <w:szCs w:val="36"/>
          <w14:textFill>
            <w14:solidFill>
              <w14:schemeClr w14:val="tx1"/>
            </w14:solidFill>
          </w14:textFill>
        </w:rPr>
        <w:t>月</w:t>
      </w:r>
    </w:p>
    <w:p w14:paraId="4053A7AB">
      <w:pPr>
        <w:keepNext w:val="0"/>
        <w:keepLines w:val="0"/>
        <w:pageBreakBefore w:val="0"/>
        <w:widowControl w:val="0"/>
        <w:kinsoku/>
        <w:wordWrap/>
        <w:overflowPunct/>
        <w:topLinePunct w:val="0"/>
        <w:autoSpaceDE/>
        <w:autoSpaceDN/>
        <w:bidi w:val="0"/>
        <w:adjustRightInd/>
        <w:snapToGrid/>
        <w:spacing w:before="340" w:after="120" w:line="480" w:lineRule="auto"/>
        <w:jc w:val="center"/>
        <w:textAlignment w:val="auto"/>
        <w:rPr>
          <w:color w:val="000000" w:themeColor="text1"/>
          <w:sz w:val="16"/>
          <w:szCs w:val="15"/>
          <w14:textFill>
            <w14:solidFill>
              <w14:schemeClr w14:val="tx1"/>
            </w14:solidFill>
          </w14:textFill>
        </w:rPr>
      </w:pPr>
      <w:r>
        <w:rPr>
          <w:rFonts w:hint="eastAsia" w:ascii="宋体" w:hAnsi="宋体" w:cs="宋体"/>
          <w:b/>
          <w:color w:val="000000" w:themeColor="text1"/>
          <w:sz w:val="40"/>
          <w:szCs w:val="40"/>
          <w14:textFill>
            <w14:solidFill>
              <w14:schemeClr w14:val="tx1"/>
            </w14:solidFill>
          </w14:textFill>
        </w:rPr>
        <w:t>目  录</w:t>
      </w:r>
    </w:p>
    <w:p w14:paraId="4AC925F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fldChar w:fldCharType="begin"/>
      </w:r>
      <w:r>
        <w:rPr>
          <w:rFonts w:hint="eastAsia" w:ascii="宋体" w:hAnsi="宋体" w:cs="宋体"/>
          <w:color w:val="000000" w:themeColor="text1"/>
          <w:sz w:val="30"/>
          <w:szCs w:val="30"/>
          <w14:textFill>
            <w14:solidFill>
              <w14:schemeClr w14:val="tx1"/>
            </w14:solidFill>
          </w14:textFill>
        </w:rPr>
        <w:instrText xml:space="preserve">TOC \o "1-1" \h \u </w:instrText>
      </w:r>
      <w:r>
        <w:rPr>
          <w:rFonts w:hint="eastAsia" w:ascii="宋体" w:hAnsi="宋体" w:cs="宋体"/>
          <w:color w:val="000000" w:themeColor="text1"/>
          <w:sz w:val="30"/>
          <w:szCs w:val="30"/>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_Toc11630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第一章 招标公告</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_Toc11630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79BBBEF6">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_Toc2596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第二章 投标人须知</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_Toc2596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7C3151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_Toc3162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第三章 投标人资格证明文件及审核</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_Toc3162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1</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244C34D">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_Toc11405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第四章 评标办法前附表及评标办法</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_Toc11405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4</w:t>
      </w:r>
      <w:r>
        <w:rPr>
          <w:rFonts w:hint="eastAsia" w:ascii="宋体" w:hAnsi="宋体" w:cs="宋体"/>
          <w:b/>
          <w:bCs/>
          <w:color w:val="000000" w:themeColor="text1"/>
          <w:sz w:val="28"/>
          <w:szCs w:val="28"/>
          <w:lang w:val="en-US" w:eastAsia="zh-CN"/>
          <w14:textFill>
            <w14:solidFill>
              <w14:schemeClr w14:val="tx1"/>
            </w14:solidFill>
          </w14:textFill>
        </w:rPr>
        <w:t>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4DF78D2C">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_Toc3834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第五章 合同（拟签订</w:t>
      </w:r>
      <w:r>
        <w:rPr>
          <w:rFonts w:hint="eastAsia" w:ascii="宋体" w:hAnsi="宋体" w:cs="宋体"/>
          <w:b/>
          <w:bCs/>
          <w:color w:val="000000" w:themeColor="text1"/>
          <w:sz w:val="28"/>
          <w:szCs w:val="28"/>
          <w:lang w:val="en-US" w:eastAsia="zh-CN"/>
          <w14:textFill>
            <w14:solidFill>
              <w14:schemeClr w14:val="tx1"/>
            </w14:solidFill>
          </w14:textFill>
        </w:rPr>
        <w:t>合同</w:t>
      </w:r>
      <w:r>
        <w:rPr>
          <w:rFonts w:hint="eastAsia" w:ascii="宋体" w:hAnsi="宋体" w:eastAsia="宋体" w:cs="宋体"/>
          <w:b/>
          <w:bCs/>
          <w:color w:val="000000" w:themeColor="text1"/>
          <w:sz w:val="28"/>
          <w:szCs w:val="28"/>
          <w14:textFill>
            <w14:solidFill>
              <w14:schemeClr w14:val="tx1"/>
            </w14:solidFill>
          </w14:textFill>
        </w:rPr>
        <w:t>文本）</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_Toc3834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6</w:t>
      </w:r>
      <w:r>
        <w:rPr>
          <w:rFonts w:hint="eastAsia" w:ascii="宋体" w:hAnsi="宋体" w:cs="宋体"/>
          <w:b/>
          <w:bCs/>
          <w:color w:val="000000" w:themeColor="text1"/>
          <w:sz w:val="28"/>
          <w:szCs w:val="28"/>
          <w:lang w:val="en-US" w:eastAsia="zh-CN"/>
          <w14:textFill>
            <w14:solidFill>
              <w14:schemeClr w14:val="tx1"/>
            </w14:solidFill>
          </w14:textFill>
        </w:rPr>
        <w:t>3</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33FB18D5">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_Toc7956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lang w:val="en-US" w:eastAsia="zh-CN"/>
          <w14:textFill>
            <w14:solidFill>
              <w14:schemeClr w14:val="tx1"/>
            </w14:solidFill>
          </w14:textFill>
        </w:rPr>
        <w:t xml:space="preserve">第六章 </w:t>
      </w:r>
      <w:r>
        <w:rPr>
          <w:rFonts w:hint="eastAsia" w:ascii="宋体" w:hAnsi="宋体" w:eastAsia="宋体" w:cs="宋体"/>
          <w:b/>
          <w:bCs/>
          <w:color w:val="000000" w:themeColor="text1"/>
          <w:sz w:val="28"/>
          <w:szCs w:val="28"/>
          <w14:textFill>
            <w14:solidFill>
              <w14:schemeClr w14:val="tx1"/>
            </w14:solidFill>
          </w14:textFill>
        </w:rPr>
        <w:t>技术要求</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_Toc7956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8</w:t>
      </w:r>
      <w:r>
        <w:rPr>
          <w:rFonts w:hint="eastAsia" w:ascii="宋体" w:hAnsi="宋体" w:cs="宋体"/>
          <w:b/>
          <w:bCs/>
          <w:color w:val="000000" w:themeColor="text1"/>
          <w:sz w:val="28"/>
          <w:szCs w:val="28"/>
          <w:lang w:val="en-US" w:eastAsia="zh-CN"/>
          <w14:textFill>
            <w14:solidFill>
              <w14:schemeClr w14:val="tx1"/>
            </w14:solidFill>
          </w14:textFill>
        </w:rPr>
        <w:t>5</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21E68E0E">
      <w:pPr>
        <w:pStyle w:val="23"/>
        <w:keepNext w:val="0"/>
        <w:keepLines w:val="0"/>
        <w:pageBreakBefore w:val="0"/>
        <w:widowControl w:val="0"/>
        <w:tabs>
          <w:tab w:val="right" w:leader="dot" w:pos="9355"/>
        </w:tabs>
        <w:kinsoku/>
        <w:wordWrap/>
        <w:overflowPunct/>
        <w:topLinePunct w:val="0"/>
        <w:autoSpaceDE/>
        <w:autoSpaceDN/>
        <w:bidi w:val="0"/>
        <w:adjustRightInd/>
        <w:snapToGrid/>
        <w:spacing w:line="800" w:lineRule="exac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HYPERLINK \l _Toc2255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第七章 投标文件格式</w:t>
      </w:r>
      <w:r>
        <w:rPr>
          <w:rFonts w:hint="eastAsia" w:ascii="宋体" w:hAnsi="宋体" w:eastAsia="宋体" w:cs="宋体"/>
          <w:b/>
          <w:bCs/>
          <w:color w:val="000000" w:themeColor="text1"/>
          <w:sz w:val="28"/>
          <w:szCs w:val="28"/>
          <w14:textFill>
            <w14:solidFill>
              <w14:schemeClr w14:val="tx1"/>
            </w14:solidFill>
          </w14:textFill>
        </w:rPr>
        <w:tab/>
      </w:r>
      <w:r>
        <w:rPr>
          <w:rFonts w:hint="eastAsia" w:ascii="宋体" w:hAnsi="宋体" w:eastAsia="宋体" w:cs="宋体"/>
          <w:b/>
          <w:bCs/>
          <w:color w:val="000000" w:themeColor="text1"/>
          <w:sz w:val="28"/>
          <w:szCs w:val="28"/>
          <w14:textFill>
            <w14:solidFill>
              <w14:schemeClr w14:val="tx1"/>
            </w14:solidFill>
          </w14:textFill>
        </w:rPr>
        <w:fldChar w:fldCharType="begin"/>
      </w:r>
      <w:r>
        <w:rPr>
          <w:rFonts w:hint="eastAsia" w:ascii="宋体" w:hAnsi="宋体" w:eastAsia="宋体" w:cs="宋体"/>
          <w:b/>
          <w:bCs/>
          <w:color w:val="000000" w:themeColor="text1"/>
          <w:sz w:val="28"/>
          <w:szCs w:val="28"/>
          <w14:textFill>
            <w14:solidFill>
              <w14:schemeClr w14:val="tx1"/>
            </w14:solidFill>
          </w14:textFill>
        </w:rPr>
        <w:instrText xml:space="preserve"> PAGEREF _Toc2255 \h </w:instrText>
      </w:r>
      <w:r>
        <w:rPr>
          <w:rFonts w:hint="eastAsia" w:ascii="宋体" w:hAnsi="宋体" w:eastAsia="宋体" w:cs="宋体"/>
          <w:b/>
          <w:bCs/>
          <w:color w:val="000000" w:themeColor="text1"/>
          <w:sz w:val="28"/>
          <w:szCs w:val="28"/>
          <w14:textFill>
            <w14:solidFill>
              <w14:schemeClr w14:val="tx1"/>
            </w14:solidFill>
          </w14:textFill>
        </w:rPr>
        <w:fldChar w:fldCharType="separate"/>
      </w:r>
      <w:r>
        <w:rPr>
          <w:rFonts w:hint="eastAsia" w:ascii="宋体" w:hAnsi="宋体" w:eastAsia="宋体" w:cs="宋体"/>
          <w:b/>
          <w:bCs/>
          <w:color w:val="000000" w:themeColor="text1"/>
          <w:sz w:val="28"/>
          <w:szCs w:val="28"/>
          <w14:textFill>
            <w14:solidFill>
              <w14:schemeClr w14:val="tx1"/>
            </w14:solidFill>
          </w14:textFill>
        </w:rPr>
        <w:t>9</w:t>
      </w:r>
      <w:r>
        <w:rPr>
          <w:rFonts w:hint="eastAsia" w:ascii="宋体" w:hAnsi="宋体" w:cs="宋体"/>
          <w:b/>
          <w:bCs/>
          <w:color w:val="000000" w:themeColor="text1"/>
          <w:sz w:val="28"/>
          <w:szCs w:val="28"/>
          <w:lang w:val="en-US" w:eastAsia="zh-CN"/>
          <w14:textFill>
            <w14:solidFill>
              <w14:schemeClr w14:val="tx1"/>
            </w14:solidFill>
          </w14:textFill>
        </w:rPr>
        <w:t>2</w:t>
      </w:r>
      <w:r>
        <w:rPr>
          <w:rFonts w:hint="eastAsia" w:ascii="宋体" w:hAnsi="宋体" w:eastAsia="宋体" w:cs="宋体"/>
          <w:b/>
          <w:bCs/>
          <w:color w:val="000000" w:themeColor="text1"/>
          <w:sz w:val="28"/>
          <w:szCs w:val="28"/>
          <w14:textFill>
            <w14:solidFill>
              <w14:schemeClr w14:val="tx1"/>
            </w14:solidFill>
          </w14:textFill>
        </w:rPr>
        <w:fldChar w:fldCharType="end"/>
      </w:r>
      <w:r>
        <w:rPr>
          <w:rFonts w:hint="eastAsia" w:ascii="宋体" w:hAnsi="宋体" w:eastAsia="宋体" w:cs="宋体"/>
          <w:b/>
          <w:bCs/>
          <w:color w:val="000000" w:themeColor="text1"/>
          <w:sz w:val="28"/>
          <w:szCs w:val="28"/>
          <w14:textFill>
            <w14:solidFill>
              <w14:schemeClr w14:val="tx1"/>
            </w14:solidFill>
          </w14:textFill>
        </w:rPr>
        <w:fldChar w:fldCharType="end"/>
      </w:r>
    </w:p>
    <w:p w14:paraId="5893E845">
      <w:pPr>
        <w:pStyle w:val="23"/>
        <w:tabs>
          <w:tab w:val="right" w:leader="dot" w:pos="9355"/>
        </w:tabs>
        <w:rPr>
          <w:color w:val="000000" w:themeColor="text1"/>
          <w14:textFill>
            <w14:solidFill>
              <w14:schemeClr w14:val="tx1"/>
            </w14:solidFill>
          </w14:textFill>
        </w:rPr>
      </w:pPr>
    </w:p>
    <w:p w14:paraId="4650657D">
      <w:pPr>
        <w:pStyle w:val="81"/>
        <w:spacing w:line="480" w:lineRule="auto"/>
        <w:rPr>
          <w:rFonts w:hint="eastAsia" w:eastAsia="宋体"/>
          <w:color w:val="000000" w:themeColor="text1"/>
          <w:lang w:val="en-US" w:eastAsia="zh-CN"/>
          <w14:textFill>
            <w14:solidFill>
              <w14:schemeClr w14:val="tx1"/>
            </w14:solidFill>
          </w14:textFill>
        </w:rPr>
        <w:sectPr>
          <w:headerReference r:id="rId4" w:type="first"/>
          <w:headerReference r:id="rId3" w:type="default"/>
          <w:pgSz w:w="11906" w:h="16838"/>
          <w:pgMar w:top="1803" w:right="1134" w:bottom="1803" w:left="1417" w:header="851" w:footer="992" w:gutter="0"/>
          <w:pgBorders>
            <w:top w:val="none" w:sz="0" w:space="0"/>
            <w:left w:val="none" w:sz="0" w:space="0"/>
            <w:bottom w:val="none" w:sz="0" w:space="0"/>
            <w:right w:val="none" w:sz="0" w:space="0"/>
          </w:pgBorders>
          <w:pgNumType w:start="1"/>
          <w:cols w:space="720" w:num="1"/>
          <w:titlePg/>
          <w:docGrid w:linePitch="312" w:charSpace="0"/>
        </w:sectPr>
      </w:pPr>
      <w:r>
        <w:rPr>
          <w:rFonts w:hint="eastAsia" w:ascii="宋体" w:hAnsi="宋体" w:cs="宋体"/>
          <w:color w:val="000000" w:themeColor="text1"/>
          <w:szCs w:val="30"/>
          <w14:textFill>
            <w14:solidFill>
              <w14:schemeClr w14:val="tx1"/>
            </w14:solidFill>
          </w14:textFill>
        </w:rPr>
        <w:fldChar w:fldCharType="end"/>
      </w:r>
      <w:bookmarkStart w:id="4" w:name="_Toc18591"/>
      <w:bookmarkStart w:id="5" w:name="_Toc12582"/>
      <w:bookmarkStart w:id="6" w:name="_Toc23366"/>
      <w:bookmarkStart w:id="7" w:name="_Toc18626"/>
      <w:bookmarkStart w:id="8" w:name="_Toc14920"/>
      <w:bookmarkStart w:id="9" w:name="_Toc15401"/>
      <w:r>
        <w:rPr>
          <w:rFonts w:hint="eastAsia" w:ascii="宋体" w:hAnsi="宋体" w:cs="宋体"/>
          <w:color w:val="000000" w:themeColor="text1"/>
          <w:szCs w:val="30"/>
          <w:lang w:val="en-US" w:eastAsia="zh-CN"/>
          <w14:textFill>
            <w14:solidFill>
              <w14:schemeClr w14:val="tx1"/>
            </w14:solidFill>
          </w14:textFill>
        </w:rPr>
        <w:t xml:space="preserve"> </w:t>
      </w:r>
    </w:p>
    <w:p w14:paraId="431E820C">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color w:val="000000" w:themeColor="text1"/>
          <w:sz w:val="30"/>
          <w:szCs w:val="30"/>
          <w14:textFill>
            <w14:solidFill>
              <w14:schemeClr w14:val="tx1"/>
            </w14:solidFill>
          </w14:textFill>
        </w:rPr>
      </w:pPr>
      <w:r>
        <w:rPr>
          <w:rFonts w:hint="eastAsia"/>
          <w:b/>
          <w:bCs/>
          <w:color w:val="000000" w:themeColor="text1"/>
          <w:sz w:val="30"/>
          <w:szCs w:val="30"/>
          <w14:textFill>
            <w14:solidFill>
              <w14:schemeClr w14:val="tx1"/>
            </w14:solidFill>
          </w14:textFill>
        </w:rPr>
        <w:t xml:space="preserve"> </w:t>
      </w:r>
      <w:bookmarkStart w:id="10" w:name="_Toc11630"/>
      <w:r>
        <w:rPr>
          <w:rFonts w:hint="eastAsia"/>
          <w:b/>
          <w:bCs/>
          <w:color w:val="000000" w:themeColor="text1"/>
          <w:sz w:val="30"/>
          <w:szCs w:val="30"/>
          <w14:textFill>
            <w14:solidFill>
              <w14:schemeClr w14:val="tx1"/>
            </w14:solidFill>
          </w14:textFill>
        </w:rPr>
        <w:t>招标公告</w:t>
      </w:r>
      <w:bookmarkEnd w:id="4"/>
      <w:bookmarkEnd w:id="5"/>
      <w:bookmarkEnd w:id="6"/>
      <w:bookmarkEnd w:id="7"/>
      <w:bookmarkEnd w:id="8"/>
      <w:bookmarkEnd w:id="9"/>
      <w:bookmarkEnd w:id="10"/>
      <w:bookmarkStart w:id="11" w:name="_Toc1675"/>
      <w:bookmarkStart w:id="12" w:name="_Toc5839"/>
    </w:p>
    <w:p w14:paraId="5D25C4D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b/>
          <w:bCs/>
          <w:i w:val="0"/>
          <w:iCs w:val="0"/>
          <w:caps w:val="0"/>
          <w:color w:val="000000" w:themeColor="text1"/>
          <w:spacing w:val="0"/>
          <w:sz w:val="24"/>
          <w:szCs w:val="24"/>
          <w:shd w:val="clear" w:color="auto" w:fill="FFFFFF"/>
          <w:vertAlign w:val="baseline"/>
          <w:lang w:val="en-US" w:eastAsia="zh-CN"/>
          <w14:textFill>
            <w14:solidFill>
              <w14:schemeClr w14:val="tx1"/>
            </w14:solidFill>
          </w14:textFill>
        </w:rPr>
        <w:t>项目概况</w:t>
      </w:r>
    </w:p>
    <w:p w14:paraId="6909E569">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延安市公安局宝塔分局综合指挥作战装备购置项目</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的潜在供应商应在全国公共资源交易平台（陕西省·延安市）平台获取采购文件，并于202</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6</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年</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7</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月</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29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日</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09</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w:t>
      </w:r>
      <w:r>
        <w:rPr>
          <w:rFonts w:hint="eastAsia" w:ascii="宋体" w:hAnsi="宋体" w:eastAsia="宋体"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0 分（北京时间）前提交投标文件。</w:t>
      </w:r>
    </w:p>
    <w:p w14:paraId="0E4EF4D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2" w:firstLineChars="200"/>
        <w:jc w:val="both"/>
        <w:textAlignment w:val="baseline"/>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pPr>
      <w:r>
        <w:rPr>
          <w:rStyle w:val="38"/>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一</w:t>
      </w:r>
      <w:r>
        <w:rPr>
          <w:rFonts w:hint="eastAsia" w:ascii="宋体" w:hAnsi="宋体" w:eastAsia="宋体" w:cs="宋体"/>
          <w:b/>
          <w:bCs/>
          <w:i w:val="0"/>
          <w:iCs w:val="0"/>
          <w:caps w:val="0"/>
          <w:color w:val="000000" w:themeColor="text1"/>
          <w:spacing w:val="0"/>
          <w:sz w:val="24"/>
          <w:szCs w:val="24"/>
          <w:shd w:val="clear" w:color="auto" w:fill="FFFFFF"/>
          <w:vertAlign w:val="baseline"/>
          <w14:textFill>
            <w14:solidFill>
              <w14:schemeClr w14:val="tx1"/>
            </w14:solidFill>
          </w14:textFill>
        </w:rPr>
        <w:t>、项目基本情况</w:t>
      </w:r>
    </w:p>
    <w:p w14:paraId="69848FF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项目编号：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SXCY2026-19-2</w:t>
      </w:r>
    </w:p>
    <w:p w14:paraId="6C6A1572">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项目名称：</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延安市公安局宝塔分局综合指挥作战装备购置项目</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 xml:space="preserve"> </w:t>
      </w:r>
    </w:p>
    <w:p w14:paraId="37B6AA77">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采购方式：公开招标</w:t>
      </w:r>
    </w:p>
    <w:p w14:paraId="1B86360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left"/>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预算金额：</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1000000.00元</w:t>
      </w:r>
    </w:p>
    <w:p w14:paraId="01C0B745">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采购需求：</w:t>
      </w:r>
    </w:p>
    <w:p w14:paraId="17860E5F">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合同包1(</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延安市公安局宝塔分局综合指挥作战装备购置项目</w:t>
      </w: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w:t>
      </w:r>
    </w:p>
    <w:p w14:paraId="23BA1730">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default"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合同包预算金额：</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1000000.00</w:t>
      </w:r>
      <w:r>
        <w:rPr>
          <w:rFonts w:hint="eastAsia" w:cs="宋体"/>
          <w:i w:val="0"/>
          <w:iCs w:val="0"/>
          <w:caps w:val="0"/>
          <w:color w:val="000000" w:themeColor="text1"/>
          <w:spacing w:val="0"/>
          <w:sz w:val="24"/>
          <w:szCs w:val="24"/>
          <w:shd w:val="clear" w:color="auto" w:fill="FFFFFF"/>
          <w:vertAlign w:val="baseline"/>
          <w:lang w:val="en-US" w:eastAsia="zh-CN"/>
          <w14:textFill>
            <w14:solidFill>
              <w14:schemeClr w14:val="tx1"/>
            </w14:solidFill>
          </w14:textFill>
        </w:rPr>
        <w:t>元</w:t>
      </w:r>
    </w:p>
    <w:p w14:paraId="5E623CCA">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合同包最高限价：</w:t>
      </w:r>
      <w:r>
        <w:rPr>
          <w:rFonts w:hint="eastAsia" w:cs="宋体"/>
          <w:i w:val="0"/>
          <w:iCs w:val="0"/>
          <w:caps w:val="0"/>
          <w:color w:val="000000" w:themeColor="text1"/>
          <w:spacing w:val="0"/>
          <w:sz w:val="24"/>
          <w:szCs w:val="24"/>
          <w:shd w:val="clear" w:color="auto" w:fill="FFFFFF"/>
          <w:vertAlign w:val="baseline"/>
          <w:lang w:eastAsia="zh-CN"/>
          <w14:textFill>
            <w14:solidFill>
              <w14:schemeClr w14:val="tx1"/>
            </w14:solidFill>
          </w14:textFill>
        </w:rPr>
        <w:t>1000000.00</w:t>
      </w:r>
      <w:r>
        <w:rPr>
          <w:rFonts w:hint="eastAsia" w:ascii="宋体" w:hAnsi="宋体" w:eastAsia="宋体" w:cs="宋体"/>
          <w:i w:val="0"/>
          <w:iCs w:val="0"/>
          <w:caps w:val="0"/>
          <w:color w:val="000000" w:themeColor="text1"/>
          <w:spacing w:val="0"/>
          <w:sz w:val="24"/>
          <w:szCs w:val="24"/>
          <w:shd w:val="clear" w:color="auto" w:fill="FFFFFF"/>
          <w:vertAlign w:val="baseline"/>
          <w:lang w:eastAsia="zh-CN"/>
          <w14:textFill>
            <w14:solidFill>
              <w14:schemeClr w14:val="tx1"/>
            </w14:solidFill>
          </w14:textFill>
        </w:rPr>
        <w:t>元</w:t>
      </w:r>
    </w:p>
    <w:tbl>
      <w:tblPr>
        <w:tblStyle w:val="35"/>
        <w:tblW w:w="869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78"/>
        <w:gridCol w:w="1247"/>
        <w:gridCol w:w="2243"/>
        <w:gridCol w:w="1163"/>
        <w:gridCol w:w="1685"/>
        <w:gridCol w:w="1377"/>
      </w:tblGrid>
      <w:tr w14:paraId="3D81E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73" w:hRule="atLeast"/>
          <w:tblHeader/>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5157FD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品目号</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64C1C86">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w:t>
            </w:r>
          </w:p>
          <w:p w14:paraId="0559D26F">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名称</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D9CEDA9">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left="0" w:leftChars="0" w:right="0" w:rightChars="0" w:firstLine="883" w:firstLineChars="40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采购标的</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1E1FA1E">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1" w:firstLineChars="100"/>
              <w:jc w:val="both"/>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数量</w:t>
            </w:r>
          </w:p>
          <w:p w14:paraId="0F48E52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both"/>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（单位）</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58FFC58">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技术规格参数及要求</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C4D112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kern w:val="0"/>
                <w:sz w:val="22"/>
                <w:szCs w:val="22"/>
                <w:lang w:val="en-US" w:eastAsia="zh-CN" w:bidi="ar"/>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品目预算</w:t>
            </w:r>
          </w:p>
          <w:p w14:paraId="7DB0C80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b/>
                <w:bCs/>
                <w:color w:val="000000" w:themeColor="text1"/>
                <w:sz w:val="22"/>
                <w:szCs w:val="22"/>
                <w14:textFill>
                  <w14:solidFill>
                    <w14:schemeClr w14:val="tx1"/>
                  </w14:solidFill>
                </w14:textFill>
              </w:rPr>
            </w:pPr>
            <w:r>
              <w:rPr>
                <w:rFonts w:hint="eastAsia" w:ascii="宋体" w:hAnsi="宋体" w:eastAsia="宋体" w:cs="宋体"/>
                <w:b/>
                <w:bCs/>
                <w:color w:val="000000" w:themeColor="text1"/>
                <w:kern w:val="0"/>
                <w:sz w:val="22"/>
                <w:szCs w:val="22"/>
                <w:lang w:val="en-US" w:eastAsia="zh-CN" w:bidi="ar"/>
                <w14:textFill>
                  <w14:solidFill>
                    <w14:schemeClr w14:val="tx1"/>
                  </w14:solidFill>
                </w14:textFill>
              </w:rPr>
              <w:t>(元)</w:t>
            </w:r>
          </w:p>
        </w:tc>
      </w:tr>
      <w:tr w14:paraId="0918E0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jc w:val="center"/>
        </w:trPr>
        <w:tc>
          <w:tcPr>
            <w:tcW w:w="97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B193C7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1-1</w:t>
            </w:r>
          </w:p>
        </w:tc>
        <w:tc>
          <w:tcPr>
            <w:tcW w:w="124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306C92">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default" w:ascii="宋体" w:hAnsi="宋体" w:eastAsia="宋体" w:cs="宋体"/>
                <w:color w:val="000000" w:themeColor="text1"/>
                <w:sz w:val="22"/>
                <w:szCs w:val="22"/>
                <w:lang w:val="en-US" w:eastAsia="zh-CN"/>
                <w14:textFill>
                  <w14:solidFill>
                    <w14:schemeClr w14:val="tx1"/>
                  </w14:solidFill>
                </w14:textFill>
              </w:rPr>
              <w:t>其他信息化设备</w:t>
            </w:r>
          </w:p>
        </w:tc>
        <w:tc>
          <w:tcPr>
            <w:tcW w:w="224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945CC8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360" w:lineRule="auto"/>
              <w:ind w:right="0" w:rightChars="0"/>
              <w:jc w:val="center"/>
              <w:textAlignment w:val="center"/>
              <w:rPr>
                <w:rFonts w:hint="default" w:ascii="宋体" w:hAnsi="宋体" w:eastAsia="宋体" w:cs="宋体"/>
                <w:color w:val="000000" w:themeColor="text1"/>
                <w:sz w:val="22"/>
                <w:szCs w:val="22"/>
                <w:lang w:val="en-US"/>
                <w14:textFill>
                  <w14:solidFill>
                    <w14:schemeClr w14:val="tx1"/>
                  </w14:solidFill>
                </w14:textFill>
              </w:rPr>
            </w:pPr>
            <w:r>
              <w:rPr>
                <w:rFonts w:hint="default" w:ascii="宋体" w:hAnsi="宋体" w:eastAsia="宋体" w:cs="宋体"/>
                <w:color w:val="000000" w:themeColor="text1"/>
                <w:sz w:val="22"/>
                <w:szCs w:val="22"/>
                <w:lang w:val="en-US"/>
                <w14:textFill>
                  <w14:solidFill>
                    <w14:schemeClr w14:val="tx1"/>
                  </w14:solidFill>
                </w14:textFill>
              </w:rPr>
              <w:t>综合指挥作战装备</w:t>
            </w:r>
          </w:p>
        </w:tc>
        <w:tc>
          <w:tcPr>
            <w:tcW w:w="116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A9C6EA1">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firstLine="220" w:firstLineChars="100"/>
              <w:jc w:val="both"/>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1(项)</w:t>
            </w:r>
          </w:p>
        </w:tc>
        <w:tc>
          <w:tcPr>
            <w:tcW w:w="168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2B3FE9D">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kern w:val="0"/>
                <w:sz w:val="22"/>
                <w:szCs w:val="22"/>
                <w:lang w:val="en-US" w:eastAsia="zh-CN" w:bidi="ar"/>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详见采购</w:t>
            </w:r>
          </w:p>
          <w:p w14:paraId="38E39C1A">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val="0"/>
              <w:overflowPunct/>
              <w:topLinePunct w:val="0"/>
              <w:autoSpaceDE/>
              <w:autoSpaceDN/>
              <w:bidi w:val="0"/>
              <w:adjustRightInd/>
              <w:snapToGrid/>
              <w:spacing w:beforeAutospacing="0" w:afterAutospacing="0" w:line="240" w:lineRule="auto"/>
              <w:ind w:right="0" w:rightChars="0"/>
              <w:jc w:val="center"/>
              <w:textAlignment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bidi="ar"/>
                <w14:textFill>
                  <w14:solidFill>
                    <w14:schemeClr w14:val="tx1"/>
                  </w14:solidFill>
                </w14:textFill>
              </w:rPr>
              <w:t>文件</w:t>
            </w:r>
          </w:p>
        </w:tc>
        <w:tc>
          <w:tcPr>
            <w:tcW w:w="137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4947617">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Autospacing="0" w:afterAutospacing="0" w:line="240" w:lineRule="auto"/>
              <w:ind w:right="0" w:rightChars="0"/>
              <w:jc w:val="both"/>
              <w:textAlignment w:val="center"/>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1000000.00</w:t>
            </w:r>
          </w:p>
        </w:tc>
      </w:tr>
    </w:tbl>
    <w:p w14:paraId="0CC5C1A8">
      <w:pPr>
        <w:pStyle w:val="32"/>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napToGrid/>
        <w:spacing w:before="0" w:beforeLines="0" w:beforeAutospacing="0" w:after="0" w:afterLines="0" w:afterAutospacing="0" w:line="600" w:lineRule="exact"/>
        <w:ind w:left="0" w:leftChars="0" w:right="0" w:rightChars="0" w:firstLine="480" w:firstLineChars="200"/>
        <w:jc w:val="both"/>
        <w:textAlignment w:val="baseline"/>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000000" w:themeColor="text1"/>
          <w:spacing w:val="0"/>
          <w:sz w:val="24"/>
          <w:szCs w:val="24"/>
          <w:shd w:val="clear" w:color="auto" w:fill="FFFFFF"/>
          <w:vertAlign w:val="baseline"/>
          <w14:textFill>
            <w14:solidFill>
              <w14:schemeClr w14:val="tx1"/>
            </w14:solidFill>
          </w14:textFill>
        </w:rPr>
        <w:t>本合同包不接受联合体投标</w:t>
      </w:r>
    </w:p>
    <w:p w14:paraId="0EC77DD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合同履行期限：</w:t>
      </w:r>
      <w:r>
        <w:rPr>
          <w:rFonts w:hint="eastAsia" w:cs="宋体"/>
          <w:color w:val="000000" w:themeColor="text1"/>
          <w:spacing w:val="0"/>
          <w:sz w:val="24"/>
          <w:szCs w:val="24"/>
          <w:lang w:val="en-US" w:eastAsia="zh-CN"/>
          <w14:textFill>
            <w14:solidFill>
              <w14:schemeClr w14:val="tx1"/>
            </w14:solidFill>
          </w14:textFill>
        </w:rPr>
        <w:t>自合同签订之日起15天。</w:t>
      </w:r>
    </w:p>
    <w:p w14:paraId="1B74F76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二、申请人的资格要求：</w:t>
      </w:r>
    </w:p>
    <w:p w14:paraId="0137686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1.满足《中华人民共和国政府采购法》第二十二条规定；</w:t>
      </w:r>
    </w:p>
    <w:p w14:paraId="408378B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2.落实政府采购政策需满足的资格要求：</w:t>
      </w:r>
    </w:p>
    <w:p w14:paraId="706CC41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延安市公安局宝塔分局综合指挥作战装备购置项目</w:t>
      </w:r>
      <w:r>
        <w:rPr>
          <w:rFonts w:hint="eastAsia" w:ascii="宋体" w:hAnsi="宋体" w:eastAsia="宋体" w:cs="宋体"/>
          <w:color w:val="000000" w:themeColor="text1"/>
          <w:spacing w:val="0"/>
          <w:sz w:val="24"/>
          <w:szCs w:val="24"/>
          <w:lang w:val="en-US" w:eastAsia="zh-CN"/>
          <w14:textFill>
            <w14:solidFill>
              <w14:schemeClr w14:val="tx1"/>
            </w14:solidFill>
          </w14:textFill>
        </w:rPr>
        <w:t>)落实政府采购政策需满足的资格要求如下:</w:t>
      </w:r>
    </w:p>
    <w:p w14:paraId="70F3EDD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依据《中华人民共和国政府采购法》和《中华人民共和国政府采购法实施条例》的有关规定，落实政府采购政策</w:t>
      </w:r>
      <w:r>
        <w:rPr>
          <w:rFonts w:hint="eastAsia" w:ascii="宋体" w:hAnsi="宋体" w:eastAsia="宋体" w:cs="宋体"/>
          <w:color w:val="000000" w:themeColor="text1"/>
          <w:sz w:val="24"/>
          <w:szCs w:val="24"/>
          <w14:textFill>
            <w14:solidFill>
              <w14:schemeClr w14:val="tx1"/>
            </w14:solidFill>
          </w14:textFill>
        </w:rPr>
        <w:t>(详见招标文件)</w:t>
      </w:r>
      <w:r>
        <w:rPr>
          <w:rFonts w:hint="eastAsia"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pacing w:val="0"/>
          <w:sz w:val="24"/>
          <w:szCs w:val="24"/>
          <w:lang w:val="en-US" w:eastAsia="zh-CN"/>
          <w14:textFill>
            <w14:solidFill>
              <w14:schemeClr w14:val="tx1"/>
            </w14:solidFill>
          </w14:textFill>
        </w:rPr>
        <w:t> </w:t>
      </w:r>
    </w:p>
    <w:p w14:paraId="5DA6828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2.1《政府采购促进中小企业发展管理办法》的通知（财库〔2020〕46号）； </w:t>
      </w:r>
    </w:p>
    <w:p w14:paraId="356C555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2.2财政部司法部关于政府采购支持监狱企业发展有关问题的通知--财库〔2014〕68号； </w:t>
      </w:r>
    </w:p>
    <w:p w14:paraId="00ED13F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2.3《国务院办公厅关于建立政府强制采购节能产品制度的通知》--国办发〔2007〕51号。 </w:t>
      </w:r>
    </w:p>
    <w:p w14:paraId="145F8EA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2.4《关于印发环境标志产品政府采购品目清单的通知》（财库〔2019〕18号）； </w:t>
      </w:r>
    </w:p>
    <w:p w14:paraId="640E72C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2.5《关于印发节能产品政府采购品目清单的通知》（财库〔2019〕19号）； </w:t>
      </w:r>
    </w:p>
    <w:p w14:paraId="65AE2D3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 xml:space="preserve">2.6《关于促进残疾人就业政府采购政策的通知》财库〔2017〕141号；  </w:t>
      </w:r>
    </w:p>
    <w:p w14:paraId="754EDE6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2.7陕西省财政厅关于印发《陕西省中小企业政府采购信用融资办法》（陕财办采〔2018〕23号）</w:t>
      </w:r>
      <w:r>
        <w:rPr>
          <w:rFonts w:hint="eastAsia" w:cs="宋体"/>
          <w:color w:val="000000" w:themeColor="text1"/>
          <w:spacing w:val="0"/>
          <w:sz w:val="24"/>
          <w:szCs w:val="24"/>
          <w:lang w:val="en-US" w:eastAsia="zh-CN"/>
          <w14:textFill>
            <w14:solidFill>
              <w14:schemeClr w14:val="tx1"/>
            </w14:solidFill>
          </w14:textFill>
        </w:rPr>
        <w:t>；</w:t>
      </w:r>
    </w:p>
    <w:p w14:paraId="4C4958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2.8国务院办公厅印发《关于在政府采购中实施本国产品标准及相关政策的通知》国办发〔2025〕34号</w:t>
      </w:r>
      <w:r>
        <w:rPr>
          <w:rFonts w:hint="eastAsia" w:cs="宋体"/>
          <w:color w:val="000000" w:themeColor="text1"/>
          <w:spacing w:val="0"/>
          <w:sz w:val="24"/>
          <w:szCs w:val="24"/>
          <w:lang w:val="en-US" w:eastAsia="zh-CN"/>
          <w14:textFill>
            <w14:solidFill>
              <w14:schemeClr w14:val="tx1"/>
            </w14:solidFill>
          </w14:textFill>
        </w:rPr>
        <w:t>；</w:t>
      </w:r>
    </w:p>
    <w:p w14:paraId="527AF31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2.9其他需要落实的政府采购政策（如有最新颁布的政府采购政策，按最新的文件执</w:t>
      </w:r>
    </w:p>
    <w:p w14:paraId="427A385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jc w:val="both"/>
        <w:textAlignment w:val="auto"/>
        <w:outlineLvl w:val="9"/>
        <w:rPr>
          <w:rFonts w:hint="default"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行）。</w:t>
      </w:r>
    </w:p>
    <w:p w14:paraId="6CA4A56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3.本项目的特定资格要求：</w:t>
      </w:r>
    </w:p>
    <w:p w14:paraId="1AAEA78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pacing w:val="0"/>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合同包1(</w:t>
      </w:r>
      <w:r>
        <w:rPr>
          <w:rFonts w:hint="eastAsia" w:cs="宋体"/>
          <w:color w:val="000000" w:themeColor="text1"/>
          <w:spacing w:val="0"/>
          <w:sz w:val="24"/>
          <w:szCs w:val="24"/>
          <w:lang w:val="en-US" w:eastAsia="zh-CN"/>
          <w14:textFill>
            <w14:solidFill>
              <w14:schemeClr w14:val="tx1"/>
            </w14:solidFill>
          </w14:textFill>
        </w:rPr>
        <w:t>延安市公安局宝塔分局综合指挥作战装备购置项目</w:t>
      </w:r>
      <w:r>
        <w:rPr>
          <w:rFonts w:hint="eastAsia" w:ascii="宋体" w:hAnsi="宋体" w:eastAsia="宋体" w:cs="宋体"/>
          <w:color w:val="000000" w:themeColor="text1"/>
          <w:spacing w:val="0"/>
          <w:sz w:val="24"/>
          <w:szCs w:val="24"/>
          <w:lang w:val="en-US" w:eastAsia="zh-CN"/>
          <w14:textFill>
            <w14:solidFill>
              <w14:schemeClr w14:val="tx1"/>
            </w14:solidFill>
          </w14:textFill>
        </w:rPr>
        <w:t>)特定资格要求如下:</w:t>
      </w:r>
    </w:p>
    <w:p w14:paraId="75CE225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3.1具有独立承担民事责任能力的法人、其他组织或自然人，并出具合法有效的营业执照或事业单位法人证书等国家规定的相关证明，自然人参与的提供其身份证明； </w:t>
      </w:r>
    </w:p>
    <w:p w14:paraId="6B9DFD24">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法定代表人授权委托书及被授权人身份证（法定代表人直接参加时，只须出示法定代表人身份证)； </w:t>
      </w:r>
    </w:p>
    <w:p w14:paraId="576C11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提供参加政府采购活动前3年内经营活动中没有重大违法记录声明； </w:t>
      </w:r>
    </w:p>
    <w:p w14:paraId="78EF31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月1日以来已缴纳的至少一个月的纳税证明或完税证明，纳税证明或完税证明上应有代收机构或税务机关的公章。依法免税的供应商应提供相关文件证明； </w:t>
      </w:r>
    </w:p>
    <w:p w14:paraId="0AE6934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月1日以来已缴存的至少一个月的社会保障资金缴存单据或社保机构开具的社会保险参保缴费情况证明，依法不需要缴纳社会保障资金的供应商应提供相关文件证明； </w:t>
      </w:r>
    </w:p>
    <w:p w14:paraId="752AA1E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6财务状况报告：提供2024或2025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1EFE3AE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B695F8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57E35756">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w:t>
      </w:r>
      <w:r>
        <w:rPr>
          <w:rFonts w:hint="eastAsia"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本项目不接受联合体投标。</w:t>
      </w:r>
    </w:p>
    <w:p w14:paraId="277A5E2F">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三、获取招标文件</w:t>
      </w:r>
    </w:p>
    <w:p w14:paraId="636B5C91">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w:t>
      </w:r>
      <w:r>
        <w:rPr>
          <w:rFonts w:hint="eastAsia" w:ascii="宋体" w:hAnsi="宋体" w:cs="宋体"/>
          <w:b w:val="0"/>
          <w:bCs w:val="0"/>
          <w:color w:val="000000" w:themeColor="text1"/>
          <w:spacing w:val="0"/>
          <w:sz w:val="24"/>
          <w:szCs w:val="24"/>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日8时00分至202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ascii="宋体" w:hAnsi="宋体" w:cs="宋体"/>
          <w:b w:val="0"/>
          <w:bCs w:val="0"/>
          <w:color w:val="000000" w:themeColor="text1"/>
          <w:spacing w:val="0"/>
          <w:sz w:val="24"/>
          <w:szCs w:val="24"/>
          <w:lang w:val="en-US" w:eastAsia="zh-CN"/>
          <w14:textFill>
            <w14:solidFill>
              <w14:schemeClr w14:val="tx1"/>
            </w14:solidFill>
          </w14:textFill>
        </w:rPr>
        <w:t>14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日18时00分（北京时间）</w:t>
      </w:r>
    </w:p>
    <w:p w14:paraId="5365F52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cs="宋体"/>
          <w:b w:val="0"/>
          <w:bCs w:val="0"/>
          <w:color w:val="000000" w:themeColor="text1"/>
          <w:spacing w:val="0"/>
          <w:sz w:val="24"/>
          <w:szCs w:val="24"/>
          <w:lang w:val="en-US" w:eastAsia="zh-CN"/>
          <w14:textFill>
            <w14:solidFill>
              <w14:schemeClr w14:val="tx1"/>
            </w14:solidFill>
          </w14:textFill>
        </w:rPr>
        <w:t>途径</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：全国公共资源交易平台（陕西省·延安市）</w:t>
      </w:r>
    </w:p>
    <w:p w14:paraId="3FF06FF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方式：在线获取</w:t>
      </w:r>
    </w:p>
    <w:p w14:paraId="5F79F75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售价：</w:t>
      </w:r>
      <w:r>
        <w:rPr>
          <w:rFonts w:hint="eastAsia" w:cs="宋体"/>
          <w:b w:val="0"/>
          <w:bCs w:val="0"/>
          <w:color w:val="000000" w:themeColor="text1"/>
          <w:spacing w:val="0"/>
          <w:sz w:val="24"/>
          <w:szCs w:val="24"/>
          <w:lang w:val="en-US" w:eastAsia="zh-CN"/>
          <w14:textFill>
            <w14:solidFill>
              <w14:schemeClr w14:val="tx1"/>
            </w14:solidFill>
          </w14:textFill>
        </w:rPr>
        <w:t>0元</w:t>
      </w:r>
    </w:p>
    <w:p w14:paraId="78CE6DB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四、提交投标文件截止时间、开标时间和地点</w:t>
      </w:r>
    </w:p>
    <w:p w14:paraId="22C768F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时间：202</w:t>
      </w:r>
      <w:r>
        <w:rPr>
          <w:rFonts w:hint="eastAsia"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w:t>
      </w:r>
      <w:r>
        <w:rPr>
          <w:rFonts w:hint="eastAsia" w:cs="宋体"/>
          <w:b w:val="0"/>
          <w:bCs w:val="0"/>
          <w:color w:val="000000" w:themeColor="text1"/>
          <w:spacing w:val="0"/>
          <w:sz w:val="24"/>
          <w:szCs w:val="24"/>
          <w:lang w:val="en-US" w:eastAsia="zh-CN"/>
          <w14:textFill>
            <w14:solidFill>
              <w14:schemeClr w14:val="tx1"/>
            </w14:solidFill>
          </w14:textFill>
        </w:rPr>
        <w:t>29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日</w:t>
      </w:r>
      <w:r>
        <w:rPr>
          <w:rFonts w:hint="eastAsia" w:cs="宋体"/>
          <w:b w:val="0"/>
          <w:bCs w:val="0"/>
          <w:color w:val="000000" w:themeColor="text1"/>
          <w:spacing w:val="0"/>
          <w:sz w:val="24"/>
          <w:szCs w:val="24"/>
          <w:lang w:val="en-US" w:eastAsia="zh-CN"/>
          <w14:textFill>
            <w14:solidFill>
              <w14:schemeClr w14:val="tx1"/>
            </w14:solidFill>
          </w14:textFill>
        </w:rPr>
        <w:t>09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时00分00秒（北京时间）</w:t>
      </w:r>
    </w:p>
    <w:p w14:paraId="528A58B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提交投标文件地点：延安市公共资源交易中心开标8室</w:t>
      </w:r>
    </w:p>
    <w:p w14:paraId="7CB8967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开标地点：延安市公共资源交易中心开标8室</w:t>
      </w:r>
    </w:p>
    <w:p w14:paraId="3B3BA78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五、公告期限</w:t>
      </w:r>
    </w:p>
    <w:p w14:paraId="1C7F021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pacing w:val="0"/>
          <w:sz w:val="24"/>
          <w:szCs w:val="24"/>
          <w:lang w:val="en-US" w:eastAsia="zh-CN"/>
          <w14:textFill>
            <w14:solidFill>
              <w14:schemeClr w14:val="tx1"/>
            </w14:solidFill>
          </w14:textFill>
        </w:rPr>
        <w:t>自本公告发布之日起5个工作日。</w:t>
      </w:r>
    </w:p>
    <w:p w14:paraId="3DC32205">
      <w:pPr>
        <w:pStyle w:val="32"/>
        <w:keepNext w:val="0"/>
        <w:keepLines w:val="0"/>
        <w:pageBreakBefore w:val="0"/>
        <w:widowControl/>
        <w:numPr>
          <w:ilvl w:val="0"/>
          <w:numId w:val="0"/>
        </w:numPr>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六、其他补充事宜</w:t>
      </w:r>
    </w:p>
    <w:p w14:paraId="7EE958A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（1）请投标人按照陕西省财政厅关于政府采购供应商注册登记有关事项的通知中的要求，通过陕西省政府采购网（http://www.ccgp-shaanxi.gov.cn/）注册登记加入陕西省政府采购供应商库。</w:t>
      </w:r>
    </w:p>
    <w:p w14:paraId="6FA6B8A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获取方式：投标人可登录全国公共资源交易平台（陕西省•延安市）（http：//ya.sxggzyjy.cn/）,选择“电子交易平台•〉政府采购交易系统•〉企业端”通过CA锁进行登录，登录后选择“交易乙方”身份进入投标人界面后，选择有意向的项目点击“我要投标”，参与投标活动。然后在 〖我的项目〗中点击“项目流程・〉招标文件领取”免费下载电子招标文件。</w:t>
      </w:r>
    </w:p>
    <w:p w14:paraId="7008B4F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（3）投标人初次使用交易平台，须先完成诚信入库登记、 数字认证证书（CA锁）认证及企业信息绑定。相关操作流程详见全国公共资源交易平台（陕西省・延安市）网站〖首页・〉服务指南・〉下载专区〗中的《延安市公共资源交易中心政府采购电子招投标全流程操作手册》。</w:t>
      </w:r>
    </w:p>
    <w:p w14:paraId="7FBF39E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（4）供应商初次使用交易平台，需前往陕西省数字证书认证中心股份有限公司办理CA锁，办理流程可参照https://www.snca.com.cn/notice/show/533.html，现场办理地址：延安市新区为民服务中心南区东楼（7号楼）A2 楼，咨询电话：0911-2162266。</w:t>
      </w:r>
    </w:p>
    <w:p w14:paraId="7AC62D4C">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（5）本项目</w:t>
      </w:r>
      <w:r>
        <w:rPr>
          <w:rFonts w:hint="eastAsia" w:cs="宋体"/>
          <w:b w:val="0"/>
          <w:bCs w:val="0"/>
          <w:color w:val="000000" w:themeColor="text1"/>
          <w:spacing w:val="0"/>
          <w:sz w:val="24"/>
          <w:szCs w:val="24"/>
          <w:lang w:val="en-US" w:eastAsia="zh-CN"/>
          <w14:textFill>
            <w14:solidFill>
              <w14:schemeClr w14:val="tx1"/>
            </w14:solidFill>
          </w14:textFill>
        </w:rPr>
        <w:t>不</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专门面向</w:t>
      </w:r>
      <w:r>
        <w:rPr>
          <w:rFonts w:hint="eastAsia" w:cs="宋体"/>
          <w:b w:val="0"/>
          <w:bCs w:val="0"/>
          <w:color w:val="000000" w:themeColor="text1"/>
          <w:spacing w:val="0"/>
          <w:sz w:val="24"/>
          <w:szCs w:val="24"/>
          <w:lang w:val="en-US" w:eastAsia="zh-CN"/>
          <w14:textFill>
            <w14:solidFill>
              <w14:schemeClr w14:val="tx1"/>
            </w14:solidFill>
          </w14:textFill>
        </w:rPr>
        <w:t>中小</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企业采购。</w:t>
      </w:r>
    </w:p>
    <w:p w14:paraId="566C53FE">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（6）本项目采用线上不见面形式。</w:t>
      </w:r>
    </w:p>
    <w:p w14:paraId="49AF6DE5">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（7）发布公告的媒介：本次招标公告在《陕西省政府采购网》、《全国公共资源交易平台（陕西省·延安市）》上同时发布。</w:t>
      </w:r>
    </w:p>
    <w:p w14:paraId="63A90011">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2" w:firstLineChars="200"/>
        <w:jc w:val="both"/>
        <w:textAlignment w:val="auto"/>
        <w:outlineLvl w:val="9"/>
        <w:rPr>
          <w:rFonts w:hint="eastAsia" w:ascii="宋体" w:hAnsi="宋体" w:eastAsia="宋体" w:cs="宋体"/>
          <w:b/>
          <w:bCs/>
          <w:color w:val="000000" w:themeColor="text1"/>
          <w:spacing w:val="0"/>
          <w:sz w:val="24"/>
          <w:szCs w:val="24"/>
          <w:lang w:val="en-US" w:eastAsia="zh-CN"/>
          <w14:textFill>
            <w14:solidFill>
              <w14:schemeClr w14:val="tx1"/>
            </w14:solidFill>
          </w14:textFill>
        </w:rPr>
      </w:pPr>
      <w:r>
        <w:rPr>
          <w:rFonts w:hint="eastAsia" w:ascii="宋体" w:hAnsi="宋体" w:eastAsia="宋体" w:cs="宋体"/>
          <w:b/>
          <w:bCs/>
          <w:color w:val="000000" w:themeColor="text1"/>
          <w:spacing w:val="0"/>
          <w:sz w:val="24"/>
          <w:szCs w:val="24"/>
          <w:lang w:val="en-US" w:eastAsia="zh-CN"/>
          <w14:textFill>
            <w14:solidFill>
              <w14:schemeClr w14:val="tx1"/>
            </w14:solidFill>
          </w14:textFill>
        </w:rPr>
        <w:t>七、凡对本次采购提出询问，请按以下方式联系。</w:t>
      </w:r>
    </w:p>
    <w:p w14:paraId="66E2FFC7">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1.采购人信息</w:t>
      </w:r>
    </w:p>
    <w:p w14:paraId="02B6F8C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w:t>
      </w:r>
      <w:r>
        <w:rPr>
          <w:rFonts w:hint="eastAsia" w:cs="宋体"/>
          <w:b w:val="0"/>
          <w:bCs w:val="0"/>
          <w:color w:val="000000" w:themeColor="text1"/>
          <w:spacing w:val="0"/>
          <w:sz w:val="24"/>
          <w:szCs w:val="24"/>
          <w:lang w:val="en-US" w:eastAsia="zh-CN"/>
          <w14:textFill>
            <w14:solidFill>
              <w14:schemeClr w14:val="tx1"/>
            </w14:solidFill>
          </w14:textFill>
        </w:rPr>
        <w:t>延安市公安局宝塔分局</w:t>
      </w:r>
    </w:p>
    <w:p w14:paraId="66099F99">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地址：延安市宝塔区枣园路1号</w:t>
      </w:r>
    </w:p>
    <w:p w14:paraId="32C9C020">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w:t>
      </w:r>
      <w:r>
        <w:rPr>
          <w:rFonts w:hint="eastAsia" w:cs="宋体"/>
          <w:b w:val="0"/>
          <w:bCs w:val="0"/>
          <w:color w:val="000000" w:themeColor="text1"/>
          <w:spacing w:val="0"/>
          <w:sz w:val="24"/>
          <w:szCs w:val="24"/>
          <w:lang w:val="en-US" w:eastAsia="zh-CN"/>
          <w14:textFill>
            <w14:solidFill>
              <w14:schemeClr w14:val="tx1"/>
            </w14:solidFill>
          </w14:textFill>
        </w:rPr>
        <w:t>0911-2998298</w:t>
      </w:r>
    </w:p>
    <w:p w14:paraId="47EA3DE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2.采购代理机构信息</w:t>
      </w:r>
    </w:p>
    <w:p w14:paraId="35C9920B">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名称：陕西宸永项目管理有限公司</w:t>
      </w:r>
    </w:p>
    <w:p w14:paraId="30CF8D0A">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地址：延安市新区盛世花园北区12号楼一单元802室</w:t>
      </w:r>
    </w:p>
    <w:p w14:paraId="2B369A33">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联系方式：0911-8688810</w:t>
      </w:r>
    </w:p>
    <w:p w14:paraId="0EC73D3D">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3.项目联系方式</w:t>
      </w:r>
    </w:p>
    <w:p w14:paraId="11C2C078">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项目联系人：杨工</w:t>
      </w:r>
    </w:p>
    <w:p w14:paraId="68D0C502">
      <w:pPr>
        <w:pStyle w:val="32"/>
        <w:keepNext w:val="0"/>
        <w:keepLines w:val="0"/>
        <w:pageBreakBefore w:val="0"/>
        <w:widowControl/>
        <w:kinsoku/>
        <w:wordWrap/>
        <w:overflowPunct/>
        <w:topLinePunct w:val="0"/>
        <w:autoSpaceDE/>
        <w:autoSpaceDN/>
        <w:bidi w:val="0"/>
        <w:adjustRightInd/>
        <w:snapToGrid/>
        <w:spacing w:before="0" w:beforeLines="0" w:beforeAutospacing="0" w:after="0" w:afterLines="0" w:afterAutospacing="0" w:line="600" w:lineRule="exact"/>
        <w:ind w:firstLine="480" w:firstLineChars="200"/>
        <w:jc w:val="both"/>
        <w:textAlignment w:val="auto"/>
        <w:outlineLvl w:val="9"/>
        <w:rPr>
          <w:rFonts w:hint="eastAsia" w:ascii="宋体" w:hAnsi="宋体" w:eastAsia="宋体" w:cs="宋体"/>
          <w:b w:val="0"/>
          <w:bCs w:val="0"/>
          <w:color w:val="000000" w:themeColor="text1"/>
          <w:spacing w:val="0"/>
          <w:sz w:val="28"/>
          <w:szCs w:val="28"/>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电话：0911-8688810</w:t>
      </w:r>
    </w:p>
    <w:p w14:paraId="6982DD1B">
      <w:pPr>
        <w:keepNext w:val="0"/>
        <w:keepLines w:val="0"/>
        <w:pageBreakBefore w:val="0"/>
        <w:widowControl/>
        <w:suppressLineNumbers w:val="0"/>
        <w:pBdr>
          <w:top w:val="none" w:color="auto" w:sz="0" w:space="1"/>
          <w:left w:val="none" w:color="auto" w:sz="0" w:space="4"/>
          <w:bottom w:val="none" w:color="auto" w:sz="0" w:space="1"/>
          <w:right w:val="none" w:color="auto" w:sz="0" w:space="4"/>
          <w:between w:val="none" w:color="auto" w:sz="0" w:space="0"/>
        </w:pBdr>
        <w:shd w:val="clear" w:color="auto" w:fill="auto"/>
        <w:kinsoku/>
        <w:wordWrap/>
        <w:overflowPunct/>
        <w:topLinePunct w:val="0"/>
        <w:autoSpaceDE/>
        <w:autoSpaceDN/>
        <w:bidi w:val="0"/>
        <w:adjustRightInd/>
        <w:spacing w:beforeAutospacing="0" w:afterAutospacing="0" w:line="560" w:lineRule="exact"/>
        <w:ind w:leftChars="0" w:right="0" w:rightChars="0" w:firstLine="420" w:firstLineChars="200"/>
        <w:jc w:val="center"/>
        <w:rPr>
          <w:rFonts w:hint="eastAsia" w:ascii="宋体" w:hAnsi="宋体" w:cs="宋体"/>
          <w:color w:val="000000" w:themeColor="text1"/>
          <w14:textFill>
            <w14:solidFill>
              <w14:schemeClr w14:val="tx1"/>
            </w14:solidFill>
          </w14:textFill>
        </w:rPr>
        <w:sectPr>
          <w:footerReference r:id="rId7" w:type="first"/>
          <w:headerReference r:id="rId5" w:type="default"/>
          <w:footerReference r:id="rId6" w:type="default"/>
          <w:pgSz w:w="11906" w:h="16838"/>
          <w:pgMar w:top="1417" w:right="1134" w:bottom="1417" w:left="1417" w:header="851" w:footer="992" w:gutter="0"/>
          <w:pgBorders>
            <w:top w:val="none" w:sz="0" w:space="0"/>
            <w:left w:val="none" w:sz="0" w:space="0"/>
            <w:bottom w:val="none" w:sz="0" w:space="0"/>
            <w:right w:val="none" w:sz="0" w:space="0"/>
          </w:pgBorders>
          <w:pgNumType w:fmt="decimal" w:start="1"/>
          <w:cols w:space="720" w:num="1"/>
          <w:docGrid w:linePitch="312" w:charSpace="0"/>
        </w:sectPr>
      </w:pPr>
    </w:p>
    <w:p w14:paraId="2EB0EF2E">
      <w:pPr>
        <w:pStyle w:val="2"/>
        <w:spacing w:line="240" w:lineRule="auto"/>
        <w:jc w:val="center"/>
        <w:rPr>
          <w:rFonts w:hint="eastAsia" w:ascii="宋体" w:hAnsi="宋体" w:cs="宋体"/>
          <w:color w:val="000000" w:themeColor="text1"/>
          <w:sz w:val="30"/>
          <w:szCs w:val="30"/>
          <w14:textFill>
            <w14:solidFill>
              <w14:schemeClr w14:val="tx1"/>
            </w14:solidFill>
          </w14:textFill>
        </w:rPr>
      </w:pPr>
      <w:bookmarkStart w:id="13" w:name="_Toc23672"/>
      <w:bookmarkStart w:id="14" w:name="_Toc10411"/>
      <w:bookmarkStart w:id="15" w:name="_Toc2596"/>
      <w:bookmarkStart w:id="16" w:name="_Toc16762"/>
      <w:r>
        <w:rPr>
          <w:rFonts w:hint="eastAsia" w:ascii="宋体" w:hAnsi="宋体" w:cs="宋体"/>
          <w:color w:val="000000" w:themeColor="text1"/>
          <w:sz w:val="30"/>
          <w:szCs w:val="30"/>
          <w14:textFill>
            <w14:solidFill>
              <w14:schemeClr w14:val="tx1"/>
            </w14:solidFill>
          </w14:textFill>
        </w:rPr>
        <w:t>第二章  投标人须知</w:t>
      </w:r>
      <w:bookmarkEnd w:id="11"/>
      <w:bookmarkEnd w:id="12"/>
      <w:bookmarkEnd w:id="13"/>
      <w:bookmarkEnd w:id="14"/>
      <w:bookmarkEnd w:id="15"/>
      <w:bookmarkEnd w:id="16"/>
    </w:p>
    <w:p w14:paraId="39DA9270">
      <w:pPr>
        <w:pStyle w:val="2"/>
        <w:spacing w:after="0" w:line="240" w:lineRule="auto"/>
        <w:rPr>
          <w:rFonts w:hint="eastAsia" w:ascii="宋体" w:hAnsi="宋体" w:cs="宋体"/>
          <w:color w:val="000000" w:themeColor="text1"/>
          <w:sz w:val="24"/>
          <w:szCs w:val="40"/>
          <w14:textFill>
            <w14:solidFill>
              <w14:schemeClr w14:val="tx1"/>
            </w14:solidFill>
          </w14:textFill>
        </w:rPr>
      </w:pPr>
      <w:bookmarkStart w:id="17" w:name="_Toc11843"/>
      <w:bookmarkStart w:id="18" w:name="_Toc25587"/>
      <w:bookmarkStart w:id="19" w:name="_Toc3573"/>
      <w:bookmarkStart w:id="20" w:name="_Toc16081"/>
      <w:bookmarkStart w:id="21" w:name="_Toc26053"/>
      <w:bookmarkStart w:id="22" w:name="_Toc22961"/>
      <w:bookmarkStart w:id="23" w:name="_Toc15597"/>
      <w:bookmarkStart w:id="24" w:name="_Toc32301"/>
      <w:bookmarkStart w:id="25" w:name="_Toc25163"/>
      <w:bookmarkStart w:id="26" w:name="_Toc12247"/>
      <w:bookmarkStart w:id="27" w:name="_Toc24259"/>
      <w:bookmarkStart w:id="28" w:name="_Toc13763"/>
      <w:r>
        <w:rPr>
          <w:rFonts w:hint="eastAsia" w:ascii="宋体" w:hAnsi="宋体" w:cs="宋体"/>
          <w:color w:val="000000" w:themeColor="text1"/>
          <w:sz w:val="24"/>
          <w:szCs w:val="40"/>
          <w14:textFill>
            <w14:solidFill>
              <w14:schemeClr w14:val="tx1"/>
            </w14:solidFill>
          </w14:textFill>
        </w:rPr>
        <w:t>投标人须知前附表</w:t>
      </w:r>
      <w:bookmarkEnd w:id="17"/>
      <w:bookmarkEnd w:id="18"/>
      <w:bookmarkEnd w:id="19"/>
      <w:bookmarkEnd w:id="20"/>
      <w:bookmarkEnd w:id="21"/>
      <w:bookmarkEnd w:id="22"/>
      <w:bookmarkEnd w:id="23"/>
      <w:bookmarkEnd w:id="24"/>
      <w:bookmarkEnd w:id="25"/>
      <w:bookmarkEnd w:id="26"/>
      <w:bookmarkEnd w:id="27"/>
      <w:bookmarkEnd w:id="28"/>
    </w:p>
    <w:tbl>
      <w:tblPr>
        <w:tblStyle w:val="35"/>
        <w:tblpPr w:leftFromText="180" w:rightFromText="180" w:vertAnchor="text" w:horzAnchor="page" w:tblpXSpec="center" w:tblpY="570"/>
        <w:tblOverlap w:val="never"/>
        <w:tblW w:w="9287" w:type="dxa"/>
        <w:jc w:val="center"/>
        <w:tblLayout w:type="fixed"/>
        <w:tblCellMar>
          <w:top w:w="0" w:type="dxa"/>
          <w:left w:w="108" w:type="dxa"/>
          <w:bottom w:w="0" w:type="dxa"/>
          <w:right w:w="108" w:type="dxa"/>
        </w:tblCellMar>
      </w:tblPr>
      <w:tblGrid>
        <w:gridCol w:w="968"/>
        <w:gridCol w:w="1616"/>
        <w:gridCol w:w="6703"/>
      </w:tblGrid>
      <w:tr w14:paraId="356691B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AA3BCDC">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条款号</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978784">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条  款  名  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B914DBF">
            <w:pPr>
              <w:spacing w:line="360" w:lineRule="auto"/>
              <w:jc w:val="center"/>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编  列  内  容</w:t>
            </w:r>
          </w:p>
        </w:tc>
      </w:tr>
      <w:tr w14:paraId="22D156BC">
        <w:tblPrEx>
          <w:tblCellMar>
            <w:top w:w="0" w:type="dxa"/>
            <w:left w:w="108" w:type="dxa"/>
            <w:bottom w:w="0" w:type="dxa"/>
            <w:right w:w="108" w:type="dxa"/>
          </w:tblCellMar>
        </w:tblPrEx>
        <w:trPr>
          <w:trHeight w:val="180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E6EE6B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E6A96F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AE3CEBE">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w:t>
            </w:r>
            <w:r>
              <w:rPr>
                <w:rFonts w:hint="eastAsia" w:ascii="宋体" w:hAnsi="宋体" w:cs="宋体"/>
                <w:color w:val="000000" w:themeColor="text1"/>
                <w:sz w:val="22"/>
                <w:szCs w:val="22"/>
                <w:lang w:eastAsia="zh-CN"/>
                <w14:textFill>
                  <w14:solidFill>
                    <w14:schemeClr w14:val="tx1"/>
                  </w14:solidFill>
                </w14:textFill>
              </w:rPr>
              <w:t>延安市公安局宝塔分局</w:t>
            </w:r>
          </w:p>
          <w:p w14:paraId="1B5B041B">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址：延安市宝塔区枣园路1号</w:t>
            </w:r>
          </w:p>
          <w:p w14:paraId="70A19285">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联系人：</w:t>
            </w:r>
            <w:r>
              <w:rPr>
                <w:rFonts w:hint="eastAsia" w:ascii="宋体" w:hAnsi="宋体" w:cs="宋体"/>
                <w:color w:val="000000" w:themeColor="text1"/>
                <w:sz w:val="22"/>
                <w:szCs w:val="22"/>
                <w:lang w:val="en-US" w:eastAsia="zh-CN"/>
                <w14:textFill>
                  <w14:solidFill>
                    <w14:schemeClr w14:val="tx1"/>
                  </w14:solidFill>
                </w14:textFill>
              </w:rPr>
              <w:t>王彤彤</w:t>
            </w:r>
          </w:p>
          <w:p w14:paraId="3CE9E61F">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 话：</w:t>
            </w:r>
            <w:r>
              <w:rPr>
                <w:rFonts w:hint="eastAsia" w:ascii="宋体" w:hAnsi="宋体" w:cs="宋体"/>
                <w:color w:val="000000" w:themeColor="text1"/>
                <w:sz w:val="22"/>
                <w:szCs w:val="22"/>
                <w:lang w:val="en-US" w:eastAsia="zh-CN"/>
                <w14:textFill>
                  <w14:solidFill>
                    <w14:schemeClr w14:val="tx1"/>
                  </w14:solidFill>
                </w14:textFill>
              </w:rPr>
              <w:t>0911-2998298</w:t>
            </w:r>
          </w:p>
        </w:tc>
      </w:tr>
      <w:tr w14:paraId="382D480D">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0730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EA6E57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采购代理机构</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31D24B">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名 称：陕西宸永项目管理有限公司</w:t>
            </w:r>
          </w:p>
          <w:p w14:paraId="311ED5D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 址：延安市新区盛世花园北区12号楼1单元802室</w:t>
            </w:r>
          </w:p>
          <w:p w14:paraId="28476E0A">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联系人：杨工       </w:t>
            </w:r>
          </w:p>
          <w:p w14:paraId="56847DF0">
            <w:pPr>
              <w:widowControl/>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电话：0911-8688810</w:t>
            </w:r>
            <w:r>
              <w:rPr>
                <w:rFonts w:hint="eastAsia" w:ascii="宋体" w:hAnsi="宋体" w:eastAsia="宋体" w:cs="宋体"/>
                <w:color w:val="000000" w:themeColor="text1"/>
                <w:kern w:val="0"/>
                <w:sz w:val="22"/>
                <w:szCs w:val="22"/>
                <w14:textFill>
                  <w14:solidFill>
                    <w14:schemeClr w14:val="tx1"/>
                  </w14:solidFill>
                </w14:textFill>
              </w:rPr>
              <w:t xml:space="preserve"> </w:t>
            </w:r>
          </w:p>
        </w:tc>
      </w:tr>
      <w:tr w14:paraId="5AE9E7F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88E4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B6C456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项目名称</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B961E1">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延安市公安局宝塔分局综合指挥作战装备购置项目</w:t>
            </w:r>
          </w:p>
        </w:tc>
      </w:tr>
      <w:tr w14:paraId="06946E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0BFA0C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1.1.5</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B574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781363">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eastAsia="zh-CN"/>
                <w14:textFill>
                  <w14:solidFill>
                    <w14:schemeClr w14:val="tx1"/>
                  </w14:solidFill>
                </w14:textFill>
              </w:rPr>
              <w:t>延安市公安局宝塔分局</w:t>
            </w:r>
            <w:r>
              <w:rPr>
                <w:rFonts w:hint="eastAsia" w:ascii="宋体" w:hAnsi="宋体" w:eastAsia="宋体" w:cs="宋体"/>
                <w:color w:val="000000" w:themeColor="text1"/>
                <w:sz w:val="22"/>
                <w:szCs w:val="22"/>
                <w:lang w:eastAsia="zh-CN"/>
                <w14:textFill>
                  <w14:solidFill>
                    <w14:schemeClr w14:val="tx1"/>
                  </w14:solidFill>
                </w14:textFill>
              </w:rPr>
              <w:t>指定地点</w:t>
            </w:r>
          </w:p>
        </w:tc>
      </w:tr>
      <w:tr w14:paraId="0DEC0542">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E3F7C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031F8C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资金来源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99B907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财政资金  　　　</w:t>
            </w:r>
          </w:p>
        </w:tc>
      </w:tr>
      <w:tr w14:paraId="6A512914">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BE6BA9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640057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项目预算</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08E0C1D">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1000000.00</w:t>
            </w:r>
            <w:r>
              <w:rPr>
                <w:rFonts w:hint="eastAsia" w:ascii="宋体" w:hAnsi="宋体" w:eastAsia="宋体" w:cs="宋体"/>
                <w:color w:val="000000" w:themeColor="text1"/>
                <w:sz w:val="22"/>
                <w:szCs w:val="22"/>
                <w:lang w:val="en-US" w:eastAsia="zh-CN"/>
                <w14:textFill>
                  <w14:solidFill>
                    <w14:schemeClr w14:val="tx1"/>
                  </w14:solidFill>
                </w14:textFill>
              </w:rPr>
              <w:t>元</w:t>
            </w:r>
          </w:p>
        </w:tc>
      </w:tr>
      <w:tr w14:paraId="6BA996CC">
        <w:tblPrEx>
          <w:tblCellMar>
            <w:top w:w="0" w:type="dxa"/>
            <w:left w:w="108" w:type="dxa"/>
            <w:bottom w:w="0" w:type="dxa"/>
            <w:right w:w="108" w:type="dxa"/>
          </w:tblCellMar>
        </w:tblPrEx>
        <w:trPr>
          <w:trHeight w:val="49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2485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59E501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招标内容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B5B0">
            <w:pPr>
              <w:spacing w:line="360" w:lineRule="auto"/>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综合指挥作战装备</w:t>
            </w:r>
          </w:p>
          <w:p w14:paraId="0CFC3BD6">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核心产品：小间距LED屏幕</w:t>
            </w:r>
            <w:r>
              <w:rPr>
                <w:rFonts w:hint="eastAsia" w:ascii="宋体" w:hAnsi="宋体" w:cs="宋体"/>
                <w:b/>
                <w:bCs/>
                <w:color w:val="000000" w:themeColor="text1"/>
                <w:sz w:val="22"/>
                <w:szCs w:val="22"/>
                <w:lang w:val="en-US" w:eastAsia="zh-CN"/>
                <w14:textFill>
                  <w14:solidFill>
                    <w14:schemeClr w14:val="tx1"/>
                  </w14:solidFill>
                </w14:textFill>
              </w:rPr>
              <w:t>。</w:t>
            </w:r>
          </w:p>
        </w:tc>
      </w:tr>
      <w:tr w14:paraId="73CDC48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B2189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60B2F98">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供货期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4A999">
            <w:pPr>
              <w:spacing w:line="360" w:lineRule="auto"/>
              <w:jc w:val="left"/>
              <w:rPr>
                <w:rFonts w:hint="default"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15天</w:t>
            </w:r>
          </w:p>
        </w:tc>
      </w:tr>
      <w:tr w14:paraId="5849E1FA">
        <w:tblPrEx>
          <w:tblCellMar>
            <w:top w:w="0" w:type="dxa"/>
            <w:left w:w="108" w:type="dxa"/>
            <w:bottom w:w="0" w:type="dxa"/>
            <w:right w:w="108" w:type="dxa"/>
          </w:tblCellMar>
        </w:tblPrEx>
        <w:trPr>
          <w:trHeight w:val="43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47EC38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1.3.3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BFF142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质保期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FF9D13B">
            <w:pPr>
              <w:spacing w:line="360" w:lineRule="auto"/>
              <w:jc w:val="left"/>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三</w:t>
            </w:r>
            <w:r>
              <w:rPr>
                <w:rFonts w:hint="eastAsia" w:ascii="宋体" w:hAnsi="宋体" w:eastAsia="宋体" w:cs="宋体"/>
                <w:color w:val="000000" w:themeColor="text1"/>
                <w:sz w:val="22"/>
                <w:szCs w:val="22"/>
                <w:lang w:val="en-US" w:eastAsia="zh-CN"/>
                <w14:textFill>
                  <w14:solidFill>
                    <w14:schemeClr w14:val="tx1"/>
                  </w14:solidFill>
                </w14:textFill>
              </w:rPr>
              <w:t>年</w:t>
            </w:r>
          </w:p>
        </w:tc>
      </w:tr>
      <w:tr w14:paraId="0BE5C0CB">
        <w:tblPrEx>
          <w:tblCellMar>
            <w:top w:w="0" w:type="dxa"/>
            <w:left w:w="108" w:type="dxa"/>
            <w:bottom w:w="0" w:type="dxa"/>
            <w:right w:w="108" w:type="dxa"/>
          </w:tblCellMar>
        </w:tblPrEx>
        <w:trPr>
          <w:trHeight w:val="56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E980E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57D396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投标人应具备承担本项目的资质条件、能力和信誉</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87569B4">
            <w:pPr>
              <w:numPr>
                <w:ilvl w:val="0"/>
                <w:numId w:val="0"/>
              </w:num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bidi="ar-SA"/>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基本资格条件：</w:t>
            </w:r>
          </w:p>
          <w:p w14:paraId="05D85200">
            <w:pPr>
              <w:numPr>
                <w:ilvl w:val="0"/>
                <w:numId w:val="0"/>
              </w:num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符合《中华人民共和国政府采购法》第二十二条的规定；</w:t>
            </w:r>
          </w:p>
          <w:p w14:paraId="11C82C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（2）特定资格条件：</w:t>
            </w:r>
          </w:p>
          <w:p w14:paraId="14D6AA3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p w14:paraId="421AD20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14:textFill>
                  <w14:solidFill>
                    <w14:schemeClr w14:val="tx1"/>
                  </w14:solidFill>
                </w14:textFill>
              </w:rPr>
              <w:t>.法定代表人授权委托书及被授权人身份证（法定代表人直接参加时，只须出示法定代表人身份证)；</w:t>
            </w:r>
          </w:p>
          <w:p w14:paraId="3C06E0D2">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eastAsia="zh-CN"/>
                <w14:textFill>
                  <w14:solidFill>
                    <w14:schemeClr w14:val="tx1"/>
                  </w14:solidFill>
                </w14:textFill>
              </w:rPr>
              <w:t>提供参加政府采购活动前3年内经营活动中没有重大违法记录声明</w:t>
            </w:r>
            <w:r>
              <w:rPr>
                <w:rFonts w:hint="eastAsia" w:ascii="宋体" w:hAnsi="宋体" w:eastAsia="宋体" w:cs="宋体"/>
                <w:color w:val="000000" w:themeColor="text1"/>
                <w:sz w:val="22"/>
                <w:szCs w:val="22"/>
                <w14:textFill>
                  <w14:solidFill>
                    <w14:schemeClr w14:val="tx1"/>
                  </w14:solidFill>
                </w14:textFill>
              </w:rPr>
              <w:t>；</w:t>
            </w:r>
          </w:p>
          <w:p w14:paraId="618692A9">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.税收缴纳证明：自202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6963C0A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.社会保障资金缴纳证明：自202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997262E">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财务状况报告：提供202</w:t>
            </w:r>
            <w:r>
              <w:rPr>
                <w:rFonts w:hint="eastAsia" w:ascii="宋体" w:hAnsi="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lang w:val="en-US" w:eastAsia="zh-CN"/>
                <w14:textFill>
                  <w14:solidFill>
                    <w14:schemeClr w14:val="tx1"/>
                  </w14:solidFill>
                </w14:textFill>
              </w:rPr>
              <w:t>或202</w:t>
            </w:r>
            <w:r>
              <w:rPr>
                <w:rFonts w:hint="eastAsia" w:ascii="宋体" w:hAnsi="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08B750BB">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7D137BF9">
            <w:pPr>
              <w:spacing w:line="360" w:lineRule="auto"/>
              <w:ind w:firstLine="440"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.提供投标保证金的银行转账或电汇凭证并确保投标文件递交截止时间前到达采购文件指定账户；</w:t>
            </w:r>
          </w:p>
          <w:p w14:paraId="634C62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9</w:t>
            </w:r>
            <w:r>
              <w:rPr>
                <w:rFonts w:hint="eastAsia" w:ascii="宋体" w:hAnsi="宋体" w:eastAsia="宋体" w:cs="宋体"/>
                <w:color w:val="000000" w:themeColor="text1"/>
                <w:sz w:val="22"/>
                <w:szCs w:val="22"/>
                <w14:textFill>
                  <w14:solidFill>
                    <w14:schemeClr w14:val="tx1"/>
                  </w14:solidFill>
                </w14:textFill>
              </w:rPr>
              <w:t>.本项目不接受联合体投标。</w:t>
            </w:r>
          </w:p>
        </w:tc>
      </w:tr>
      <w:tr w14:paraId="4C04020E">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8941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1.4.2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5F8C70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是否接受联合体投标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D48801B">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不接受</w:t>
            </w:r>
          </w:p>
        </w:tc>
      </w:tr>
      <w:tr w14:paraId="63E0B27D">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DCF46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1.9.1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40211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踏勘现场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1F57036">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不组织</w:t>
            </w:r>
          </w:p>
        </w:tc>
      </w:tr>
      <w:tr w14:paraId="70CA8797">
        <w:tblPrEx>
          <w:tblCellMar>
            <w:top w:w="0" w:type="dxa"/>
            <w:left w:w="108" w:type="dxa"/>
            <w:bottom w:w="0" w:type="dxa"/>
            <w:right w:w="108" w:type="dxa"/>
          </w:tblCellMar>
        </w:tblPrEx>
        <w:trPr>
          <w:trHeight w:val="42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9C62B0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2530BC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投标预备会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775E4A5">
            <w:pPr>
              <w:pStyle w:val="10"/>
              <w:topLinePunct/>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不召开</w:t>
            </w:r>
          </w:p>
        </w:tc>
      </w:tr>
      <w:tr w14:paraId="282EC1C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0BB40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771746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投标人提出问题的截止时间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683BCFF">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w:t>
            </w:r>
            <w:r>
              <w:rPr>
                <w:rFonts w:hint="eastAsia" w:ascii="宋体" w:hAnsi="宋体" w:eastAsia="宋体" w:cs="宋体"/>
                <w:color w:val="000000" w:themeColor="text1"/>
                <w:sz w:val="22"/>
                <w:szCs w:val="22"/>
                <w:lang w:val="en-US" w:eastAsia="zh-CN"/>
                <w14:textFill>
                  <w14:solidFill>
                    <w14:schemeClr w14:val="tx1"/>
                  </w14:solidFill>
                </w14:textFill>
              </w:rPr>
              <w:t>15</w:t>
            </w:r>
            <w:r>
              <w:rPr>
                <w:rFonts w:hint="eastAsia" w:ascii="宋体" w:hAnsi="宋体" w:eastAsia="宋体" w:cs="宋体"/>
                <w:color w:val="000000" w:themeColor="text1"/>
                <w:sz w:val="22"/>
                <w:szCs w:val="22"/>
                <w14:textFill>
                  <w14:solidFill>
                    <w14:schemeClr w14:val="tx1"/>
                  </w14:solidFill>
                </w14:textFill>
              </w:rPr>
              <w:t>日前</w:t>
            </w:r>
          </w:p>
        </w:tc>
      </w:tr>
      <w:tr w14:paraId="1B3FCF13">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9942E9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633C98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采购人书面澄清的时间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081E4D9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投标截止时间至少15日前</w:t>
            </w:r>
          </w:p>
        </w:tc>
      </w:tr>
      <w:tr w14:paraId="510A3AF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134B1A4">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1.10.4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92EAA4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获取</w:t>
            </w:r>
            <w:r>
              <w:rPr>
                <w:rFonts w:hint="eastAsia" w:ascii="宋体" w:hAnsi="宋体" w:eastAsia="宋体" w:cs="宋体"/>
                <w:color w:val="000000" w:themeColor="text1"/>
                <w:sz w:val="22"/>
                <w:szCs w:val="22"/>
                <w14:textFill>
                  <w14:solidFill>
                    <w14:schemeClr w14:val="tx1"/>
                  </w14:solidFill>
                </w14:textFill>
              </w:rPr>
              <w:t>招标文件的时间、地点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2A86A58">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时间：202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8</w:t>
            </w:r>
            <w:r>
              <w:rPr>
                <w:rFonts w:hint="eastAsia" w:ascii="宋体" w:hAnsi="宋体" w:eastAsia="宋体" w:cs="宋体"/>
                <w:color w:val="000000" w:themeColor="text1"/>
                <w:sz w:val="22"/>
                <w:szCs w:val="22"/>
                <w:lang w:val="en-US" w:eastAsia="zh-CN"/>
                <w14:textFill>
                  <w14:solidFill>
                    <w14:schemeClr w14:val="tx1"/>
                  </w14:solidFill>
                </w14:textFill>
              </w:rPr>
              <w:t>日8时00分至 202</w:t>
            </w:r>
            <w:r>
              <w:rPr>
                <w:rFonts w:hint="eastAsia" w:ascii="宋体" w:hAnsi="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lang w:val="en-US" w:eastAsia="zh-CN"/>
                <w14:textFill>
                  <w14:solidFill>
                    <w14:schemeClr w14:val="tx1"/>
                  </w14:solidFill>
                </w14:textFill>
              </w:rPr>
              <w:t>年</w:t>
            </w:r>
            <w:r>
              <w:rPr>
                <w:rFonts w:hint="eastAsia" w:ascii="宋体" w:hAnsi="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lang w:val="en-US" w:eastAsia="zh-CN"/>
                <w14:textFill>
                  <w14:solidFill>
                    <w14:schemeClr w14:val="tx1"/>
                  </w14:solidFill>
                </w14:textFill>
              </w:rPr>
              <w:t>月</w:t>
            </w:r>
            <w:r>
              <w:rPr>
                <w:rFonts w:hint="eastAsia" w:ascii="宋体" w:hAnsi="宋体" w:cs="宋体"/>
                <w:color w:val="000000" w:themeColor="text1"/>
                <w:sz w:val="22"/>
                <w:szCs w:val="22"/>
                <w:lang w:val="en-US" w:eastAsia="zh-CN"/>
                <w14:textFill>
                  <w14:solidFill>
                    <w14:schemeClr w14:val="tx1"/>
                  </w14:solidFill>
                </w14:textFill>
              </w:rPr>
              <w:t>14</w:t>
            </w:r>
            <w:r>
              <w:rPr>
                <w:rFonts w:hint="eastAsia" w:ascii="宋体" w:hAnsi="宋体" w:eastAsia="宋体" w:cs="宋体"/>
                <w:color w:val="000000" w:themeColor="text1"/>
                <w:sz w:val="22"/>
                <w:szCs w:val="22"/>
                <w:lang w:val="en-US" w:eastAsia="zh-CN"/>
                <w14:textFill>
                  <w14:solidFill>
                    <w14:schemeClr w14:val="tx1"/>
                  </w14:solidFill>
                </w14:textFill>
              </w:rPr>
              <w:t>日18时00分（北京时间）持CA锁在《全国公共资源交易平台（陕西省·延安市）》电子招投标系统报名，报名成功后在《全国公共资源交易平台（陕西省·延安市）》下载招标文件。</w:t>
            </w:r>
          </w:p>
        </w:tc>
      </w:tr>
      <w:tr w14:paraId="55623BE9">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4CED8A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BA8F5A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招标文件的组成</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4CB374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（1）招标公告；</w:t>
            </w:r>
          </w:p>
          <w:p w14:paraId="1EE18D72">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（2）投标人须知；</w:t>
            </w:r>
          </w:p>
          <w:p w14:paraId="5CAB21AD">
            <w:pPr>
              <w:spacing w:line="360" w:lineRule="auto"/>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投标人资格证明文件及审核</w:t>
            </w:r>
            <w:r>
              <w:rPr>
                <w:rFonts w:hint="eastAsia" w:ascii="宋体" w:hAnsi="宋体" w:eastAsia="宋体" w:cs="宋体"/>
                <w:color w:val="000000" w:themeColor="text1"/>
                <w:sz w:val="22"/>
                <w:szCs w:val="22"/>
                <w:lang w:eastAsia="zh-CN"/>
                <w14:textFill>
                  <w14:solidFill>
                    <w14:schemeClr w14:val="tx1"/>
                  </w14:solidFill>
                </w14:textFill>
              </w:rPr>
              <w:t>；</w:t>
            </w:r>
          </w:p>
          <w:p w14:paraId="0434302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4</w:t>
            </w:r>
            <w:r>
              <w:rPr>
                <w:rFonts w:hint="eastAsia" w:ascii="宋体" w:hAnsi="宋体" w:eastAsia="宋体" w:cs="宋体"/>
                <w:color w:val="000000" w:themeColor="text1"/>
                <w:sz w:val="22"/>
                <w:szCs w:val="22"/>
                <w14:textFill>
                  <w14:solidFill>
                    <w14:schemeClr w14:val="tx1"/>
                  </w14:solidFill>
                </w14:textFill>
              </w:rPr>
              <w:t>）评标办法前附表及评标办法；</w:t>
            </w:r>
          </w:p>
          <w:p w14:paraId="24BAB22C">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5</w:t>
            </w:r>
            <w:r>
              <w:rPr>
                <w:rFonts w:hint="eastAsia" w:ascii="宋体" w:hAnsi="宋体" w:eastAsia="宋体" w:cs="宋体"/>
                <w:color w:val="000000" w:themeColor="text1"/>
                <w:sz w:val="22"/>
                <w:szCs w:val="22"/>
                <w14:textFill>
                  <w14:solidFill>
                    <w14:schemeClr w14:val="tx1"/>
                  </w14:solidFill>
                </w14:textFill>
              </w:rPr>
              <w:t>）合同（拟签订</w:t>
            </w:r>
            <w:r>
              <w:rPr>
                <w:rFonts w:hint="eastAsia" w:ascii="宋体" w:hAnsi="宋体" w:eastAsia="宋体" w:cs="宋体"/>
                <w:color w:val="000000" w:themeColor="text1"/>
                <w:sz w:val="22"/>
                <w:szCs w:val="22"/>
                <w:lang w:val="en-US" w:eastAsia="zh-CN"/>
                <w14:textFill>
                  <w14:solidFill>
                    <w14:schemeClr w14:val="tx1"/>
                  </w14:solidFill>
                </w14:textFill>
              </w:rPr>
              <w:t>合同</w:t>
            </w:r>
            <w:r>
              <w:rPr>
                <w:rFonts w:hint="eastAsia" w:ascii="宋体" w:hAnsi="宋体" w:eastAsia="宋体" w:cs="宋体"/>
                <w:color w:val="000000" w:themeColor="text1"/>
                <w:sz w:val="22"/>
                <w:szCs w:val="22"/>
                <w14:textFill>
                  <w14:solidFill>
                    <w14:schemeClr w14:val="tx1"/>
                  </w14:solidFill>
                </w14:textFill>
              </w:rPr>
              <w:t>文本）；</w:t>
            </w:r>
          </w:p>
          <w:p w14:paraId="6DFB8B6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6</w:t>
            </w:r>
            <w:r>
              <w:rPr>
                <w:rFonts w:hint="eastAsia" w:ascii="宋体" w:hAnsi="宋体" w:eastAsia="宋体" w:cs="宋体"/>
                <w:color w:val="000000" w:themeColor="text1"/>
                <w:sz w:val="22"/>
                <w:szCs w:val="22"/>
                <w14:textFill>
                  <w14:solidFill>
                    <w14:schemeClr w14:val="tx1"/>
                  </w14:solidFill>
                </w14:textFill>
              </w:rPr>
              <w:t>）技术要求；</w:t>
            </w:r>
          </w:p>
          <w:p w14:paraId="62D02ED5">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7</w:t>
            </w:r>
            <w:r>
              <w:rPr>
                <w:rFonts w:hint="eastAsia" w:ascii="宋体" w:hAnsi="宋体" w:eastAsia="宋体" w:cs="宋体"/>
                <w:color w:val="000000" w:themeColor="text1"/>
                <w:sz w:val="22"/>
                <w:szCs w:val="22"/>
                <w14:textFill>
                  <w14:solidFill>
                    <w14:schemeClr w14:val="tx1"/>
                  </w14:solidFill>
                </w14:textFill>
              </w:rPr>
              <w:t>）投标文件格式。</w:t>
            </w:r>
          </w:p>
        </w:tc>
      </w:tr>
      <w:tr w14:paraId="5FAB2F8F">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067F15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2ECCFB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投标人要求澄清招标文件的截止时间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9E6F062">
            <w:pPr>
              <w:spacing w:line="360" w:lineRule="auto"/>
              <w:rPr>
                <w:rFonts w:hint="eastAsia" w:ascii="宋体" w:hAnsi="宋体" w:eastAsia="宋体" w:cs="宋体"/>
                <w:color w:val="000000" w:themeColor="text1"/>
                <w:spacing w:val="-8"/>
                <w:sz w:val="22"/>
                <w:szCs w:val="22"/>
                <w14:textFill>
                  <w14:solidFill>
                    <w14:schemeClr w14:val="tx1"/>
                  </w14:solidFill>
                </w14:textFill>
              </w:rPr>
            </w:pPr>
            <w:r>
              <w:rPr>
                <w:rFonts w:hint="eastAsia" w:ascii="宋体" w:hAnsi="宋体" w:eastAsia="宋体" w:cs="宋体"/>
                <w:color w:val="000000" w:themeColor="text1"/>
                <w:spacing w:val="-8"/>
                <w:sz w:val="22"/>
                <w:szCs w:val="22"/>
                <w14:textFill>
                  <w14:solidFill>
                    <w14:schemeClr w14:val="tx1"/>
                  </w14:solidFill>
                </w14:textFill>
              </w:rPr>
              <w:t>投标截止</w:t>
            </w:r>
            <w:r>
              <w:rPr>
                <w:rFonts w:hint="eastAsia" w:ascii="宋体" w:hAnsi="宋体" w:eastAsia="宋体" w:cs="宋体"/>
                <w:color w:val="000000" w:themeColor="text1"/>
                <w:spacing w:val="-8"/>
                <w:sz w:val="22"/>
                <w:szCs w:val="22"/>
                <w:lang w:val="en-US" w:eastAsia="zh-CN"/>
                <w14:textFill>
                  <w14:solidFill>
                    <w14:schemeClr w14:val="tx1"/>
                  </w14:solidFill>
                </w14:textFill>
              </w:rPr>
              <w:t>时间前15日</w:t>
            </w:r>
            <w:r>
              <w:rPr>
                <w:rFonts w:hint="eastAsia" w:ascii="宋体" w:hAnsi="宋体" w:eastAsia="宋体" w:cs="宋体"/>
                <w:color w:val="000000" w:themeColor="text1"/>
                <w:spacing w:val="-8"/>
                <w:sz w:val="22"/>
                <w:szCs w:val="22"/>
                <w14:textFill>
                  <w14:solidFill>
                    <w14:schemeClr w14:val="tx1"/>
                  </w14:solidFill>
                </w14:textFill>
              </w:rPr>
              <w:t>以书面形式通知采购代理机构，并电话确认代理公司相关联系人收到答疑书面文件。</w:t>
            </w:r>
          </w:p>
        </w:tc>
      </w:tr>
      <w:tr w14:paraId="2DBFFABF">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DD347F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D8281E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投标截止时间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FCA9E47">
            <w:pPr>
              <w:spacing w:line="360" w:lineRule="auto"/>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2026年7月29日09时00分00秒（北京时间）</w:t>
            </w:r>
          </w:p>
        </w:tc>
      </w:tr>
      <w:tr w14:paraId="062FFF4A">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DE3C35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 xml:space="preserve"> 2.2.4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1E82EA0">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投标人确认收到招标文件澄清的时间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5FB31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收到澄清文件当日内完成</w:t>
            </w:r>
          </w:p>
        </w:tc>
      </w:tr>
      <w:tr w14:paraId="5103DE42">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303010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2.3.2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09D76E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投标人确认收到招标文件修改的时间</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D5295F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收到修改文件当日内完成</w:t>
            </w:r>
          </w:p>
        </w:tc>
      </w:tr>
      <w:tr w14:paraId="34BF512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BDCFECF">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3.3.1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791D01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投标有效期</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377227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自开标大会之日起不得少于90天</w:t>
            </w:r>
          </w:p>
        </w:tc>
      </w:tr>
      <w:tr w14:paraId="37E658A4">
        <w:tblPrEx>
          <w:tblCellMar>
            <w:top w:w="0" w:type="dxa"/>
            <w:left w:w="108" w:type="dxa"/>
            <w:bottom w:w="0" w:type="dxa"/>
            <w:right w:w="108" w:type="dxa"/>
          </w:tblCellMar>
        </w:tblPrEx>
        <w:trPr>
          <w:trHeight w:val="56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712E6C9">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3.4.1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964BA98">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投标保证金</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E10F6B2">
            <w:pPr>
              <w:pageBreakBefore w:val="0"/>
              <w:widowControl w:val="0"/>
              <w:wordWrap/>
              <w:topLinePunct w:val="0"/>
              <w:bidi w:val="0"/>
              <w:spacing w:line="360" w:lineRule="auto"/>
              <w:jc w:val="both"/>
              <w:rPr>
                <w:rFonts w:hint="eastAsia" w:ascii="宋体" w:hAnsi="宋体" w:eastAsia="宋体" w:cs="宋体"/>
                <w:b/>
                <w:bCs/>
                <w:color w:val="000000" w:themeColor="text1"/>
                <w:kern w:val="2"/>
                <w:sz w:val="22"/>
                <w:szCs w:val="22"/>
                <w:u w:val="none"/>
                <w:lang w:eastAsia="zh-CN"/>
                <w14:textFill>
                  <w14:solidFill>
                    <w14:schemeClr w14:val="tx1"/>
                  </w14:solidFill>
                </w14:textFill>
              </w:rPr>
            </w:pPr>
            <w:r>
              <w:rPr>
                <w:rFonts w:hint="eastAsia" w:ascii="宋体" w:hAnsi="宋体" w:eastAsia="宋体" w:cs="宋体"/>
                <w:b/>
                <w:bCs/>
                <w:color w:val="000000" w:themeColor="text1"/>
                <w:kern w:val="2"/>
                <w:sz w:val="22"/>
                <w:szCs w:val="22"/>
                <w:lang w:val="en-US" w:eastAsia="zh-CN"/>
                <w14:textFill>
                  <w14:solidFill>
                    <w14:schemeClr w14:val="tx1"/>
                  </w14:solidFill>
                </w14:textFill>
              </w:rPr>
              <w:t>投标</w:t>
            </w:r>
            <w:r>
              <w:rPr>
                <w:rFonts w:hint="eastAsia" w:ascii="宋体" w:hAnsi="宋体" w:eastAsia="宋体" w:cs="宋体"/>
                <w:b/>
                <w:bCs/>
                <w:color w:val="000000" w:themeColor="text1"/>
                <w:kern w:val="2"/>
                <w:sz w:val="22"/>
                <w:szCs w:val="22"/>
                <w14:textFill>
                  <w14:solidFill>
                    <w14:schemeClr w14:val="tx1"/>
                  </w14:solidFill>
                </w14:textFill>
              </w:rPr>
              <w:t>保证金：</w:t>
            </w:r>
            <w:r>
              <w:rPr>
                <w:rFonts w:hint="eastAsia" w:ascii="宋体" w:hAnsi="宋体" w:cs="宋体"/>
                <w:b/>
                <w:bCs/>
                <w:color w:val="000000" w:themeColor="text1"/>
                <w:kern w:val="2"/>
                <w:sz w:val="22"/>
                <w:szCs w:val="22"/>
                <w:lang w:val="en-US" w:eastAsia="zh-CN"/>
                <w14:textFill>
                  <w14:solidFill>
                    <w14:schemeClr w14:val="tx1"/>
                  </w14:solidFill>
                </w14:textFill>
              </w:rPr>
              <w:t>15000</w:t>
            </w:r>
            <w:r>
              <w:rPr>
                <w:rFonts w:hint="eastAsia" w:ascii="宋体" w:hAnsi="宋体" w:eastAsia="宋体" w:cs="宋体"/>
                <w:b/>
                <w:bCs/>
                <w:color w:val="000000" w:themeColor="text1"/>
                <w:kern w:val="2"/>
                <w:sz w:val="22"/>
                <w:szCs w:val="22"/>
                <w:u w:val="none"/>
                <w14:textFill>
                  <w14:solidFill>
                    <w14:schemeClr w14:val="tx1"/>
                  </w14:solidFill>
                </w14:textFill>
              </w:rPr>
              <w:t>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r>
              <w:rPr>
                <w:rFonts w:hint="eastAsia" w:ascii="宋体" w:hAnsi="宋体" w:cs="宋体"/>
                <w:b/>
                <w:bCs/>
                <w:color w:val="000000" w:themeColor="text1"/>
                <w:kern w:val="2"/>
                <w:sz w:val="22"/>
                <w:szCs w:val="22"/>
                <w:u w:val="none"/>
                <w:lang w:val="en-US" w:eastAsia="zh-CN"/>
                <w14:textFill>
                  <w14:solidFill>
                    <w14:schemeClr w14:val="tx1"/>
                  </w14:solidFill>
                </w14:textFill>
              </w:rPr>
              <w:t>壹万伍仟元整</w:t>
            </w:r>
            <w:r>
              <w:rPr>
                <w:rFonts w:hint="eastAsia" w:ascii="宋体" w:hAnsi="宋体" w:eastAsia="宋体" w:cs="宋体"/>
                <w:b/>
                <w:bCs/>
                <w:color w:val="000000" w:themeColor="text1"/>
                <w:kern w:val="2"/>
                <w:sz w:val="22"/>
                <w:szCs w:val="22"/>
                <w:u w:val="none"/>
                <w:lang w:eastAsia="zh-CN"/>
                <w14:textFill>
                  <w14:solidFill>
                    <w14:schemeClr w14:val="tx1"/>
                  </w14:solidFill>
                </w14:textFill>
              </w:rPr>
              <w:t>）</w:t>
            </w:r>
          </w:p>
          <w:p w14:paraId="2A814112">
            <w:pPr>
              <w:pStyle w:val="13"/>
              <w:pageBreakBefore w:val="0"/>
              <w:wordWrap/>
              <w:topLinePunct w:val="0"/>
              <w:bidi w:val="0"/>
              <w:spacing w:line="360" w:lineRule="auto"/>
              <w:ind w:left="0" w:leftChars="0" w:firstLine="0" w:firstLineChars="0"/>
              <w:jc w:val="both"/>
              <w:rPr>
                <w:rFonts w:hint="eastAsia" w:ascii="宋体" w:hAnsi="宋体" w:eastAsia="宋体" w:cs="宋体"/>
                <w:b/>
                <w:bCs/>
                <w:color w:val="000000" w:themeColor="text1"/>
                <w:kern w:val="2"/>
                <w:sz w:val="22"/>
                <w:szCs w:val="22"/>
                <w14:textFill>
                  <w14:solidFill>
                    <w14:schemeClr w14:val="tx1"/>
                  </w14:solidFill>
                </w14:textFill>
              </w:rPr>
            </w:pP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备注：</w:t>
            </w:r>
            <w:r>
              <w:rPr>
                <w:rFonts w:hint="eastAsia" w:ascii="宋体" w:hAnsi="宋体" w:cs="宋体"/>
                <w:b/>
                <w:bCs/>
                <w:color w:val="000000" w:themeColor="text1"/>
                <w:kern w:val="2"/>
                <w:sz w:val="22"/>
                <w:szCs w:val="22"/>
                <w:lang w:val="en-US" w:eastAsia="zh-CN" w:bidi="ar-SA"/>
                <w14:textFill>
                  <w14:solidFill>
                    <w14:schemeClr w14:val="tx1"/>
                  </w14:solidFill>
                </w14:textFill>
              </w:rPr>
              <w:t>SXCY2026-19-2</w:t>
            </w:r>
            <w:r>
              <w:rPr>
                <w:rFonts w:hint="eastAsia" w:ascii="宋体" w:hAnsi="宋体" w:eastAsia="宋体" w:cs="宋体"/>
                <w:b/>
                <w:bCs/>
                <w:color w:val="000000" w:themeColor="text1"/>
                <w:kern w:val="2"/>
                <w:sz w:val="22"/>
                <w:szCs w:val="22"/>
                <w:lang w:val="en-US" w:eastAsia="zh-CN" w:bidi="ar-SA"/>
                <w14:textFill>
                  <w14:solidFill>
                    <w14:schemeClr w14:val="tx1"/>
                  </w14:solidFill>
                </w14:textFill>
              </w:rPr>
              <w:t>投标保证金</w:t>
            </w:r>
          </w:p>
          <w:p w14:paraId="7EF64462">
            <w:pPr>
              <w:pageBreakBefore w:val="0"/>
              <w:widowControl w:val="0"/>
              <w:wordWrap/>
              <w:topLinePunct w:val="0"/>
              <w:bidi w:val="0"/>
              <w:spacing w:line="360" w:lineRule="auto"/>
              <w:ind w:firstLine="440" w:firstLineChars="200"/>
              <w:jc w:val="both"/>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保证金有效期限：</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保证金的有效期与</w:t>
            </w:r>
            <w:r>
              <w:rPr>
                <w:rFonts w:hint="eastAsia" w:ascii="宋体" w:hAnsi="宋体" w:eastAsia="宋体" w:cs="宋体"/>
                <w:color w:val="000000" w:themeColor="text1"/>
                <w:kern w:val="2"/>
                <w:sz w:val="22"/>
                <w:szCs w:val="22"/>
                <w:lang w:val="en-US" w:eastAsia="zh-CN"/>
                <w14:textFill>
                  <w14:solidFill>
                    <w14:schemeClr w14:val="tx1"/>
                  </w14:solidFill>
                </w14:textFill>
              </w:rPr>
              <w:t>投标</w:t>
            </w:r>
            <w:r>
              <w:rPr>
                <w:rFonts w:hint="eastAsia" w:ascii="宋体" w:hAnsi="宋体" w:eastAsia="宋体" w:cs="宋体"/>
                <w:color w:val="000000" w:themeColor="text1"/>
                <w:kern w:val="2"/>
                <w:sz w:val="22"/>
                <w:szCs w:val="22"/>
                <w14:textFill>
                  <w14:solidFill>
                    <w14:schemeClr w14:val="tx1"/>
                  </w14:solidFill>
                </w14:textFill>
              </w:rPr>
              <w:t>有效期一致。</w:t>
            </w:r>
          </w:p>
          <w:p w14:paraId="7DC2A27C">
            <w:pPr>
              <w:pageBreakBefore w:val="0"/>
              <w:tabs>
                <w:tab w:val="left" w:pos="0"/>
              </w:tabs>
              <w:kinsoku w:val="0"/>
              <w:wordWrap/>
              <w:topLinePunct w:val="0"/>
              <w:bidi w:val="0"/>
              <w:spacing w:line="360" w:lineRule="auto"/>
              <w:ind w:firstLine="440" w:firstLineChars="200"/>
              <w:jc w:val="both"/>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交款方式：</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保证金应当以支票、汇票、本票、网上银行支付或者金融机构、担保机构出具的保函等非现金形式交纳。供应商未按照采购文件要求提交</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保证金的，</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14:textFill>
                  <w14:solidFill>
                    <w14:schemeClr w14:val="tx1"/>
                  </w14:solidFill>
                </w14:textFill>
              </w:rPr>
              <w:t>文件无效。请</w:t>
            </w:r>
            <w:r>
              <w:rPr>
                <w:rFonts w:hint="eastAsia" w:ascii="宋体" w:hAnsi="宋体" w:eastAsia="宋体" w:cs="宋体"/>
                <w:color w:val="000000" w:themeColor="text1"/>
                <w:sz w:val="22"/>
                <w:szCs w:val="22"/>
                <w:lang w:eastAsia="zh-CN"/>
                <w14:textFill>
                  <w14:solidFill>
                    <w14:schemeClr w14:val="tx1"/>
                  </w14:solidFill>
                </w14:textFill>
              </w:rPr>
              <w:t>供应商在</w:t>
            </w:r>
            <w:r>
              <w:rPr>
                <w:rFonts w:hint="eastAsia" w:ascii="宋体" w:hAnsi="宋体" w:eastAsia="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eastAsia="zh-CN"/>
                <w14:textFill>
                  <w14:solidFill>
                    <w14:schemeClr w14:val="tx1"/>
                  </w14:solidFill>
                </w14:textFill>
              </w:rPr>
              <w:t>文件递交截止时间</w:t>
            </w:r>
            <w:r>
              <w:rPr>
                <w:rFonts w:hint="eastAsia" w:ascii="宋体" w:hAnsi="宋体" w:eastAsia="宋体" w:cs="宋体"/>
                <w:color w:val="000000" w:themeColor="text1"/>
                <w:sz w:val="22"/>
                <w:szCs w:val="22"/>
                <w:lang w:val="en-US" w:eastAsia="zh-CN"/>
                <w14:textFill>
                  <w14:solidFill>
                    <w14:schemeClr w14:val="tx1"/>
                  </w14:solidFill>
                </w14:textFill>
              </w:rPr>
              <w:t>前将投标保证金由公司账户（投标保证金的交付单位和投标供应商的名称必须一致）缴纳到下列账户：</w:t>
            </w:r>
          </w:p>
          <w:p w14:paraId="3B2B5190">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开户单位：</w:t>
            </w:r>
            <w:r>
              <w:rPr>
                <w:rFonts w:hint="eastAsia" w:ascii="宋体" w:hAnsi="宋体" w:eastAsia="宋体" w:cs="宋体"/>
                <w:b/>
                <w:bCs/>
                <w:color w:val="000000" w:themeColor="text1"/>
                <w:sz w:val="22"/>
                <w:szCs w:val="22"/>
                <w:lang w:eastAsia="zh-CN"/>
                <w14:textFill>
                  <w14:solidFill>
                    <w14:schemeClr w14:val="tx1"/>
                  </w14:solidFill>
                </w14:textFill>
              </w:rPr>
              <w:t>陕西宸永项目管理有限公司</w:t>
            </w:r>
          </w:p>
          <w:p w14:paraId="49E13785">
            <w:pPr>
              <w:pageBreakBefore w:val="0"/>
              <w:tabs>
                <w:tab w:val="left" w:pos="0"/>
              </w:tabs>
              <w:kinsoku w:val="0"/>
              <w:wordWrap/>
              <w:topLinePunct w:val="0"/>
              <w:bidi w:val="0"/>
              <w:spacing w:line="360" w:lineRule="auto"/>
              <w:jc w:val="both"/>
              <w:rPr>
                <w:rFonts w:hint="eastAsia" w:ascii="宋体" w:hAnsi="宋体" w:eastAsia="宋体" w:cs="宋体"/>
                <w:b/>
                <w:bCs/>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开户行名称：</w:t>
            </w:r>
            <w:r>
              <w:rPr>
                <w:rFonts w:hint="eastAsia" w:ascii="宋体" w:hAnsi="宋体" w:eastAsia="宋体" w:cs="宋体"/>
                <w:b/>
                <w:bCs/>
                <w:color w:val="000000" w:themeColor="text1"/>
                <w:sz w:val="22"/>
                <w:szCs w:val="22"/>
                <w:lang w:val="en-US" w:eastAsia="zh-CN"/>
                <w14:textFill>
                  <w14:solidFill>
                    <w14:schemeClr w14:val="tx1"/>
                  </w14:solidFill>
                </w14:textFill>
              </w:rPr>
              <w:t>中国建设银行股份有限公司延安马家湾支行</w:t>
            </w:r>
          </w:p>
          <w:p w14:paraId="628AB32C">
            <w:pPr>
              <w:spacing w:line="360" w:lineRule="auto"/>
              <w:jc w:val="left"/>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b/>
                <w:bCs/>
                <w:color w:val="000000" w:themeColor="text1"/>
                <w:sz w:val="22"/>
                <w:szCs w:val="22"/>
                <w14:textFill>
                  <w14:solidFill>
                    <w14:schemeClr w14:val="tx1"/>
                  </w14:solidFill>
                </w14:textFill>
              </w:rPr>
              <w:t>账      号：</w:t>
            </w:r>
            <w:r>
              <w:rPr>
                <w:rFonts w:hint="eastAsia" w:ascii="宋体" w:hAnsi="宋体" w:eastAsia="宋体" w:cs="宋体"/>
                <w:b/>
                <w:bCs/>
                <w:color w:val="000000" w:themeColor="text1"/>
                <w:sz w:val="22"/>
                <w:szCs w:val="22"/>
                <w:lang w:val="en-US" w:eastAsia="zh-CN"/>
                <w14:textFill>
                  <w14:solidFill>
                    <w14:schemeClr w14:val="tx1"/>
                  </w14:solidFill>
                </w14:textFill>
              </w:rPr>
              <w:t>61050168980000000758</w:t>
            </w:r>
          </w:p>
        </w:tc>
      </w:tr>
      <w:tr w14:paraId="5C56A4EE">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515CD0B">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1B79D26">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签字或盖章要求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C74D713">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w:t>
            </w:r>
            <w:r>
              <w:rPr>
                <w:rFonts w:hint="eastAsia" w:ascii="宋体" w:hAnsi="宋体" w:eastAsia="宋体" w:cs="宋体"/>
                <w:color w:val="000000" w:themeColor="text1"/>
                <w:sz w:val="22"/>
                <w:szCs w:val="22"/>
                <w:lang w:val="en-US" w:eastAsia="zh-CN"/>
                <w14:textFill>
                  <w14:solidFill>
                    <w14:schemeClr w14:val="tx1"/>
                  </w14:solidFill>
                </w14:textFill>
              </w:rPr>
              <w:t>须在</w:t>
            </w:r>
            <w:r>
              <w:rPr>
                <w:rFonts w:hint="eastAsia" w:ascii="宋体" w:hAnsi="宋体" w:eastAsia="宋体" w:cs="宋体"/>
                <w:color w:val="000000" w:themeColor="text1"/>
                <w:sz w:val="22"/>
                <w:szCs w:val="22"/>
                <w:lang w:eastAsia="zh-CN"/>
                <w14:textFill>
                  <w14:solidFill>
                    <w14:schemeClr w14:val="tx1"/>
                  </w14:solidFill>
                </w14:textFill>
              </w:rPr>
              <w:t>指定位置</w:t>
            </w:r>
            <w:r>
              <w:rPr>
                <w:rFonts w:hint="eastAsia" w:ascii="宋体" w:hAnsi="宋体" w:eastAsia="宋体" w:cs="宋体"/>
                <w:color w:val="000000" w:themeColor="text1"/>
                <w:sz w:val="22"/>
                <w:szCs w:val="22"/>
                <w14:textFill>
                  <w14:solidFill>
                    <w14:schemeClr w14:val="tx1"/>
                  </w14:solidFill>
                </w14:textFill>
              </w:rPr>
              <w:t>加盖公章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鲜章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并经法定代表人或其委托代理人</w:t>
            </w:r>
            <w:r>
              <w:rPr>
                <w:rFonts w:hint="eastAsia" w:ascii="宋体" w:hAnsi="宋体" w:eastAsia="宋体" w:cs="宋体"/>
                <w:color w:val="000000" w:themeColor="text1"/>
                <w:sz w:val="22"/>
                <w:szCs w:val="22"/>
                <w:lang w:eastAsia="zh-CN"/>
                <w14:textFill>
                  <w14:solidFill>
                    <w14:schemeClr w14:val="tx1"/>
                  </w14:solidFill>
                </w14:textFill>
              </w:rPr>
              <w:t>于指定位置</w:t>
            </w:r>
            <w:r>
              <w:rPr>
                <w:rFonts w:hint="eastAsia" w:ascii="宋体" w:hAnsi="宋体" w:eastAsia="宋体" w:cs="宋体"/>
                <w:color w:val="000000" w:themeColor="text1"/>
                <w:sz w:val="22"/>
                <w:szCs w:val="22"/>
                <w14:textFill>
                  <w14:solidFill>
                    <w14:schemeClr w14:val="tx1"/>
                  </w14:solidFill>
                </w14:textFill>
              </w:rPr>
              <w:t>签字或盖章</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14:textFill>
                  <w14:solidFill>
                    <w14:schemeClr w14:val="tx1"/>
                  </w14:solidFill>
                </w14:textFill>
              </w:rPr>
              <w:t>由委托代理人签字或盖章的在投标文件中须同时提交投标文件签署授权委托书。</w:t>
            </w:r>
          </w:p>
        </w:tc>
      </w:tr>
      <w:tr w14:paraId="45031FD0">
        <w:tblPrEx>
          <w:tblCellMar>
            <w:top w:w="0" w:type="dxa"/>
            <w:left w:w="108" w:type="dxa"/>
            <w:bottom w:w="0" w:type="dxa"/>
            <w:right w:w="108" w:type="dxa"/>
          </w:tblCellMar>
        </w:tblPrEx>
        <w:trPr>
          <w:trHeight w:val="1139" w:hRule="atLeast"/>
          <w:jc w:val="center"/>
        </w:trPr>
        <w:tc>
          <w:tcPr>
            <w:tcW w:w="968" w:type="dxa"/>
            <w:vMerge w:val="restart"/>
            <w:tcBorders>
              <w:top w:val="single" w:color="auto" w:sz="4" w:space="0"/>
              <w:left w:val="single" w:color="auto" w:sz="4" w:space="0"/>
              <w:right w:val="single" w:color="auto" w:sz="4" w:space="0"/>
            </w:tcBorders>
            <w:noWrap w:val="0"/>
            <w:vAlign w:val="center"/>
          </w:tcPr>
          <w:p w14:paraId="71B1C5A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3.5.4</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8D8425E">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投标文件编制及递交要求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27F2267">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cs="宋体"/>
                <w:color w:val="000000" w:themeColor="text1"/>
                <w:sz w:val="22"/>
                <w:szCs w:val="22"/>
                <w:lang w:val="en-US" w:eastAsia="zh-CN"/>
                <w14:textFill>
                  <w14:solidFill>
                    <w14:schemeClr w14:val="tx1"/>
                  </w14:solidFill>
                </w14:textFill>
              </w:rPr>
              <w:t>1、</w:t>
            </w:r>
            <w:r>
              <w:rPr>
                <w:rFonts w:hint="eastAsia" w:ascii="宋体" w:hAnsi="宋体" w:eastAsia="宋体" w:cs="宋体"/>
                <w:color w:val="000000" w:themeColor="text1"/>
                <w:sz w:val="22"/>
                <w:szCs w:val="22"/>
                <w:lang w:val="en-US" w:eastAsia="zh-CN"/>
                <w14:textFill>
                  <w14:solidFill>
                    <w14:schemeClr w14:val="tx1"/>
                  </w14:solidFill>
                </w14:textFill>
              </w:rPr>
              <w:t xml:space="preserve">本项目采用电子化招投标的形式。 </w:t>
            </w:r>
          </w:p>
          <w:p w14:paraId="6F6E43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编制电子响应文件时，应使用最新发布的电子</w:t>
            </w:r>
            <w:r>
              <w:rPr>
                <w:rFonts w:hint="eastAsia" w:ascii="宋体" w:hAnsi="宋体" w:cs="宋体"/>
                <w:color w:val="000000" w:themeColor="text1"/>
                <w:sz w:val="22"/>
                <w:szCs w:val="22"/>
                <w:lang w:val="en-US" w:eastAsia="zh-CN"/>
                <w14:textFill>
                  <w14:solidFill>
                    <w14:schemeClr w14:val="tx1"/>
                  </w14:solidFill>
                </w14:textFill>
              </w:rPr>
              <w:t>招标</w:t>
            </w:r>
            <w:r>
              <w:rPr>
                <w:rFonts w:hint="eastAsia" w:ascii="宋体" w:hAnsi="宋体" w:eastAsia="宋体" w:cs="宋体"/>
                <w:color w:val="000000" w:themeColor="text1"/>
                <w:sz w:val="22"/>
                <w:szCs w:val="22"/>
                <w:lang w:val="en-US" w:eastAsia="zh-CN"/>
                <w14:textFill>
                  <w14:solidFill>
                    <w14:schemeClr w14:val="tx1"/>
                  </w14:solidFill>
                </w14:textFill>
              </w:rPr>
              <w:t>文件及专用制作工具进行编制。并使用数字认证证书（CA 锁）对电子</w:t>
            </w:r>
            <w:r>
              <w:rPr>
                <w:rFonts w:hint="eastAsia" w:ascii="宋体" w:hAnsi="宋体" w:cs="宋体"/>
                <w:color w:val="000000" w:themeColor="text1"/>
                <w:sz w:val="22"/>
                <w:szCs w:val="22"/>
                <w:lang w:val="en-US" w:eastAsia="zh-CN"/>
                <w14:textFill>
                  <w14:solidFill>
                    <w14:schemeClr w14:val="tx1"/>
                  </w14:solidFill>
                </w14:textFill>
              </w:rPr>
              <w:t>投标</w:t>
            </w:r>
            <w:r>
              <w:rPr>
                <w:rFonts w:hint="eastAsia" w:ascii="宋体" w:hAnsi="宋体" w:eastAsia="宋体" w:cs="宋体"/>
                <w:color w:val="000000" w:themeColor="text1"/>
                <w:sz w:val="22"/>
                <w:szCs w:val="22"/>
                <w:lang w:val="en-US" w:eastAsia="zh-CN"/>
                <w14:textFill>
                  <w14:solidFill>
                    <w14:schemeClr w14:val="tx1"/>
                  </w14:solidFill>
                </w14:textFill>
              </w:rPr>
              <w:t>文件进行</w:t>
            </w: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签署、加密、递交、解密等相关操作。 </w:t>
            </w:r>
          </w:p>
          <w:p w14:paraId="25106AB0">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①电子招标文件下载。供应商登录全国公共资源交易平台（陕西省·延安市）网站〖首页·〉电子交易平台·〉政府采购交易系统·〉企业端〗后，在〖招标公告/出让公告〗模块中选择项目点击“我要投标”，参与投标活动。然后即可在〖我的项目〗中点击“项目流程·〉交易文件下载”下载电子招标文件（*.SXSZF）。 </w:t>
            </w:r>
          </w:p>
          <w:p w14:paraId="0FDC4A2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注意：该项目如有变更文件，则应点击“项目流程&gt;答疑文件下载” 下载更新后的电子招标文件（*.SXSCF），使用旧版电子招标文件制作的电子投标文件，系统将拒绝接收。 </w:t>
            </w:r>
          </w:p>
          <w:p w14:paraId="201B7BAF">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②电子招标文件需要使用专用软件打开、浏览。供应商可在全国公共资源交易平台（陕西省·延安市）网站〖首页·〉服务指南·〉下载专区〗免费下载“陕西省公共资源交易平台政府采购电子标书制作工具”，并升级至最新版本，使用该客户端可以打开电子招标文件。软件操作手册详见全 国公共资源交易平台（陕西省·延安市）网站〖首页·〉服务指南·〉下载专区〗中的《陕西省公共资源交易（政府采购类）投标文件制作软件操作手册》。 </w:t>
            </w:r>
          </w:p>
          <w:p w14:paraId="756A1744">
            <w:pPr>
              <w:spacing w:line="360" w:lineRule="auto"/>
              <w:ind w:firstLine="440" w:firstLineChars="200"/>
              <w:rPr>
                <w:rFonts w:hint="eastAsia" w:asciiTheme="minorEastAsia" w:hAnsiTheme="minorEastAsia" w:eastAsiaTheme="minorEastAsia" w:cstheme="minorEastAsia"/>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 xml:space="preserve">③制作电子响应文件。电子响应文件同样需要使用上述软件进行编制。在编制过程中，如有技术性问题，请先翻阅操作手册，或致电软件开发商。 </w:t>
            </w:r>
          </w:p>
          <w:p w14:paraId="563DCE04">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Theme="minorEastAsia" w:hAnsiTheme="minorEastAsia" w:eastAsiaTheme="minorEastAsia" w:cstheme="minorEastAsia"/>
                <w:color w:val="000000" w:themeColor="text1"/>
                <w:sz w:val="22"/>
                <w:szCs w:val="22"/>
                <w:lang w:val="en-US" w:eastAsia="zh-CN"/>
                <w14:textFill>
                  <w14:solidFill>
                    <w14:schemeClr w14:val="tx1"/>
                  </w14:solidFill>
                </w14:textFill>
              </w:rPr>
              <w:t>技术支持热线：0512</w:t>
            </w:r>
            <w:r>
              <w:rPr>
                <w:rFonts w:hint="eastAsia" w:ascii="宋体" w:hAnsi="宋体" w:eastAsia="宋体" w:cs="宋体"/>
                <w:color w:val="000000" w:themeColor="text1"/>
                <w:sz w:val="22"/>
                <w:szCs w:val="22"/>
                <w:lang w:val="en-US" w:eastAsia="zh-CN"/>
                <w14:textFill>
                  <w14:solidFill>
                    <w14:schemeClr w14:val="tx1"/>
                  </w14:solidFill>
                </w14:textFill>
              </w:rPr>
              <w:t>58188039</w:t>
            </w:r>
          </w:p>
          <w:p w14:paraId="5EC36A6B">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2、</w:t>
            </w:r>
            <w:r>
              <w:rPr>
                <w:rFonts w:hint="eastAsia" w:ascii="宋体" w:hAnsi="宋体" w:eastAsia="宋体" w:cs="宋体"/>
                <w:color w:val="000000" w:themeColor="text1"/>
                <w:sz w:val="22"/>
                <w:szCs w:val="22"/>
                <w:lang w:eastAsia="zh-CN"/>
                <w14:textFill>
                  <w14:solidFill>
                    <w14:schemeClr w14:val="tx1"/>
                  </w14:solidFill>
                </w14:textFill>
              </w:rPr>
              <w:t>电子投标文件上传递交至延安市公共资源交易中心网电子招标投标系统；</w:t>
            </w:r>
          </w:p>
          <w:p w14:paraId="41A6EB7E">
            <w:pPr>
              <w:spacing w:line="360" w:lineRule="auto"/>
              <w:ind w:firstLine="440" w:firstLineChars="200"/>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3、</w:t>
            </w:r>
            <w:r>
              <w:rPr>
                <w:rFonts w:hint="eastAsia" w:ascii="宋体" w:hAnsi="宋体" w:eastAsia="宋体" w:cs="宋体"/>
                <w:color w:val="000000" w:themeColor="text1"/>
                <w:sz w:val="22"/>
                <w:szCs w:val="22"/>
                <w:lang w:eastAsia="zh-CN"/>
                <w14:textFill>
                  <w14:solidFill>
                    <w14:schemeClr w14:val="tx1"/>
                  </w14:solidFill>
                </w14:textFill>
              </w:rPr>
              <w:t>纸质投标文件递交要求：正本壹份，副本</w:t>
            </w:r>
            <w:r>
              <w:rPr>
                <w:rFonts w:hint="eastAsia" w:ascii="宋体" w:hAnsi="宋体" w:eastAsia="宋体" w:cs="宋体"/>
                <w:color w:val="000000" w:themeColor="text1"/>
                <w:sz w:val="22"/>
                <w:szCs w:val="22"/>
                <w:lang w:val="en-US" w:eastAsia="zh-CN"/>
                <w14:textFill>
                  <w14:solidFill>
                    <w14:schemeClr w14:val="tx1"/>
                  </w14:solidFill>
                </w14:textFill>
              </w:rPr>
              <w:t>贰</w:t>
            </w:r>
            <w:r>
              <w:rPr>
                <w:rFonts w:hint="eastAsia" w:ascii="宋体" w:hAnsi="宋体" w:eastAsia="宋体" w:cs="宋体"/>
                <w:color w:val="000000" w:themeColor="text1"/>
                <w:sz w:val="22"/>
                <w:szCs w:val="22"/>
                <w:lang w:eastAsia="zh-CN"/>
                <w14:textFill>
                  <w14:solidFill>
                    <w14:schemeClr w14:val="tx1"/>
                  </w14:solidFill>
                </w14:textFill>
              </w:rPr>
              <w:t>份（</w:t>
            </w:r>
            <w:r>
              <w:rPr>
                <w:rFonts w:hint="eastAsia" w:ascii="宋体" w:hAnsi="宋体" w:eastAsia="宋体" w:cs="宋体"/>
                <w:color w:val="000000" w:themeColor="text1"/>
                <w:sz w:val="22"/>
                <w:szCs w:val="22"/>
                <w:lang w:val="en-US" w:eastAsia="zh-CN"/>
                <w14:textFill>
                  <w14:solidFill>
                    <w14:schemeClr w14:val="tx1"/>
                  </w14:solidFill>
                </w14:textFill>
              </w:rPr>
              <w:t>副本可采用正本复印件</w:t>
            </w:r>
            <w:r>
              <w:rPr>
                <w:rFonts w:hint="eastAsia" w:ascii="宋体" w:hAnsi="宋体" w:eastAsia="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w:t>
            </w:r>
          </w:p>
          <w:p w14:paraId="2B2261D4">
            <w:pPr>
              <w:spacing w:line="360" w:lineRule="auto"/>
              <w:ind w:firstLine="442" w:firstLineChars="200"/>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注：本项目纸质投标文件须留档保存，接受邮寄（纸质投标文件须与电子投标文件保持一致），开标结束后三日内邮寄到：延安市新区盛世花园北区12号楼一单元802室，电话：0911-8688810。</w:t>
            </w:r>
          </w:p>
        </w:tc>
      </w:tr>
      <w:tr w14:paraId="43281B9D">
        <w:tblPrEx>
          <w:tblCellMar>
            <w:top w:w="0" w:type="dxa"/>
            <w:left w:w="108" w:type="dxa"/>
            <w:bottom w:w="0" w:type="dxa"/>
            <w:right w:w="108" w:type="dxa"/>
          </w:tblCellMar>
        </w:tblPrEx>
        <w:trPr>
          <w:trHeight w:val="1139" w:hRule="atLeast"/>
          <w:jc w:val="center"/>
        </w:trPr>
        <w:tc>
          <w:tcPr>
            <w:tcW w:w="968" w:type="dxa"/>
            <w:vMerge w:val="continue"/>
            <w:tcBorders>
              <w:left w:val="single" w:color="auto" w:sz="4" w:space="0"/>
              <w:right w:val="single" w:color="auto" w:sz="4" w:space="0"/>
            </w:tcBorders>
            <w:noWrap w:val="0"/>
            <w:vAlign w:val="center"/>
          </w:tcPr>
          <w:p w14:paraId="5BEF1360">
            <w:pPr>
              <w:spacing w:line="360" w:lineRule="auto"/>
              <w:jc w:val="center"/>
              <w:rPr>
                <w:rFonts w:hint="eastAsia" w:ascii="宋体" w:hAnsi="宋体" w:eastAsia="宋体" w:cs="宋体"/>
                <w:color w:val="000000" w:themeColor="text1"/>
                <w:sz w:val="22"/>
                <w:szCs w:val="22"/>
                <w14:textFill>
                  <w14:solidFill>
                    <w14:schemeClr w14:val="tx1"/>
                  </w14:solidFill>
                </w14:textFill>
              </w:rPr>
            </w:pPr>
          </w:p>
        </w:tc>
        <w:tc>
          <w:tcPr>
            <w:tcW w:w="1616" w:type="dxa"/>
            <w:tcBorders>
              <w:top w:val="single" w:color="auto" w:sz="4" w:space="0"/>
              <w:left w:val="single" w:color="auto" w:sz="4" w:space="0"/>
              <w:bottom w:val="single" w:color="auto" w:sz="4" w:space="0"/>
              <w:right w:val="single" w:color="auto" w:sz="4" w:space="0"/>
            </w:tcBorders>
            <w:noWrap w:val="0"/>
            <w:vAlign w:val="center"/>
          </w:tcPr>
          <w:p w14:paraId="26E582B1">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投标文件电子版要求</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A9B67">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递交</w:t>
            </w:r>
            <w:r>
              <w:rPr>
                <w:rFonts w:hint="eastAsia" w:ascii="宋体" w:hAnsi="宋体" w:eastAsia="宋体" w:cs="宋体"/>
                <w:color w:val="000000" w:themeColor="text1"/>
                <w:sz w:val="22"/>
                <w:szCs w:val="22"/>
                <w:lang w:eastAsia="zh-CN"/>
                <w14:textFill>
                  <w14:solidFill>
                    <w14:schemeClr w14:val="tx1"/>
                  </w14:solidFill>
                </w14:textFill>
              </w:rPr>
              <w:t>纸质</w:t>
            </w:r>
            <w:r>
              <w:rPr>
                <w:rFonts w:hint="eastAsia" w:ascii="宋体" w:hAnsi="宋体" w:eastAsia="宋体" w:cs="宋体"/>
                <w:color w:val="000000" w:themeColor="text1"/>
                <w:sz w:val="22"/>
                <w:szCs w:val="22"/>
                <w14:textFill>
                  <w14:solidFill>
                    <w14:schemeClr w14:val="tx1"/>
                  </w14:solidFill>
                </w14:textFill>
              </w:rPr>
              <w:t>投标文件时</w:t>
            </w:r>
            <w:r>
              <w:rPr>
                <w:rFonts w:hint="eastAsia" w:ascii="宋体" w:hAnsi="宋体" w:eastAsia="宋体" w:cs="宋体"/>
                <w:color w:val="000000" w:themeColor="text1"/>
                <w:sz w:val="22"/>
                <w:szCs w:val="22"/>
                <w:lang w:eastAsia="zh-CN"/>
                <w14:textFill>
                  <w14:solidFill>
                    <w14:schemeClr w14:val="tx1"/>
                  </w14:solidFill>
                </w14:textFill>
              </w:rPr>
              <w:t>须</w:t>
            </w:r>
            <w:r>
              <w:rPr>
                <w:rFonts w:hint="eastAsia" w:ascii="宋体" w:hAnsi="宋体" w:eastAsia="宋体" w:cs="宋体"/>
                <w:color w:val="000000" w:themeColor="text1"/>
                <w:sz w:val="22"/>
                <w:szCs w:val="22"/>
                <w14:textFill>
                  <w14:solidFill>
                    <w14:schemeClr w14:val="tx1"/>
                  </w14:solidFill>
                </w14:textFill>
              </w:rPr>
              <w:t>同时提交内容与纸质投标文件内容一致的电子版U盘1份；</w:t>
            </w:r>
          </w:p>
          <w:p w14:paraId="23BDE58F">
            <w:pPr>
              <w:spacing w:line="360" w:lineRule="auto"/>
              <w:ind w:firstLine="440" w:firstLineChars="200"/>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文件命名要求：项目编号+投标人名称；</w:t>
            </w:r>
          </w:p>
        </w:tc>
      </w:tr>
      <w:tr w14:paraId="43325E5F">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C716DA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76682D3">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开标时间和地点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7C3F990D">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时间：</w:t>
            </w:r>
            <w:r>
              <w:rPr>
                <w:rFonts w:hint="eastAsia" w:ascii="宋体" w:hAnsi="宋体" w:eastAsia="宋体" w:cs="宋体"/>
                <w:color w:val="000000" w:themeColor="text1"/>
                <w:sz w:val="22"/>
                <w:szCs w:val="22"/>
                <w:lang w:val="en-US" w:eastAsia="zh-CN"/>
                <w14:textFill>
                  <w14:solidFill>
                    <w14:schemeClr w14:val="tx1"/>
                  </w14:solidFill>
                </w14:textFill>
              </w:rPr>
              <w:t>2026年7月29日09时00分00秒（北京时间）</w:t>
            </w:r>
          </w:p>
          <w:p w14:paraId="573BA6CD">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地点：</w:t>
            </w:r>
            <w:r>
              <w:rPr>
                <w:rFonts w:hint="eastAsia" w:ascii="宋体" w:hAnsi="宋体" w:eastAsia="宋体" w:cs="宋体"/>
                <w:color w:val="000000" w:themeColor="text1"/>
                <w:sz w:val="22"/>
                <w:szCs w:val="22"/>
                <w:lang w:val="en-US" w:eastAsia="zh-CN"/>
                <w14:textFill>
                  <w14:solidFill>
                    <w14:schemeClr w14:val="tx1"/>
                  </w14:solidFill>
                </w14:textFill>
              </w:rPr>
              <w:t>延安市公共资源交易中心开标8室</w:t>
            </w:r>
          </w:p>
        </w:tc>
      </w:tr>
      <w:tr w14:paraId="333C524F">
        <w:tblPrEx>
          <w:tblCellMar>
            <w:top w:w="0" w:type="dxa"/>
            <w:left w:w="108" w:type="dxa"/>
            <w:bottom w:w="0" w:type="dxa"/>
            <w:right w:w="108" w:type="dxa"/>
          </w:tblCellMar>
        </w:tblPrEx>
        <w:trPr>
          <w:trHeight w:val="73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BEA661">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4.2.3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C0F866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是否退还投标文件</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5E6A247">
            <w:pPr>
              <w:spacing w:line="360" w:lineRule="auto"/>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w:t>
            </w:r>
          </w:p>
        </w:tc>
      </w:tr>
      <w:tr w14:paraId="2705873E">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8F4250D">
            <w:pPr>
              <w:spacing w:line="360" w:lineRule="auto"/>
              <w:jc w:val="center"/>
              <w:rPr>
                <w:rFonts w:hint="eastAsia" w:ascii="宋体" w:hAnsi="宋体" w:eastAsia="宋体" w:cs="宋体"/>
                <w:color w:val="000000" w:themeColor="text1"/>
                <w:sz w:val="22"/>
                <w:szCs w:val="22"/>
                <w:lang w:eastAsia="zh-CN"/>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5.</w:t>
            </w:r>
            <w:r>
              <w:rPr>
                <w:rFonts w:hint="eastAsia" w:ascii="宋体" w:hAnsi="宋体" w:eastAsia="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501770C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开标程序</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A4ADD78">
            <w:pPr>
              <w:spacing w:line="360" w:lineRule="auto"/>
              <w:ind w:firstLine="440" w:firstLineChars="200"/>
              <w:jc w:val="left"/>
              <w:rPr>
                <w:rFonts w:hint="eastAsia" w:ascii="宋体" w:hAnsi="宋体" w:eastAsia="宋体" w:cs="宋体"/>
                <w:color w:val="000000" w:themeColor="text1"/>
                <w:kern w:val="0"/>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采购人和采购代理机构将按投标人须知前附表中规定的开标时间和地点组织开标。投标人不足3家的，不予开标。</w:t>
            </w:r>
          </w:p>
          <w:p w14:paraId="096F33CD">
            <w:pPr>
              <w:spacing w:line="360" w:lineRule="auto"/>
              <w:ind w:firstLine="440" w:firstLineChars="200"/>
              <w:jc w:val="left"/>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kern w:val="0"/>
                <w:sz w:val="22"/>
                <w:szCs w:val="22"/>
                <w:lang w:val="en-US" w:eastAsia="zh-CN"/>
                <w14:textFill>
                  <w14:solidFill>
                    <w14:schemeClr w14:val="tx1"/>
                  </w14:solidFill>
                </w14:textFill>
              </w:rPr>
              <w:t>2.</w:t>
            </w:r>
            <w:r>
              <w:rPr>
                <w:rFonts w:hint="eastAsia" w:ascii="宋体" w:hAnsi="宋体" w:eastAsia="宋体" w:cs="宋体"/>
                <w:color w:val="000000" w:themeColor="text1"/>
                <w:kern w:val="0"/>
                <w:sz w:val="22"/>
                <w:szCs w:val="22"/>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tc>
      </w:tr>
      <w:tr w14:paraId="31854715">
        <w:tblPrEx>
          <w:tblCellMar>
            <w:top w:w="0" w:type="dxa"/>
            <w:left w:w="108" w:type="dxa"/>
            <w:bottom w:w="0" w:type="dxa"/>
            <w:right w:w="108" w:type="dxa"/>
          </w:tblCellMar>
        </w:tblPrEx>
        <w:trPr>
          <w:trHeight w:val="119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381ADB7">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6.1.1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428C93C">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评标委员会的组建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288EF0C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评标委员会构成：</w:t>
            </w:r>
            <w:r>
              <w:rPr>
                <w:rFonts w:hint="eastAsia" w:ascii="宋体" w:hAnsi="宋体" w:eastAsia="宋体" w:cs="宋体"/>
                <w:color w:val="000000" w:themeColor="text1"/>
                <w:kern w:val="0"/>
                <w:sz w:val="22"/>
                <w:szCs w:val="22"/>
                <w:lang w:val="en-US" w:eastAsia="zh-CN"/>
                <w14:textFill>
                  <w14:solidFill>
                    <w14:schemeClr w14:val="tx1"/>
                  </w14:solidFill>
                </w14:textFill>
              </w:rPr>
              <w:t>5</w:t>
            </w:r>
            <w:r>
              <w:rPr>
                <w:rFonts w:hint="eastAsia" w:ascii="宋体" w:hAnsi="宋体" w:eastAsia="宋体" w:cs="宋体"/>
                <w:color w:val="000000" w:themeColor="text1"/>
                <w:kern w:val="0"/>
                <w:sz w:val="22"/>
                <w:szCs w:val="22"/>
                <w14:textFill>
                  <w14:solidFill>
                    <w14:schemeClr w14:val="tx1"/>
                  </w14:solidFill>
                </w14:textFill>
              </w:rPr>
              <w:t>人；其中采购人代表</w:t>
            </w:r>
            <w:r>
              <w:rPr>
                <w:rFonts w:hint="eastAsia" w:ascii="宋体" w:hAnsi="宋体" w:eastAsia="宋体" w:cs="宋体"/>
                <w:color w:val="000000" w:themeColor="text1"/>
                <w:kern w:val="0"/>
                <w:sz w:val="22"/>
                <w:szCs w:val="22"/>
                <w:lang w:val="en-US" w:eastAsia="zh-CN"/>
                <w14:textFill>
                  <w14:solidFill>
                    <w14:schemeClr w14:val="tx1"/>
                  </w14:solidFill>
                </w14:textFill>
              </w:rPr>
              <w:t>1</w:t>
            </w:r>
            <w:r>
              <w:rPr>
                <w:rFonts w:hint="eastAsia" w:ascii="宋体" w:hAnsi="宋体" w:eastAsia="宋体" w:cs="宋体"/>
                <w:color w:val="000000" w:themeColor="text1"/>
                <w:kern w:val="0"/>
                <w:sz w:val="22"/>
                <w:szCs w:val="22"/>
                <w14:textFill>
                  <w14:solidFill>
                    <w14:schemeClr w14:val="tx1"/>
                  </w14:solidFill>
                </w14:textFill>
              </w:rPr>
              <w:t>人；专家</w:t>
            </w:r>
            <w:r>
              <w:rPr>
                <w:rFonts w:hint="eastAsia" w:ascii="宋体" w:hAnsi="宋体" w:eastAsia="宋体" w:cs="宋体"/>
                <w:color w:val="000000" w:themeColor="text1"/>
                <w:kern w:val="0"/>
                <w:sz w:val="22"/>
                <w:szCs w:val="22"/>
                <w:lang w:val="en-US" w:eastAsia="zh-CN"/>
                <w14:textFill>
                  <w14:solidFill>
                    <w14:schemeClr w14:val="tx1"/>
                  </w14:solidFill>
                </w14:textFill>
              </w:rPr>
              <w:t>4</w:t>
            </w:r>
            <w:r>
              <w:rPr>
                <w:rFonts w:hint="eastAsia" w:ascii="宋体" w:hAnsi="宋体" w:eastAsia="宋体" w:cs="宋体"/>
                <w:color w:val="000000" w:themeColor="text1"/>
                <w:kern w:val="0"/>
                <w:sz w:val="22"/>
                <w:szCs w:val="22"/>
                <w14:textFill>
                  <w14:solidFill>
                    <w14:schemeClr w14:val="tx1"/>
                  </w14:solidFill>
                </w14:textFill>
              </w:rPr>
              <w:t>人</w:t>
            </w:r>
          </w:p>
          <w:p w14:paraId="165C1BB1">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评标专家确定方式：陕西</w:t>
            </w:r>
            <w:r>
              <w:rPr>
                <w:rFonts w:hint="eastAsia" w:ascii="宋体" w:hAnsi="宋体" w:eastAsia="宋体" w:cs="宋体"/>
                <w:color w:val="000000" w:themeColor="text1"/>
                <w:sz w:val="22"/>
                <w:szCs w:val="22"/>
                <w:lang w:val="en-US" w:eastAsia="zh-CN"/>
                <w14:textFill>
                  <w14:solidFill>
                    <w14:schemeClr w14:val="tx1"/>
                  </w14:solidFill>
                </w14:textFill>
              </w:rPr>
              <w:t>省</w:t>
            </w:r>
            <w:r>
              <w:rPr>
                <w:rFonts w:hint="eastAsia" w:ascii="宋体" w:hAnsi="宋体" w:eastAsia="宋体" w:cs="宋体"/>
                <w:color w:val="000000" w:themeColor="text1"/>
                <w:sz w:val="22"/>
                <w:szCs w:val="22"/>
                <w14:textFill>
                  <w14:solidFill>
                    <w14:schemeClr w14:val="tx1"/>
                  </w14:solidFill>
                </w14:textFill>
              </w:rPr>
              <w:t>政府采购综合管理平台专家库中随机抽取。</w:t>
            </w:r>
          </w:p>
        </w:tc>
      </w:tr>
      <w:tr w14:paraId="532817FA">
        <w:tblPrEx>
          <w:tblCellMar>
            <w:top w:w="0" w:type="dxa"/>
            <w:left w:w="108" w:type="dxa"/>
            <w:bottom w:w="0" w:type="dxa"/>
            <w:right w:w="108" w:type="dxa"/>
          </w:tblCellMar>
        </w:tblPrEx>
        <w:trPr>
          <w:trHeight w:val="139"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80C4DD5">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1B64116D">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是否授权评标委员会确定中标人</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458EC62E">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否，推荐3名中标候选供应商</w:t>
            </w:r>
          </w:p>
        </w:tc>
      </w:tr>
      <w:tr w14:paraId="0B4FD0E6">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6E23FBA">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7.3</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65B02922">
            <w:pPr>
              <w:spacing w:line="360" w:lineRule="auto"/>
              <w:jc w:val="center"/>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履约担保</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CD03956">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无</w:t>
            </w:r>
          </w:p>
        </w:tc>
      </w:tr>
      <w:tr w14:paraId="4783D796">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222F15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8</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350F48F0">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是否专门面向中小企业采购</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1B878428">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是</w:t>
            </w:r>
            <w:r>
              <w:rPr>
                <w:rFonts w:hint="eastAsia" w:ascii="宋体" w:hAnsi="宋体" w:cs="宋体"/>
                <w:color w:val="000000" w:themeColor="text1"/>
                <w:sz w:val="22"/>
                <w:szCs w:val="22"/>
                <w:lang w:eastAsia="zh-CN"/>
                <w14:textFill>
                  <w14:solidFill>
                    <w14:schemeClr w14:val="tx1"/>
                  </w14:solidFill>
                </w14:textFill>
              </w:rPr>
              <w:t>□</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eastAsia="宋体" w:cs="宋体"/>
                <w:color w:val="000000" w:themeColor="text1"/>
                <w:sz w:val="22"/>
                <w:szCs w:val="22"/>
                <w:lang w:eastAsia="zh-CN"/>
                <w14:textFill>
                  <w14:solidFill>
                    <w14:schemeClr w14:val="tx1"/>
                  </w14:solidFill>
                </w14:textFill>
              </w:rPr>
              <w:t>否</w:t>
            </w:r>
            <w:r>
              <w:rPr>
                <w:rFonts w:hint="eastAsia" w:ascii="宋体" w:hAnsi="宋体" w:eastAsia="宋体" w:cs="宋体"/>
                <w:color w:val="000000" w:themeColor="text1"/>
                <w:sz w:val="22"/>
                <w:szCs w:val="22"/>
                <w:lang w:val="en-US" w:eastAsia="zh-CN"/>
                <w14:textFill>
                  <w14:solidFill>
                    <w14:schemeClr w14:val="tx1"/>
                  </w14:solidFill>
                </w14:textFill>
              </w:rPr>
              <w:t xml:space="preserve"> </w:t>
            </w:r>
            <w:r>
              <w:rPr>
                <w:rFonts w:hint="eastAsia" w:ascii="宋体" w:hAnsi="宋体" w:cs="宋体"/>
                <w:color w:val="000000" w:themeColor="text1"/>
                <w:sz w:val="22"/>
                <w:szCs w:val="22"/>
                <w:lang w:eastAsia="zh-CN"/>
                <w14:textFill>
                  <w14:solidFill>
                    <w14:schemeClr w14:val="tx1"/>
                  </w14:solidFill>
                </w14:textFill>
              </w:rPr>
              <w:t>☑</w:t>
            </w:r>
          </w:p>
        </w:tc>
      </w:tr>
      <w:tr w14:paraId="2BEC6BCF">
        <w:tblPrEx>
          <w:tblCellMar>
            <w:top w:w="0" w:type="dxa"/>
            <w:left w:w="108" w:type="dxa"/>
            <w:bottom w:w="0" w:type="dxa"/>
            <w:right w:w="108" w:type="dxa"/>
          </w:tblCellMar>
        </w:tblPrEx>
        <w:trPr>
          <w:trHeight w:val="7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E6B75DD">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9</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3998307">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进口设备</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52C2618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不接受进口设备</w:t>
            </w:r>
          </w:p>
        </w:tc>
      </w:tr>
      <w:tr w14:paraId="1C44F2F8">
        <w:tblPrEx>
          <w:tblCellMar>
            <w:top w:w="0" w:type="dxa"/>
            <w:left w:w="108" w:type="dxa"/>
            <w:bottom w:w="0" w:type="dxa"/>
            <w:right w:w="108" w:type="dxa"/>
          </w:tblCellMar>
        </w:tblPrEx>
        <w:trPr>
          <w:trHeight w:val="6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557BFEE">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10</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0AD920C2">
            <w:pPr>
              <w:spacing w:line="360" w:lineRule="auto"/>
              <w:jc w:val="center"/>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采购标的所属行业</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677FBE6E">
            <w:pPr>
              <w:spacing w:line="360" w:lineRule="auto"/>
              <w:rPr>
                <w:rFonts w:hint="eastAsia" w:ascii="宋体" w:hAnsi="宋体" w:eastAsia="宋体" w:cs="宋体"/>
                <w:color w:val="000000" w:themeColor="text1"/>
                <w:kern w:val="2"/>
                <w:sz w:val="22"/>
                <w:szCs w:val="22"/>
                <w:lang w:val="en-US" w:eastAsia="zh-CN" w:bidi="ar-SA"/>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工业</w:t>
            </w:r>
          </w:p>
        </w:tc>
      </w:tr>
      <w:tr w14:paraId="297740DB">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050918B">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67EF3737">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需要补充的其他内容</w:t>
            </w:r>
          </w:p>
        </w:tc>
      </w:tr>
      <w:tr w14:paraId="7D391C5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AD04ADF">
            <w:pPr>
              <w:spacing w:line="360" w:lineRule="auto"/>
              <w:jc w:val="center"/>
              <w:rPr>
                <w:rFonts w:hint="eastAsia" w:ascii="宋体" w:hAnsi="宋体" w:eastAsia="宋体" w:cs="宋体"/>
                <w:color w:val="000000" w:themeColor="text1"/>
                <w:sz w:val="22"/>
                <w:szCs w:val="22"/>
                <w:highlight w:val="yellow"/>
                <w:lang w:eastAsia="zh-CN"/>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eastAsia="宋体" w:cs="宋体"/>
                <w:color w:val="000000" w:themeColor="text1"/>
                <w:sz w:val="22"/>
                <w:szCs w:val="22"/>
                <w14:textFill>
                  <w14:solidFill>
                    <w14:schemeClr w14:val="tx1"/>
                  </w14:solidFill>
                </w14:textFill>
              </w:rPr>
              <w:t>.</w:t>
            </w:r>
            <w:r>
              <w:rPr>
                <w:rFonts w:hint="eastAsia" w:ascii="宋体" w:hAnsi="宋体" w:cs="宋体"/>
                <w:color w:val="000000" w:themeColor="text1"/>
                <w:sz w:val="22"/>
                <w:szCs w:val="22"/>
                <w:lang w:val="en-US" w:eastAsia="zh-CN"/>
                <w14:textFill>
                  <w14:solidFill>
                    <w14:schemeClr w14:val="tx1"/>
                  </w14:solidFill>
                </w14:textFill>
              </w:rPr>
              <w:t>1</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472FFFAF">
            <w:pPr>
              <w:spacing w:line="360" w:lineRule="auto"/>
              <w:rPr>
                <w:rFonts w:hint="eastAsia" w:ascii="宋体" w:hAnsi="宋体" w:eastAsia="宋体" w:cs="宋体"/>
                <w:color w:val="000000" w:themeColor="text1"/>
                <w:sz w:val="22"/>
                <w:szCs w:val="22"/>
                <w:highlight w:val="yellow"/>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招标代理服务费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CB09730">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14:textFill>
                  <w14:solidFill>
                    <w14:schemeClr w14:val="tx1"/>
                  </w14:solidFill>
                </w14:textFill>
              </w:rPr>
              <w:t>代理服务费收费标准：采购代理机构参照国家计委关于印发《招标代理服务收费管理暂行办法》计价格[2002]1980号文和《国家发展改革委关于降低部分建设项目收费标准规范收费行为等有关问题的通知》发改价格[2011]534号规定标准</w:t>
            </w:r>
            <w:r>
              <w:rPr>
                <w:rFonts w:hint="eastAsia" w:ascii="宋体" w:hAnsi="宋体" w:eastAsia="宋体" w:cs="宋体"/>
                <w:color w:val="000000" w:themeColor="text1"/>
                <w:sz w:val="22"/>
                <w:szCs w:val="22"/>
                <w:lang w:val="en-US" w:eastAsia="zh-CN"/>
                <w14:textFill>
                  <w14:solidFill>
                    <w14:schemeClr w14:val="tx1"/>
                  </w14:solidFill>
                </w14:textFill>
              </w:rPr>
              <w:t>向中标供应商</w:t>
            </w:r>
            <w:r>
              <w:rPr>
                <w:rFonts w:hint="eastAsia" w:ascii="宋体" w:hAnsi="宋体" w:eastAsia="宋体" w:cs="宋体"/>
                <w:color w:val="000000" w:themeColor="text1"/>
                <w:sz w:val="22"/>
                <w:szCs w:val="22"/>
                <w14:textFill>
                  <w14:solidFill>
                    <w14:schemeClr w14:val="tx1"/>
                  </w14:solidFill>
                </w14:textFill>
              </w:rPr>
              <w:t>收取代理服务费。</w:t>
            </w:r>
          </w:p>
          <w:p w14:paraId="3BCD1A7A">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eastAsia="zh-CN"/>
                <w14:textFill>
                  <w14:solidFill>
                    <w14:schemeClr w14:val="tx1"/>
                  </w14:solidFill>
                </w14:textFill>
              </w:rPr>
              <w:t>代理服务费</w:t>
            </w:r>
            <w:r>
              <w:rPr>
                <w:rFonts w:hint="eastAsia" w:ascii="宋体" w:hAnsi="宋体" w:eastAsia="宋体" w:cs="宋体"/>
                <w:b/>
                <w:bCs/>
                <w:color w:val="000000" w:themeColor="text1"/>
                <w:sz w:val="22"/>
                <w:szCs w:val="22"/>
                <w:lang w:val="en-US" w:eastAsia="zh-CN"/>
                <w14:textFill>
                  <w14:solidFill>
                    <w14:schemeClr w14:val="tx1"/>
                  </w14:solidFill>
                </w14:textFill>
              </w:rPr>
              <w:t>缴纳账户：</w:t>
            </w:r>
          </w:p>
          <w:p w14:paraId="212E93A6">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开户单位：陕西宸永项目管理有限公司</w:t>
            </w:r>
          </w:p>
          <w:p w14:paraId="73CD7C2E">
            <w:pPr>
              <w:spacing w:line="360" w:lineRule="auto"/>
              <w:ind w:firstLine="442" w:firstLineChars="200"/>
              <w:rPr>
                <w:rFonts w:hint="eastAsia" w:ascii="宋体" w:hAnsi="宋体" w:eastAsia="宋体" w:cs="宋体"/>
                <w:b/>
                <w:bCs/>
                <w:color w:val="000000" w:themeColor="text1"/>
                <w:sz w:val="22"/>
                <w:szCs w:val="22"/>
                <w:lang w:val="en-US" w:eastAsia="zh-CN"/>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开户行名称：中国建设银行股份有限公司延安马家湾支行</w:t>
            </w:r>
          </w:p>
          <w:p w14:paraId="57BBEA26">
            <w:pPr>
              <w:spacing w:line="360" w:lineRule="auto"/>
              <w:ind w:firstLine="442"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b/>
                <w:bCs/>
                <w:color w:val="000000" w:themeColor="text1"/>
                <w:sz w:val="22"/>
                <w:szCs w:val="22"/>
                <w:lang w:val="en-US" w:eastAsia="zh-CN"/>
                <w14:textFill>
                  <w14:solidFill>
                    <w14:schemeClr w14:val="tx1"/>
                  </w14:solidFill>
                </w14:textFill>
              </w:rPr>
              <w:t>账      号：61050168980000000758</w:t>
            </w:r>
          </w:p>
        </w:tc>
      </w:tr>
      <w:tr w14:paraId="7C58BDA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BB1FCF9">
            <w:pPr>
              <w:spacing w:line="360" w:lineRule="auto"/>
              <w:jc w:val="center"/>
              <w:rPr>
                <w:rFonts w:hint="eastAsia" w:ascii="宋体" w:hAnsi="宋体" w:eastAsia="宋体" w:cs="宋体"/>
                <w:color w:val="000000" w:themeColor="text1"/>
                <w:sz w:val="22"/>
                <w:szCs w:val="22"/>
                <w:lang w:val="en-US" w:eastAsia="zh-CN"/>
                <w14:textFill>
                  <w14:solidFill>
                    <w14:schemeClr w14:val="tx1"/>
                  </w14:solidFill>
                </w14:textFill>
              </w:rPr>
            </w:pPr>
            <w:bookmarkStart w:id="29" w:name="_Toc23962"/>
            <w:bookmarkStart w:id="30" w:name="_Toc179632546"/>
            <w:bookmarkStart w:id="31" w:name="_Toc246996175"/>
            <w:bookmarkStart w:id="32" w:name="_Toc152042305"/>
            <w:bookmarkStart w:id="33" w:name="_Toc152045529"/>
            <w:bookmarkStart w:id="34" w:name="_Toc12768"/>
            <w:bookmarkStart w:id="35" w:name="_Toc247085689"/>
            <w:bookmarkStart w:id="36" w:name="_Toc144974497"/>
            <w:bookmarkStart w:id="37" w:name="_Toc20614"/>
            <w:bookmarkStart w:id="38" w:name="_Toc246996918"/>
            <w:bookmarkStart w:id="39" w:name="_Toc30835"/>
            <w:bookmarkStart w:id="40" w:name="_Toc23617"/>
            <w:bookmarkStart w:id="41" w:name="_Toc9105"/>
            <w:bookmarkStart w:id="42" w:name="_Toc16773"/>
            <w:r>
              <w:rPr>
                <w:rFonts w:hint="eastAsia" w:ascii="宋体" w:hAnsi="宋体" w:eastAsia="宋体" w:cs="宋体"/>
                <w:color w:val="000000" w:themeColor="text1"/>
                <w:sz w:val="22"/>
                <w:szCs w:val="22"/>
                <w:lang w:val="en-US" w:eastAsia="zh-CN"/>
                <w14:textFill>
                  <w14:solidFill>
                    <w14:schemeClr w14:val="tx1"/>
                  </w14:solidFill>
                </w14:textFill>
              </w:rPr>
              <w:t>11.</w:t>
            </w:r>
            <w:r>
              <w:rPr>
                <w:rFonts w:hint="eastAsia" w:ascii="宋体" w:hAnsi="宋体" w:cs="宋体"/>
                <w:color w:val="000000" w:themeColor="text1"/>
                <w:sz w:val="22"/>
                <w:szCs w:val="22"/>
                <w:lang w:val="en-US" w:eastAsia="zh-CN"/>
                <w14:textFill>
                  <w14:solidFill>
                    <w14:schemeClr w14:val="tx1"/>
                  </w14:solidFill>
                </w14:textFill>
              </w:rPr>
              <w:t>2</w:t>
            </w:r>
          </w:p>
        </w:tc>
        <w:tc>
          <w:tcPr>
            <w:tcW w:w="1616" w:type="dxa"/>
            <w:tcBorders>
              <w:top w:val="single" w:color="auto" w:sz="4" w:space="0"/>
              <w:left w:val="single" w:color="auto" w:sz="4" w:space="0"/>
              <w:bottom w:val="single" w:color="auto" w:sz="4" w:space="0"/>
              <w:right w:val="single" w:color="auto" w:sz="4" w:space="0"/>
            </w:tcBorders>
            <w:noWrap w:val="0"/>
            <w:vAlign w:val="center"/>
          </w:tcPr>
          <w:p w14:paraId="780D7FF9">
            <w:pPr>
              <w:spacing w:line="360" w:lineRule="auto"/>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eastAsia="zh-CN"/>
                <w14:textFill>
                  <w14:solidFill>
                    <w14:schemeClr w14:val="tx1"/>
                  </w14:solidFill>
                </w14:textFill>
              </w:rPr>
              <w:t>电子投标注意事项</w:t>
            </w:r>
          </w:p>
        </w:tc>
        <w:tc>
          <w:tcPr>
            <w:tcW w:w="6703" w:type="dxa"/>
            <w:tcBorders>
              <w:top w:val="single" w:color="auto" w:sz="4" w:space="0"/>
              <w:left w:val="single" w:color="auto" w:sz="4" w:space="0"/>
              <w:bottom w:val="single" w:color="auto" w:sz="4" w:space="0"/>
              <w:right w:val="single" w:color="auto" w:sz="4" w:space="0"/>
            </w:tcBorders>
            <w:noWrap w:val="0"/>
            <w:vAlign w:val="center"/>
          </w:tcPr>
          <w:p w14:paraId="38042C1A">
            <w:pPr>
              <w:spacing w:line="360" w:lineRule="auto"/>
              <w:ind w:firstLine="440" w:firstLineChars="200"/>
              <w:rPr>
                <w:rFonts w:hint="eastAsia" w:ascii="宋体" w:hAnsi="宋体" w:eastAsia="宋体" w:cs="宋体"/>
                <w:color w:val="000000" w:themeColor="text1"/>
                <w:sz w:val="22"/>
                <w:szCs w:val="22"/>
                <w14:textFill>
                  <w14:solidFill>
                    <w14:schemeClr w14:val="tx1"/>
                  </w14:solidFill>
                </w14:textFill>
              </w:rPr>
            </w:pPr>
            <w:r>
              <w:rPr>
                <w:rFonts w:hint="eastAsia" w:ascii="宋体" w:hAnsi="宋体" w:eastAsia="宋体" w:cs="宋体"/>
                <w:color w:val="000000" w:themeColor="text1"/>
                <w:sz w:val="22"/>
                <w:szCs w:val="22"/>
                <w:lang w:val="en-US" w:eastAsia="zh-CN"/>
                <w14:textFill>
                  <w14:solidFill>
                    <w14:schemeClr w14:val="tx1"/>
                  </w14:solidFill>
                </w14:textFill>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bl>
    <w:p w14:paraId="3269A8B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328CE313">
      <w:pPr>
        <w:bidi w:val="0"/>
        <w:jc w:val="both"/>
        <w:rPr>
          <w:rFonts w:hint="eastAsia" w:ascii="宋体" w:hAnsi="宋体" w:eastAsia="宋体" w:cs="宋体"/>
          <w:b/>
          <w:bCs/>
          <w:i w:val="0"/>
          <w:iCs w:val="0"/>
          <w:color w:val="000000" w:themeColor="text1"/>
          <w:sz w:val="24"/>
          <w:szCs w:val="24"/>
          <w14:textFill>
            <w14:solidFill>
              <w14:schemeClr w14:val="tx1"/>
            </w14:solidFill>
          </w14:textFill>
        </w:rPr>
      </w:pPr>
    </w:p>
    <w:p w14:paraId="04896176">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p>
    <w:p w14:paraId="61F13D8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2C3EA5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555D6A8">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2F2B6F60">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7B7E7E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41F7D93">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FDBCFB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B410B1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8F884CD">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52849C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1A6409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2346C6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C0F04E">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D3AFB22">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CD5B6EC">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BCD619F">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1553598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8C9BA9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73E21E4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601DED07">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4FFE64F6">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0B6C5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7673714">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1B922E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54B104E9">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07AFDF15">
      <w:pPr>
        <w:pStyle w:val="16"/>
        <w:rPr>
          <w:rFonts w:hint="eastAsia" w:ascii="宋体" w:hAnsi="宋体" w:eastAsia="宋体" w:cs="宋体"/>
          <w:b/>
          <w:bCs/>
          <w:i w:val="0"/>
          <w:iCs w:val="0"/>
          <w:color w:val="000000" w:themeColor="text1"/>
          <w:sz w:val="24"/>
          <w:szCs w:val="24"/>
          <w14:textFill>
            <w14:solidFill>
              <w14:schemeClr w14:val="tx1"/>
            </w14:solidFill>
          </w14:textFill>
        </w:rPr>
      </w:pPr>
    </w:p>
    <w:p w14:paraId="393713A7">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1.总则</w:t>
      </w:r>
      <w:bookmarkEnd w:id="29"/>
      <w:bookmarkEnd w:id="30"/>
      <w:bookmarkEnd w:id="31"/>
      <w:bookmarkEnd w:id="32"/>
      <w:bookmarkEnd w:id="33"/>
      <w:bookmarkEnd w:id="34"/>
      <w:bookmarkEnd w:id="35"/>
      <w:bookmarkEnd w:id="36"/>
      <w:bookmarkEnd w:id="37"/>
      <w:bookmarkEnd w:id="38"/>
    </w:p>
    <w:p w14:paraId="7B8F0D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 w:name="_Toc152042306"/>
      <w:bookmarkStart w:id="44" w:name="_Toc144974498"/>
      <w:bookmarkStart w:id="45" w:name="_Toc179632547"/>
      <w:bookmarkStart w:id="46" w:name="_Toc247085690"/>
      <w:bookmarkStart w:id="47" w:name="_Toc31044"/>
      <w:bookmarkStart w:id="48" w:name="_Toc7660"/>
      <w:bookmarkStart w:id="49" w:name="_Toc152045530"/>
      <w:bookmarkStart w:id="50" w:name="_Toc246996919"/>
      <w:bookmarkStart w:id="51" w:name="_Toc11216"/>
      <w:bookmarkStart w:id="52" w:name="_Toc246996176"/>
      <w:r>
        <w:rPr>
          <w:rFonts w:hint="eastAsia" w:ascii="宋体" w:hAnsi="宋体" w:eastAsia="宋体" w:cs="宋体"/>
          <w:color w:val="000000" w:themeColor="text1"/>
          <w:sz w:val="24"/>
          <w:szCs w:val="24"/>
          <w14:textFill>
            <w14:solidFill>
              <w14:schemeClr w14:val="tx1"/>
            </w14:solidFill>
          </w14:textFill>
        </w:rPr>
        <w:t>1.1 项目概况</w:t>
      </w:r>
      <w:bookmarkEnd w:id="43"/>
      <w:bookmarkEnd w:id="44"/>
      <w:bookmarkEnd w:id="45"/>
      <w:bookmarkEnd w:id="46"/>
      <w:bookmarkEnd w:id="47"/>
      <w:bookmarkEnd w:id="48"/>
      <w:bookmarkEnd w:id="49"/>
      <w:bookmarkEnd w:id="50"/>
      <w:bookmarkEnd w:id="51"/>
      <w:bookmarkEnd w:id="52"/>
    </w:p>
    <w:p w14:paraId="71E179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1.1.1根据《中华人民共和国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》等有关法律、法规和规章的规定，本招标项目已具备招标条件，现对本项目进行招标。</w:t>
      </w:r>
    </w:p>
    <w:p w14:paraId="4F562D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 本采购项目采购人：见投标人须知前附表。</w:t>
      </w:r>
    </w:p>
    <w:p w14:paraId="5A0EBD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 本采购项目采购代理机构：见投标人须知前附表。</w:t>
      </w:r>
    </w:p>
    <w:p w14:paraId="065822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 本采购项目名称：见投标人须知前附表。</w:t>
      </w:r>
    </w:p>
    <w:p w14:paraId="471807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1.1.5 本采购项目地点：见投标人须知前附表。</w:t>
      </w:r>
    </w:p>
    <w:p w14:paraId="4CE806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1.1.6 招标文件各章内容对投标事宜提出明确要求，投标人须仔细阅读和正确理解。因投标人在阅读、理解招标文件方面产生疏漏和误解，而导致投标不利后果的或者被废标的，其责任由投标人自负。</w:t>
      </w:r>
    </w:p>
    <w:p w14:paraId="37BADD7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53" w:name="_Toc152042307"/>
      <w:bookmarkStart w:id="54" w:name="_Toc246996177"/>
      <w:bookmarkStart w:id="55" w:name="_Toc14545"/>
      <w:bookmarkStart w:id="56" w:name="_Toc152045531"/>
      <w:bookmarkStart w:id="57" w:name="_Toc246996920"/>
      <w:bookmarkStart w:id="58" w:name="_Toc8384"/>
      <w:bookmarkStart w:id="59" w:name="_Toc247085691"/>
      <w:bookmarkStart w:id="60" w:name="_Toc179632548"/>
      <w:bookmarkStart w:id="61" w:name="_Toc144974499"/>
      <w:bookmarkStart w:id="62" w:name="_Toc30959"/>
      <w:r>
        <w:rPr>
          <w:rFonts w:hint="eastAsia" w:ascii="宋体" w:hAnsi="宋体" w:eastAsia="宋体" w:cs="宋体"/>
          <w:color w:val="000000" w:themeColor="text1"/>
          <w:sz w:val="24"/>
          <w:szCs w:val="24"/>
          <w14:textFill>
            <w14:solidFill>
              <w14:schemeClr w14:val="tx1"/>
            </w14:solidFill>
          </w14:textFill>
        </w:rPr>
        <w:t>1.2 资金来源和落实情况</w:t>
      </w:r>
      <w:bookmarkEnd w:id="53"/>
      <w:bookmarkEnd w:id="54"/>
      <w:bookmarkEnd w:id="55"/>
      <w:bookmarkEnd w:id="56"/>
      <w:bookmarkEnd w:id="57"/>
      <w:bookmarkEnd w:id="58"/>
      <w:bookmarkEnd w:id="59"/>
      <w:bookmarkEnd w:id="60"/>
      <w:bookmarkEnd w:id="61"/>
      <w:bookmarkEnd w:id="62"/>
    </w:p>
    <w:p w14:paraId="0781658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1.2.1本招标项目的资金来源及出资比例：见投标人须知前附表。</w:t>
      </w:r>
    </w:p>
    <w:p w14:paraId="10CA13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1.2.2本招标项目的项目预算：见投标人须知前附表。</w:t>
      </w:r>
    </w:p>
    <w:p w14:paraId="4F55058F">
      <w:pPr>
        <w:pStyle w:val="4"/>
        <w:pageBreakBefore w:val="0"/>
        <w:wordWrap/>
        <w:topLinePunct w:val="0"/>
        <w:autoSpaceDE/>
        <w:autoSpaceDN/>
        <w:bidi w:val="0"/>
        <w:adjustRightInd/>
        <w:spacing w:before="0" w:beforeLines="0" w:after="0" w:afterLines="0" w:line="600" w:lineRule="exact"/>
        <w:textAlignment w:val="auto"/>
        <w:rPr>
          <w:rFonts w:hint="default" w:ascii="宋体" w:hAnsi="宋体" w:eastAsia="宋体" w:cs="宋体"/>
          <w:color w:val="000000" w:themeColor="text1"/>
          <w:sz w:val="24"/>
          <w:szCs w:val="24"/>
          <w:lang w:val="en-US"/>
          <w14:textFill>
            <w14:solidFill>
              <w14:schemeClr w14:val="tx1"/>
            </w14:solidFill>
          </w14:textFill>
        </w:rPr>
      </w:pPr>
      <w:bookmarkStart w:id="63" w:name="_Toc20745"/>
      <w:bookmarkStart w:id="64" w:name="_Toc246996178"/>
      <w:bookmarkStart w:id="65" w:name="_Toc246996921"/>
      <w:bookmarkStart w:id="66" w:name="_Toc247085692"/>
      <w:bookmarkStart w:id="67" w:name="_Toc152042308"/>
      <w:bookmarkStart w:id="68" w:name="_Toc179632549"/>
      <w:bookmarkStart w:id="69" w:name="_Toc18917"/>
      <w:bookmarkStart w:id="70" w:name="_Toc152045532"/>
      <w:bookmarkStart w:id="71" w:name="_Toc144974500"/>
      <w:bookmarkStart w:id="72" w:name="_Toc21770"/>
      <w:r>
        <w:rPr>
          <w:rFonts w:hint="eastAsia" w:ascii="宋体" w:hAnsi="宋体" w:eastAsia="宋体" w:cs="宋体"/>
          <w:color w:val="000000" w:themeColor="text1"/>
          <w:sz w:val="24"/>
          <w:szCs w:val="24"/>
          <w14:textFill>
            <w14:solidFill>
              <w14:schemeClr w14:val="tx1"/>
            </w14:solidFill>
          </w14:textFill>
        </w:rPr>
        <w:t>1.3 招标内容、</w:t>
      </w:r>
      <w:bookmarkEnd w:id="63"/>
      <w:bookmarkEnd w:id="64"/>
      <w:bookmarkEnd w:id="65"/>
      <w:bookmarkEnd w:id="66"/>
      <w:bookmarkEnd w:id="67"/>
      <w:bookmarkEnd w:id="68"/>
      <w:bookmarkEnd w:id="69"/>
      <w:bookmarkEnd w:id="70"/>
      <w:bookmarkEnd w:id="71"/>
      <w:bookmarkEnd w:id="72"/>
      <w:r>
        <w:rPr>
          <w:rFonts w:hint="eastAsia" w:ascii="宋体" w:hAnsi="宋体" w:cs="宋体"/>
          <w:color w:val="000000" w:themeColor="text1"/>
          <w:sz w:val="24"/>
          <w:szCs w:val="24"/>
          <w:lang w:val="en-US" w:eastAsia="zh-CN"/>
          <w14:textFill>
            <w14:solidFill>
              <w14:schemeClr w14:val="tx1"/>
            </w14:solidFill>
          </w14:textFill>
        </w:rPr>
        <w:t>供货期、质保期</w:t>
      </w:r>
    </w:p>
    <w:p w14:paraId="0B8BF2D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bookmarkStart w:id="73" w:name="_Toc246996922"/>
      <w:bookmarkStart w:id="74" w:name="_Toc152045534"/>
      <w:bookmarkStart w:id="75" w:name="_Toc413"/>
      <w:bookmarkStart w:id="76" w:name="_Toc28754"/>
      <w:bookmarkStart w:id="77" w:name="_Toc144974502"/>
      <w:bookmarkStart w:id="78" w:name="_Toc3275"/>
      <w:bookmarkStart w:id="79" w:name="_Toc246996179"/>
      <w:bookmarkStart w:id="80" w:name="_Toc247085693"/>
      <w:bookmarkStart w:id="81" w:name="_Toc179632551"/>
      <w:bookmarkStart w:id="82" w:name="_Toc152042310"/>
      <w:r>
        <w:rPr>
          <w:rFonts w:hint="eastAsia" w:ascii="宋体" w:hAnsi="宋体" w:eastAsia="宋体" w:cs="宋体"/>
          <w:color w:val="000000" w:themeColor="text1"/>
          <w:sz w:val="24"/>
          <w:szCs w:val="24"/>
          <w14:textFill>
            <w14:solidFill>
              <w14:schemeClr w14:val="tx1"/>
            </w14:solidFill>
          </w14:textFill>
        </w:rPr>
        <w:t>1.3.1本次招标内容：见投标人须知前附表。</w:t>
      </w:r>
    </w:p>
    <w:p w14:paraId="24A4D8B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1.3.2本招标项目的</w:t>
      </w:r>
      <w:r>
        <w:rPr>
          <w:rFonts w:hint="eastAsia" w:ascii="宋体" w:hAnsi="宋体" w:eastAsia="宋体" w:cs="宋体"/>
          <w:color w:val="000000" w:themeColor="text1"/>
          <w:sz w:val="24"/>
          <w:szCs w:val="24"/>
          <w:lang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：见投标人须知前附表。</w:t>
      </w:r>
    </w:p>
    <w:p w14:paraId="63B98F7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本招标项目的</w:t>
      </w:r>
      <w:r>
        <w:rPr>
          <w:rFonts w:hint="eastAsia" w:ascii="宋体" w:hAnsi="宋体" w:eastAsia="宋体" w:cs="宋体"/>
          <w:color w:val="000000" w:themeColor="text1"/>
          <w:sz w:val="24"/>
          <w:szCs w:val="24"/>
          <w:lang w:eastAsia="zh-CN"/>
          <w14:textFill>
            <w14:solidFill>
              <w14:schemeClr w14:val="tx1"/>
            </w14:solidFill>
          </w14:textFill>
        </w:rPr>
        <w:t>质保期</w:t>
      </w:r>
      <w:r>
        <w:rPr>
          <w:rFonts w:hint="eastAsia" w:ascii="宋体" w:hAnsi="宋体" w:eastAsia="宋体" w:cs="宋体"/>
          <w:color w:val="000000" w:themeColor="text1"/>
          <w:sz w:val="24"/>
          <w:szCs w:val="24"/>
          <w14:textFill>
            <w14:solidFill>
              <w14:schemeClr w14:val="tx1"/>
            </w14:solidFill>
          </w14:textFill>
        </w:rPr>
        <w:t>：见投标人须知前附表</w:t>
      </w:r>
      <w:r>
        <w:rPr>
          <w:rFonts w:hint="eastAsia" w:ascii="宋体" w:hAnsi="宋体" w:eastAsia="宋体" w:cs="宋体"/>
          <w:color w:val="000000" w:themeColor="text1"/>
          <w:sz w:val="24"/>
          <w:szCs w:val="24"/>
          <w:lang w:eastAsia="zh-CN"/>
          <w14:textFill>
            <w14:solidFill>
              <w14:schemeClr w14:val="tx1"/>
            </w14:solidFill>
          </w14:textFill>
        </w:rPr>
        <w:t>。</w:t>
      </w:r>
    </w:p>
    <w:p w14:paraId="09B2D65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投标人资格要求</w:t>
      </w:r>
      <w:bookmarkEnd w:id="73"/>
      <w:bookmarkEnd w:id="74"/>
      <w:bookmarkEnd w:id="75"/>
      <w:bookmarkEnd w:id="76"/>
      <w:bookmarkEnd w:id="77"/>
      <w:bookmarkEnd w:id="78"/>
      <w:bookmarkEnd w:id="79"/>
      <w:bookmarkEnd w:id="80"/>
      <w:bookmarkEnd w:id="81"/>
      <w:bookmarkEnd w:id="82"/>
    </w:p>
    <w:p w14:paraId="77C5259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 投标人应具备承担本项目的资质条件、能力和信誉：见投标人须知前附表。</w:t>
      </w:r>
    </w:p>
    <w:p w14:paraId="3644721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1.4.2 投标人须知前附表规定接受联合体投标的，除应符合本章第1.4.1项的要求外，还应遵守以下规定： </w:t>
      </w:r>
    </w:p>
    <w:p w14:paraId="6285155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（1）联合体各方应按招标文件提供的格式签订联合体协议书，明确联合体牵头人和各方权利义务；</w:t>
      </w:r>
    </w:p>
    <w:p w14:paraId="4106564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（2）由同一专业的单位组成的联合体，按照资质等级较低的单位确定资质等级； </w:t>
      </w:r>
    </w:p>
    <w:p w14:paraId="306407E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（3）联合体各方不得再以自己名义单独或参加其他联合体在同一标段中投标。</w:t>
      </w:r>
    </w:p>
    <w:p w14:paraId="30B5B07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1.4.3投标人不得存在下列情形之一：</w:t>
      </w:r>
    </w:p>
    <w:p w14:paraId="2779FA3A">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（1）与采购人存在利害关系可能影响招标公正性的法人或其他组织；</w:t>
      </w:r>
    </w:p>
    <w:p w14:paraId="78E5F01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（2）接受委托参与项目前期咨询和招标文件编制的法人或其他组织； </w:t>
      </w:r>
    </w:p>
    <w:p w14:paraId="5ACD81B2">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（3）为该项目的投标人编制投标文件或者提供咨询的机构；</w:t>
      </w:r>
    </w:p>
    <w:p w14:paraId="58E420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（4）为本招标项目提供招标代理服务的； </w:t>
      </w:r>
    </w:p>
    <w:p w14:paraId="473662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（5）被责令停业的； </w:t>
      </w:r>
    </w:p>
    <w:p w14:paraId="0A278C1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（6）被暂停或取消投标资格的； </w:t>
      </w:r>
    </w:p>
    <w:p w14:paraId="30728A5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（7）财产被接管或冻结的；</w:t>
      </w:r>
    </w:p>
    <w:p w14:paraId="19C5522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（8）在最近三年内有骗取中标或严重违约或重大质量问题的</w:t>
      </w:r>
      <w:r>
        <w:rPr>
          <w:rFonts w:hint="eastAsia" w:ascii="宋体" w:hAnsi="宋体" w:cs="宋体"/>
          <w:color w:val="000000" w:themeColor="text1"/>
          <w:sz w:val="24"/>
          <w:szCs w:val="24"/>
          <w:lang w:eastAsia="zh-CN"/>
          <w14:textFill>
            <w14:solidFill>
              <w14:schemeClr w14:val="tx1"/>
            </w14:solidFill>
          </w14:textFill>
        </w:rPr>
        <w:t>；</w:t>
      </w:r>
    </w:p>
    <w:p w14:paraId="751C7715">
      <w:pPr>
        <w:pageBreakBefore w:val="0"/>
        <w:wordWrap/>
        <w:topLinePunct w:val="0"/>
        <w:autoSpaceDE/>
        <w:autoSpaceDN/>
        <w:bidi w:val="0"/>
        <w:adjustRightInd/>
        <w:spacing w:line="600" w:lineRule="exact"/>
        <w:ind w:firstLine="410" w:firstLineChars="171"/>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为本项目提供整体设计、规范编制或者项目管理、监理、检测等服务的供应商，不得再参与本项目投标。</w:t>
      </w:r>
    </w:p>
    <w:p w14:paraId="6CC4EC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1.4.4 单位负责人为同一人或者存在控股、管理关系的不同单位，不得同时参加本招标项目投标。</w:t>
      </w:r>
    </w:p>
    <w:p w14:paraId="5AD1F16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83" w:name="_Toc152045535"/>
      <w:bookmarkStart w:id="84" w:name="_Toc246996180"/>
      <w:bookmarkStart w:id="85" w:name="_Toc19113"/>
      <w:bookmarkStart w:id="86" w:name="_Toc247085694"/>
      <w:bookmarkStart w:id="87" w:name="_Toc152042311"/>
      <w:bookmarkStart w:id="88" w:name="_Toc10816"/>
      <w:bookmarkStart w:id="89" w:name="_Toc144974503"/>
      <w:bookmarkStart w:id="90" w:name="_Toc1757"/>
      <w:bookmarkStart w:id="91" w:name="_Toc246996923"/>
      <w:bookmarkStart w:id="92" w:name="_Toc179632552"/>
      <w:r>
        <w:rPr>
          <w:rFonts w:hint="eastAsia" w:ascii="宋体" w:hAnsi="宋体" w:eastAsia="宋体" w:cs="宋体"/>
          <w:color w:val="000000" w:themeColor="text1"/>
          <w:sz w:val="24"/>
          <w:szCs w:val="24"/>
          <w14:textFill>
            <w14:solidFill>
              <w14:schemeClr w14:val="tx1"/>
            </w14:solidFill>
          </w14:textFill>
        </w:rPr>
        <w:t>1.5 费用承担</w:t>
      </w:r>
      <w:bookmarkEnd w:id="83"/>
      <w:bookmarkEnd w:id="84"/>
      <w:bookmarkEnd w:id="85"/>
      <w:bookmarkEnd w:id="86"/>
      <w:bookmarkEnd w:id="87"/>
      <w:bookmarkEnd w:id="88"/>
      <w:bookmarkEnd w:id="89"/>
      <w:bookmarkEnd w:id="90"/>
      <w:bookmarkEnd w:id="91"/>
      <w:bookmarkEnd w:id="92"/>
    </w:p>
    <w:p w14:paraId="155CEA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投标人准备和参加投标活动发生的费用自理。</w:t>
      </w:r>
    </w:p>
    <w:p w14:paraId="4AC9C96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93" w:name="_Toc246996181"/>
      <w:bookmarkStart w:id="94" w:name="_Toc144974504"/>
      <w:bookmarkStart w:id="95" w:name="_Toc247085695"/>
      <w:bookmarkStart w:id="96" w:name="_Toc5909"/>
      <w:bookmarkStart w:id="97" w:name="_Toc179632553"/>
      <w:bookmarkStart w:id="98" w:name="_Toc152042312"/>
      <w:bookmarkStart w:id="99" w:name="_Toc246996924"/>
      <w:bookmarkStart w:id="100" w:name="_Toc152045536"/>
      <w:bookmarkStart w:id="101" w:name="_Toc3803"/>
      <w:bookmarkStart w:id="102" w:name="_Toc1605"/>
      <w:r>
        <w:rPr>
          <w:rFonts w:hint="eastAsia" w:ascii="宋体" w:hAnsi="宋体" w:eastAsia="宋体" w:cs="宋体"/>
          <w:color w:val="000000" w:themeColor="text1"/>
          <w:sz w:val="24"/>
          <w:szCs w:val="24"/>
          <w14:textFill>
            <w14:solidFill>
              <w14:schemeClr w14:val="tx1"/>
            </w14:solidFill>
          </w14:textFill>
        </w:rPr>
        <w:t>1.6 保密</w:t>
      </w:r>
      <w:bookmarkEnd w:id="93"/>
      <w:bookmarkEnd w:id="94"/>
      <w:bookmarkEnd w:id="95"/>
      <w:bookmarkEnd w:id="96"/>
      <w:bookmarkEnd w:id="97"/>
      <w:bookmarkEnd w:id="98"/>
      <w:bookmarkEnd w:id="99"/>
      <w:bookmarkEnd w:id="100"/>
      <w:bookmarkEnd w:id="101"/>
      <w:bookmarkEnd w:id="102"/>
    </w:p>
    <w:p w14:paraId="10A1FF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参与招标投标活动的各方应对招标文件和投标文件中的商业和技术等秘密保密，违者应对由此造成的后果承担法律责任。 </w:t>
      </w:r>
    </w:p>
    <w:p w14:paraId="7142885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03" w:name="_Toc144974505"/>
      <w:bookmarkStart w:id="104" w:name="_Toc152042313"/>
      <w:bookmarkStart w:id="105" w:name="_Toc152045537"/>
      <w:bookmarkStart w:id="106" w:name="_Toc247085696"/>
      <w:bookmarkStart w:id="107" w:name="_Toc179632554"/>
      <w:bookmarkStart w:id="108" w:name="_Toc5424"/>
      <w:bookmarkStart w:id="109" w:name="_Toc246996182"/>
      <w:bookmarkStart w:id="110" w:name="_Toc977"/>
      <w:bookmarkStart w:id="111" w:name="_Toc24696"/>
      <w:bookmarkStart w:id="112" w:name="_Toc246996925"/>
      <w:r>
        <w:rPr>
          <w:rFonts w:hint="eastAsia" w:ascii="宋体" w:hAnsi="宋体" w:eastAsia="宋体" w:cs="宋体"/>
          <w:color w:val="000000" w:themeColor="text1"/>
          <w:sz w:val="24"/>
          <w:szCs w:val="24"/>
          <w14:textFill>
            <w14:solidFill>
              <w14:schemeClr w14:val="tx1"/>
            </w14:solidFill>
          </w14:textFill>
        </w:rPr>
        <w:t>1.7 语言</w:t>
      </w:r>
      <w:bookmarkEnd w:id="103"/>
      <w:r>
        <w:rPr>
          <w:rFonts w:hint="eastAsia" w:ascii="宋体" w:hAnsi="宋体" w:eastAsia="宋体" w:cs="宋体"/>
          <w:color w:val="000000" w:themeColor="text1"/>
          <w:sz w:val="24"/>
          <w:szCs w:val="24"/>
          <w14:textFill>
            <w14:solidFill>
              <w14:schemeClr w14:val="tx1"/>
            </w14:solidFill>
          </w14:textFill>
        </w:rPr>
        <w:t>文字</w:t>
      </w:r>
      <w:bookmarkEnd w:id="104"/>
      <w:bookmarkEnd w:id="105"/>
      <w:bookmarkEnd w:id="106"/>
      <w:bookmarkEnd w:id="107"/>
      <w:bookmarkEnd w:id="108"/>
      <w:bookmarkEnd w:id="109"/>
      <w:bookmarkEnd w:id="110"/>
      <w:bookmarkEnd w:id="111"/>
      <w:bookmarkEnd w:id="112"/>
    </w:p>
    <w:p w14:paraId="3A21A8E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13" w:name="_Toc152045538"/>
      <w:bookmarkStart w:id="114" w:name="_Toc246996926"/>
      <w:bookmarkStart w:id="115" w:name="_Toc246996183"/>
      <w:bookmarkStart w:id="116" w:name="_Toc247085697"/>
      <w:bookmarkStart w:id="117" w:name="_Toc144974506"/>
      <w:bookmarkStart w:id="118" w:name="_Toc152042314"/>
      <w:bookmarkStart w:id="119" w:name="_Toc179632555"/>
      <w:r>
        <w:rPr>
          <w:rFonts w:hint="eastAsia" w:ascii="宋体" w:hAnsi="宋体" w:eastAsia="宋体" w:cs="宋体"/>
          <w:color w:val="000000" w:themeColor="text1"/>
          <w:sz w:val="24"/>
          <w:szCs w:val="24"/>
          <w14:textFill>
            <w14:solidFill>
              <w14:schemeClr w14:val="tx1"/>
            </w14:solidFill>
          </w14:textFill>
        </w:rPr>
        <w:t>招标投标文件使用的语言文字为中文。专用术语使用外文的，应附有中文注释。</w:t>
      </w:r>
    </w:p>
    <w:p w14:paraId="4CF456E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0" w:name="_Toc9225"/>
      <w:bookmarkStart w:id="121" w:name="_Toc23391"/>
      <w:bookmarkStart w:id="122" w:name="_Toc13990"/>
      <w:r>
        <w:rPr>
          <w:rFonts w:hint="eastAsia" w:ascii="宋体" w:hAnsi="宋体" w:eastAsia="宋体" w:cs="宋体"/>
          <w:color w:val="000000" w:themeColor="text1"/>
          <w:sz w:val="24"/>
          <w:szCs w:val="24"/>
          <w14:textFill>
            <w14:solidFill>
              <w14:schemeClr w14:val="tx1"/>
            </w14:solidFill>
          </w14:textFill>
        </w:rPr>
        <w:t>1.8 计量单位</w:t>
      </w:r>
      <w:bookmarkEnd w:id="113"/>
      <w:bookmarkEnd w:id="114"/>
      <w:bookmarkEnd w:id="115"/>
      <w:bookmarkEnd w:id="116"/>
      <w:bookmarkEnd w:id="117"/>
      <w:bookmarkEnd w:id="118"/>
      <w:bookmarkEnd w:id="119"/>
      <w:bookmarkEnd w:id="120"/>
      <w:bookmarkEnd w:id="121"/>
      <w:bookmarkEnd w:id="122"/>
    </w:p>
    <w:p w14:paraId="78D8E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所有计量均采用中华人民共和国法定计量单位。</w:t>
      </w:r>
    </w:p>
    <w:p w14:paraId="51BEEEB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23" w:name="_Toc19468"/>
      <w:bookmarkStart w:id="124" w:name="_Toc152042315"/>
      <w:bookmarkStart w:id="125" w:name="_Toc247592876"/>
      <w:bookmarkStart w:id="126" w:name="_Toc247527563"/>
      <w:bookmarkStart w:id="127" w:name="_Toc27993"/>
      <w:bookmarkStart w:id="128" w:name="_Toc22945"/>
      <w:bookmarkStart w:id="129" w:name="_Toc144974507"/>
      <w:bookmarkStart w:id="130" w:name="_Toc152045539"/>
      <w:bookmarkStart w:id="131" w:name="_Toc247513962"/>
      <w:r>
        <w:rPr>
          <w:rFonts w:hint="eastAsia" w:ascii="宋体" w:hAnsi="宋体" w:eastAsia="宋体" w:cs="宋体"/>
          <w:color w:val="000000" w:themeColor="text1"/>
          <w:sz w:val="24"/>
          <w:szCs w:val="24"/>
          <w14:textFill>
            <w14:solidFill>
              <w14:schemeClr w14:val="tx1"/>
            </w14:solidFill>
          </w14:textFill>
        </w:rPr>
        <w:t>1.9 踏勘现场</w:t>
      </w:r>
      <w:bookmarkEnd w:id="123"/>
      <w:bookmarkEnd w:id="124"/>
      <w:bookmarkEnd w:id="125"/>
      <w:bookmarkEnd w:id="126"/>
      <w:bookmarkEnd w:id="127"/>
      <w:bookmarkEnd w:id="128"/>
      <w:bookmarkEnd w:id="129"/>
      <w:bookmarkEnd w:id="130"/>
      <w:bookmarkEnd w:id="131"/>
    </w:p>
    <w:p w14:paraId="0EA1D7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1.9.1 投标人须知前附表规定组织踏勘现场的，采购人按投标人须知前附表规定的时间、地点组织投标人踏勘项目现场。 </w:t>
      </w:r>
    </w:p>
    <w:p w14:paraId="2AEBE2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 投标人踏勘现场发生的费用自理。</w:t>
      </w:r>
    </w:p>
    <w:p w14:paraId="3D57AD9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32" w:name="_Toc144974508"/>
      <w:bookmarkStart w:id="133" w:name="_Toc247513963"/>
      <w:bookmarkStart w:id="134" w:name="_Toc247527564"/>
      <w:bookmarkStart w:id="135" w:name="_Toc30092"/>
      <w:bookmarkStart w:id="136" w:name="_Toc247592877"/>
      <w:bookmarkStart w:id="137" w:name="_Toc80"/>
      <w:bookmarkStart w:id="138" w:name="_Toc3757"/>
      <w:bookmarkStart w:id="139" w:name="_Toc152042316"/>
      <w:bookmarkStart w:id="140" w:name="_Toc152045540"/>
      <w:r>
        <w:rPr>
          <w:rFonts w:hint="eastAsia" w:ascii="宋体" w:hAnsi="宋体" w:eastAsia="宋体" w:cs="宋体"/>
          <w:color w:val="000000" w:themeColor="text1"/>
          <w:sz w:val="24"/>
          <w:szCs w:val="24"/>
          <w14:textFill>
            <w14:solidFill>
              <w14:schemeClr w14:val="tx1"/>
            </w14:solidFill>
          </w14:textFill>
        </w:rPr>
        <w:t>1.10 投标预备会</w:t>
      </w:r>
      <w:bookmarkEnd w:id="132"/>
      <w:bookmarkEnd w:id="133"/>
      <w:bookmarkEnd w:id="134"/>
      <w:bookmarkEnd w:id="135"/>
      <w:bookmarkEnd w:id="136"/>
      <w:bookmarkEnd w:id="137"/>
      <w:bookmarkEnd w:id="138"/>
      <w:bookmarkEnd w:id="139"/>
      <w:bookmarkEnd w:id="140"/>
    </w:p>
    <w:p w14:paraId="6FAF11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141" w:name="_Toc11626"/>
      <w:bookmarkStart w:id="142" w:name="_Toc4429"/>
      <w:r>
        <w:rPr>
          <w:rFonts w:hint="eastAsia" w:ascii="宋体" w:hAnsi="宋体" w:eastAsia="宋体" w:cs="宋体"/>
          <w:color w:val="000000" w:themeColor="text1"/>
          <w:sz w:val="24"/>
          <w:szCs w:val="24"/>
          <w14:textFill>
            <w14:solidFill>
              <w14:schemeClr w14:val="tx1"/>
            </w14:solidFill>
          </w14:textFill>
        </w:rPr>
        <w:t>1.10.1 投标人须知前附表规定召开投标预备会的，采购人按投标人须知前附表规定的时间和地点召开投标预备会，澄清投标人提出的问题。</w:t>
      </w:r>
    </w:p>
    <w:p w14:paraId="609FEC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1.10.2 投标人应在投标人须知前附表规定的时间前，以书面形式将提出的问题送达采购人，以便采购人在会议期间澄清。</w:t>
      </w:r>
    </w:p>
    <w:p w14:paraId="1D4832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1.10.3采购人书面澄清的时间：见投标人须知前附表。</w:t>
      </w:r>
    </w:p>
    <w:p w14:paraId="773C6E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1.10.4购买招标文件的时间、地点：见投标人须知前附表。</w:t>
      </w:r>
    </w:p>
    <w:bookmarkEnd w:id="141"/>
    <w:bookmarkEnd w:id="142"/>
    <w:p w14:paraId="286CCFA1">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bookmarkStart w:id="143" w:name="_Toc179632560"/>
      <w:bookmarkStart w:id="144" w:name="_Toc31978"/>
      <w:bookmarkStart w:id="145" w:name="_Toc144974510"/>
      <w:bookmarkStart w:id="146" w:name="_Toc13281"/>
      <w:bookmarkStart w:id="147" w:name="_Toc246996930"/>
      <w:bookmarkStart w:id="148" w:name="_Toc152042318"/>
      <w:bookmarkStart w:id="149" w:name="_Toc246996187"/>
      <w:bookmarkStart w:id="150" w:name="_Toc18581"/>
      <w:bookmarkStart w:id="151" w:name="_Toc247085701"/>
      <w:bookmarkStart w:id="152" w:name="_Toc152045542"/>
      <w:r>
        <w:rPr>
          <w:rFonts w:hint="eastAsia" w:ascii="宋体" w:hAnsi="宋体" w:eastAsia="宋体" w:cs="宋体"/>
          <w:b/>
          <w:bCs/>
          <w:color w:val="000000" w:themeColor="text1"/>
          <w:sz w:val="24"/>
          <w:szCs w:val="24"/>
          <w:lang w:val="en-US" w:eastAsia="zh-CN"/>
          <w14:textFill>
            <w14:solidFill>
              <w14:schemeClr w14:val="tx1"/>
            </w14:solidFill>
          </w14:textFill>
        </w:rPr>
        <w:t>1.11 关于同一品牌产品的处理</w:t>
      </w:r>
    </w:p>
    <w:p w14:paraId="6C7313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1.11.1.单一产品采购项目中，提供相同品牌的产品的不同供应商参加同一合同项下投标的，提供相同品牌产品且通过资格审查、符合性审查的不同供应商，按一家供应商计算，评审后得分最高的同品牌供应商获得中标（成交）供应商推荐资格；评审得分相同的，由评标委员会按照最后报价最低的方式确定一个获得中标（成交）供应商推荐资格，其他同品牌供应商不作为中标（成交）候选人。</w:t>
      </w:r>
    </w:p>
    <w:p w14:paraId="1356797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1.11.2.非单一产品采购项目，采购人将根据采购项目技术构成、产品价格比重等因素确定核心产品（可能不止一种），并在招标文件中载明。提供相同品牌的核心产品且通过资格审查、符合性审查的不同供应商参加同一合同项下投标的，按一家供应商计算，评审后得分最高的同品牌供应商获得中标（成交）供应商推荐资格；评审得分相同的，由评标委员会按照投标报价最低的方式确定一个获得中标（成交）供应商推荐资格，其他同品牌供应商不作为中标（成交）候选人。</w:t>
      </w:r>
    </w:p>
    <w:p w14:paraId="696FC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1.11.3.核心产品为两个以上时，多家供应商提供的核心产品有部分采用或全部采用相同品牌的，按一家供应商计算。</w:t>
      </w:r>
    </w:p>
    <w:p w14:paraId="2F4DAC58">
      <w:pPr>
        <w:bidi w:val="0"/>
        <w:jc w:val="center"/>
        <w:rPr>
          <w:rFonts w:hint="eastAsia" w:ascii="宋体" w:hAnsi="宋体" w:eastAsia="宋体" w:cs="宋体"/>
          <w:b/>
          <w:bCs/>
          <w:i w:val="0"/>
          <w:iCs w:val="0"/>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14:textFill>
            <w14:solidFill>
              <w14:schemeClr w14:val="tx1"/>
            </w14:solidFill>
          </w14:textFill>
        </w:rPr>
        <w:t>2. 招标文件</w:t>
      </w:r>
      <w:bookmarkEnd w:id="143"/>
      <w:bookmarkEnd w:id="144"/>
      <w:bookmarkEnd w:id="145"/>
      <w:bookmarkEnd w:id="146"/>
      <w:bookmarkEnd w:id="147"/>
      <w:bookmarkEnd w:id="148"/>
      <w:bookmarkEnd w:id="149"/>
      <w:bookmarkEnd w:id="150"/>
      <w:bookmarkEnd w:id="151"/>
      <w:bookmarkEnd w:id="152"/>
    </w:p>
    <w:p w14:paraId="1DACE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53" w:name="_Toc152045543"/>
      <w:bookmarkStart w:id="154" w:name="_Toc25465"/>
      <w:bookmarkStart w:id="155" w:name="_Toc9862"/>
      <w:bookmarkStart w:id="156" w:name="_Toc29070"/>
      <w:bookmarkStart w:id="157" w:name="_Toc152042319"/>
      <w:bookmarkStart w:id="158" w:name="_Toc144974511"/>
      <w:bookmarkStart w:id="159" w:name="_Toc246996188"/>
      <w:bookmarkStart w:id="160" w:name="_Toc179632561"/>
      <w:bookmarkStart w:id="161" w:name="_Toc246996931"/>
      <w:bookmarkStart w:id="162" w:name="_Toc247085702"/>
      <w:r>
        <w:rPr>
          <w:rFonts w:hint="eastAsia" w:ascii="宋体" w:hAnsi="宋体" w:eastAsia="宋体" w:cs="宋体"/>
          <w:color w:val="000000" w:themeColor="text1"/>
          <w:sz w:val="24"/>
          <w:szCs w:val="24"/>
          <w14:textFill>
            <w14:solidFill>
              <w14:schemeClr w14:val="tx1"/>
            </w14:solidFill>
          </w14:textFill>
        </w:rPr>
        <w:t>2.1 招标文件的组成</w:t>
      </w:r>
      <w:bookmarkEnd w:id="153"/>
      <w:bookmarkEnd w:id="154"/>
      <w:bookmarkEnd w:id="155"/>
      <w:bookmarkEnd w:id="156"/>
      <w:bookmarkEnd w:id="157"/>
      <w:bookmarkEnd w:id="158"/>
      <w:bookmarkEnd w:id="159"/>
      <w:bookmarkEnd w:id="160"/>
      <w:bookmarkEnd w:id="161"/>
      <w:bookmarkEnd w:id="162"/>
    </w:p>
    <w:p w14:paraId="6A8A08D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2.1.1 本招标文件包括：</w:t>
      </w:r>
    </w:p>
    <w:p w14:paraId="129A9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第一章 招标公告；</w:t>
      </w:r>
    </w:p>
    <w:p w14:paraId="0AE826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第二章 投标人须知；</w:t>
      </w:r>
    </w:p>
    <w:p w14:paraId="1531C5E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第三章 投标人资格证明文件及审核</w:t>
      </w:r>
      <w:r>
        <w:rPr>
          <w:rFonts w:hint="eastAsia" w:ascii="宋体" w:hAnsi="宋体" w:eastAsia="宋体" w:cs="宋体"/>
          <w:color w:val="000000" w:themeColor="text1"/>
          <w:sz w:val="24"/>
          <w:szCs w:val="24"/>
          <w:lang w:eastAsia="zh-CN"/>
          <w14:textFill>
            <w14:solidFill>
              <w14:schemeClr w14:val="tx1"/>
            </w14:solidFill>
          </w14:textFill>
        </w:rPr>
        <w:t>；</w:t>
      </w:r>
    </w:p>
    <w:p w14:paraId="2C03F4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第四章 评标办法前附表及评标办法；</w:t>
      </w:r>
    </w:p>
    <w:p w14:paraId="2402EFD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第五章 合同（拟签订</w:t>
      </w:r>
      <w:r>
        <w:rPr>
          <w:rFonts w:hint="eastAsia" w:ascii="宋体" w:hAnsi="宋体" w:cs="宋体"/>
          <w:color w:val="000000" w:themeColor="text1"/>
          <w:sz w:val="24"/>
          <w:szCs w:val="24"/>
          <w:lang w:val="en-US"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文本）；</w:t>
      </w:r>
    </w:p>
    <w:p w14:paraId="02C5578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第六章 技术要求；</w:t>
      </w:r>
    </w:p>
    <w:p w14:paraId="23378E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第七章 投标文件格式。</w:t>
      </w:r>
    </w:p>
    <w:p w14:paraId="69EF106F">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2.1.2 根据本章第1.10款、第2.2款和第2.3款对招标文件所作的澄清、修改，构成招标文件的组成部分。</w:t>
      </w:r>
    </w:p>
    <w:p w14:paraId="3B220C1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7615C56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2.1.4招标文件由</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登记发售，一经售出，恕不能退。</w:t>
      </w:r>
    </w:p>
    <w:p w14:paraId="1B3A4D20">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2.1.5投标人不得擅自转让、变卖或复制招标文件进行投标。</w:t>
      </w:r>
    </w:p>
    <w:p w14:paraId="1B8F5F9E">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2.1.6招标文件的解释权归</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75BC85A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63" w:name="_Toc19400"/>
      <w:bookmarkStart w:id="164" w:name="_Toc152042320"/>
      <w:bookmarkStart w:id="165" w:name="_Toc179632562"/>
      <w:bookmarkStart w:id="166" w:name="_Toc25646"/>
      <w:bookmarkStart w:id="167" w:name="_Toc9540"/>
      <w:bookmarkStart w:id="168" w:name="_Toc247085703"/>
      <w:bookmarkStart w:id="169" w:name="_Toc144974512"/>
      <w:bookmarkStart w:id="170" w:name="_Toc246996932"/>
      <w:bookmarkStart w:id="171" w:name="_Toc152045544"/>
      <w:bookmarkStart w:id="172" w:name="_Toc246996189"/>
      <w:r>
        <w:rPr>
          <w:rFonts w:hint="eastAsia" w:ascii="宋体" w:hAnsi="宋体" w:eastAsia="宋体" w:cs="宋体"/>
          <w:color w:val="000000" w:themeColor="text1"/>
          <w:sz w:val="24"/>
          <w:szCs w:val="24"/>
          <w14:textFill>
            <w14:solidFill>
              <w14:schemeClr w14:val="tx1"/>
            </w14:solidFill>
          </w14:textFill>
        </w:rPr>
        <w:t>2.2 招标文件的澄清</w:t>
      </w:r>
      <w:bookmarkEnd w:id="163"/>
      <w:bookmarkEnd w:id="164"/>
      <w:bookmarkEnd w:id="165"/>
      <w:bookmarkEnd w:id="166"/>
      <w:bookmarkEnd w:id="167"/>
      <w:bookmarkEnd w:id="168"/>
      <w:bookmarkEnd w:id="169"/>
      <w:bookmarkEnd w:id="170"/>
      <w:bookmarkEnd w:id="171"/>
      <w:bookmarkEnd w:id="172"/>
      <w:r>
        <w:rPr>
          <w:rFonts w:hint="eastAsia" w:ascii="宋体" w:hAnsi="宋体" w:eastAsia="宋体" w:cs="宋体"/>
          <w:color w:val="000000" w:themeColor="text1"/>
          <w:sz w:val="24"/>
          <w:szCs w:val="24"/>
          <w14:textFill>
            <w14:solidFill>
              <w14:schemeClr w14:val="tx1"/>
            </w14:solidFill>
          </w14:textFill>
        </w:rPr>
        <w:t xml:space="preserve"> </w:t>
      </w:r>
    </w:p>
    <w:p w14:paraId="22E0B9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 投标人应仔细阅读和检查招标文件的全部内容。如发现缺页或附件不全，应及时向采购人提出，以便补齐。如有疑问，应在投标人须知前附表规定的时间前以书面形式（包括信函、电报、传真等可以有形地表现所载内容的形式，下同），要求采购人对招标文件予以澄清，逾期将失去提出异议的权利；</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在投标截止时间</w:t>
      </w:r>
      <w:r>
        <w:rPr>
          <w:rFonts w:hint="eastAsia" w:ascii="宋体" w:hAnsi="宋体" w:cs="宋体"/>
          <w:color w:val="000000" w:themeColor="text1"/>
          <w:sz w:val="24"/>
          <w:szCs w:val="24"/>
          <w:lang w:val="en-US" w:eastAsia="zh-CN"/>
          <w14:textFill>
            <w14:solidFill>
              <w14:schemeClr w14:val="tx1"/>
            </w14:solidFill>
          </w14:textFill>
        </w:rPr>
        <w:t>十五</w:t>
      </w:r>
      <w:r>
        <w:rPr>
          <w:rFonts w:hint="eastAsia" w:ascii="宋体" w:hAnsi="宋体" w:eastAsia="宋体" w:cs="宋体"/>
          <w:color w:val="000000" w:themeColor="text1"/>
          <w:sz w:val="24"/>
          <w:szCs w:val="24"/>
          <w14:textFill>
            <w14:solidFill>
              <w14:schemeClr w14:val="tx1"/>
            </w14:solidFill>
          </w14:textFill>
        </w:rPr>
        <w:t>日前以书面形式予以答复；必要时将书面答复传送给所有招标文件收受人。投标人在收到该澄清文件后应于一日内，以书面形式予以确认，该澄清、修改或补正的内容作为招标文件的组成部分，具有约束作用。</w:t>
      </w:r>
    </w:p>
    <w:p w14:paraId="09C767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 投标截止时间：</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可对已发出的招标文件进行必要的修改、澄清或补正，修改、澄清或补正的内容在投标截止时间十五日前，在财政部门指定的政府采购信息发布媒体上发布更正公告，并以书面形式通知所有招标文件收受人，该澄清或修改的内容为招标文件的组成部分。</w:t>
      </w:r>
    </w:p>
    <w:p w14:paraId="07617D0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2.2.3招标文件的澄清将以书面形式发给所有购买招标文件的投标人，但不指明澄清问题的来源。如果澄清发出的时间距投标人须知前附表规定的投标截止时间不足15天，并且澄清内容影响投标文件编制的，将相应延长投标截止时间。 </w:t>
      </w:r>
    </w:p>
    <w:p w14:paraId="0BDC0AE4">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73" w:name="_Toc144974513"/>
      <w:bookmarkStart w:id="174" w:name="_Toc152045545"/>
      <w:bookmarkStart w:id="175" w:name="_Toc179632563"/>
      <w:bookmarkStart w:id="176" w:name="_Toc27203"/>
      <w:bookmarkStart w:id="177" w:name="_Toc247085704"/>
      <w:bookmarkStart w:id="178" w:name="_Toc246996190"/>
      <w:bookmarkStart w:id="179" w:name="_Toc13614"/>
      <w:bookmarkStart w:id="180" w:name="_Toc32623"/>
      <w:bookmarkStart w:id="181" w:name="_Toc246996933"/>
      <w:bookmarkStart w:id="182" w:name="_Toc152042321"/>
      <w:r>
        <w:rPr>
          <w:rFonts w:hint="eastAsia" w:ascii="宋体" w:hAnsi="宋体" w:eastAsia="宋体" w:cs="宋体"/>
          <w:color w:val="000000" w:themeColor="text1"/>
          <w:sz w:val="24"/>
          <w:szCs w:val="24"/>
          <w14:textFill>
            <w14:solidFill>
              <w14:schemeClr w14:val="tx1"/>
            </w14:solidFill>
          </w14:textFill>
        </w:rPr>
        <w:t>2.3 招标文件的修改</w:t>
      </w:r>
      <w:bookmarkEnd w:id="173"/>
      <w:bookmarkEnd w:id="174"/>
      <w:bookmarkEnd w:id="175"/>
      <w:bookmarkEnd w:id="176"/>
      <w:bookmarkEnd w:id="177"/>
      <w:bookmarkEnd w:id="178"/>
      <w:bookmarkEnd w:id="179"/>
      <w:bookmarkEnd w:id="180"/>
      <w:bookmarkEnd w:id="181"/>
      <w:bookmarkEnd w:id="182"/>
    </w:p>
    <w:p w14:paraId="3711E81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2.3.1招标文件的澄清、修改、补充等内容均以书面形式明确的内容为准。当招标文件、招标文件的澄清、修改、补充等在同一内容的表述不一致时，以最后发出的书面文件为准。</w:t>
      </w:r>
    </w:p>
    <w:p w14:paraId="0FB625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2.3.2投标人确认收到招标文件修改的时间：见投标人须知前附表。</w:t>
      </w:r>
      <w:bookmarkStart w:id="183" w:name="_Toc144974514"/>
      <w:bookmarkStart w:id="184" w:name="_Toc8058"/>
      <w:bookmarkStart w:id="185" w:name="_Toc247085705"/>
      <w:bookmarkStart w:id="186" w:name="_Toc179632564"/>
      <w:bookmarkStart w:id="187" w:name="_Toc246996934"/>
      <w:bookmarkStart w:id="188" w:name="_Toc7461"/>
      <w:bookmarkStart w:id="189" w:name="_Toc152045546"/>
      <w:bookmarkStart w:id="190" w:name="_Toc23378"/>
      <w:bookmarkStart w:id="191" w:name="_Toc246996191"/>
      <w:bookmarkStart w:id="192" w:name="_Toc152042322"/>
    </w:p>
    <w:p w14:paraId="3F3F53A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 投标文件</w:t>
      </w:r>
      <w:bookmarkEnd w:id="183"/>
      <w:bookmarkEnd w:id="184"/>
      <w:bookmarkEnd w:id="185"/>
      <w:bookmarkEnd w:id="186"/>
      <w:bookmarkEnd w:id="187"/>
      <w:bookmarkEnd w:id="188"/>
      <w:bookmarkEnd w:id="189"/>
      <w:bookmarkEnd w:id="190"/>
      <w:bookmarkEnd w:id="191"/>
      <w:bookmarkEnd w:id="192"/>
    </w:p>
    <w:p w14:paraId="1D5D72C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193" w:name="_Toc247085706"/>
      <w:bookmarkStart w:id="194" w:name="_Toc246996935"/>
      <w:bookmarkStart w:id="195" w:name="_Toc246996192"/>
      <w:bookmarkStart w:id="196" w:name="_Toc152045547"/>
      <w:bookmarkStart w:id="197" w:name="_Toc179632565"/>
      <w:bookmarkStart w:id="198" w:name="_Toc28974"/>
      <w:bookmarkStart w:id="199" w:name="_Toc27247"/>
      <w:bookmarkStart w:id="200" w:name="_Toc152042323"/>
      <w:bookmarkStart w:id="201" w:name="_Toc144974515"/>
      <w:bookmarkStart w:id="202" w:name="_Toc237"/>
      <w:r>
        <w:rPr>
          <w:rFonts w:hint="eastAsia" w:ascii="宋体" w:hAnsi="宋体" w:eastAsia="宋体" w:cs="宋体"/>
          <w:color w:val="000000" w:themeColor="text1"/>
          <w:sz w:val="24"/>
          <w:szCs w:val="24"/>
          <w14:textFill>
            <w14:solidFill>
              <w14:schemeClr w14:val="tx1"/>
            </w14:solidFill>
          </w14:textFill>
        </w:rPr>
        <w:t>3.1 投标文件的组成</w:t>
      </w:r>
      <w:bookmarkEnd w:id="193"/>
      <w:bookmarkEnd w:id="194"/>
      <w:bookmarkEnd w:id="195"/>
      <w:bookmarkEnd w:id="196"/>
      <w:bookmarkEnd w:id="197"/>
      <w:bookmarkEnd w:id="198"/>
      <w:bookmarkEnd w:id="199"/>
      <w:bookmarkEnd w:id="200"/>
      <w:bookmarkEnd w:id="201"/>
      <w:bookmarkEnd w:id="202"/>
    </w:p>
    <w:p w14:paraId="2D9452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03" w:name="_Toc28739"/>
      <w:bookmarkStart w:id="204" w:name="_Toc4527"/>
      <w:bookmarkStart w:id="205" w:name="_Toc247085707"/>
      <w:bookmarkStart w:id="206" w:name="_Toc144974516"/>
      <w:bookmarkStart w:id="207" w:name="_Toc10240"/>
      <w:bookmarkStart w:id="208" w:name="_Toc179632566"/>
      <w:bookmarkStart w:id="209" w:name="_Toc152042324"/>
      <w:bookmarkStart w:id="210" w:name="_Toc246996936"/>
      <w:bookmarkStart w:id="211" w:name="_Toc246996193"/>
      <w:bookmarkStart w:id="212" w:name="_Toc152045548"/>
      <w:r>
        <w:rPr>
          <w:rFonts w:hint="eastAsia" w:ascii="宋体" w:hAnsi="宋体" w:eastAsia="宋体" w:cs="宋体"/>
          <w:color w:val="000000" w:themeColor="text1"/>
          <w:sz w:val="24"/>
          <w:szCs w:val="24"/>
          <w14:textFill>
            <w14:solidFill>
              <w14:schemeClr w14:val="tx1"/>
            </w14:solidFill>
          </w14:textFill>
        </w:rPr>
        <w:t>3.1.</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投标文件主要包括以下内容：</w:t>
      </w:r>
    </w:p>
    <w:p w14:paraId="36F1A9A4">
      <w:pPr>
        <w:pageBreakBefore w:val="0"/>
        <w:numPr>
          <w:ilvl w:val="0"/>
          <w:numId w:val="3"/>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资格证明文件</w:t>
      </w:r>
    </w:p>
    <w:p w14:paraId="0600947D">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投标函</w:t>
      </w:r>
    </w:p>
    <w:p w14:paraId="2487717A">
      <w:pPr>
        <w:pageBreakBefore w:val="0"/>
        <w:numPr>
          <w:ilvl w:val="0"/>
          <w:numId w:val="3"/>
        </w:numPr>
        <w:wordWrap/>
        <w:topLinePunct w:val="0"/>
        <w:autoSpaceDE/>
        <w:autoSpaceDN/>
        <w:bidi w:val="0"/>
        <w:adjustRightInd/>
        <w:spacing w:line="600" w:lineRule="exact"/>
        <w:ind w:left="0" w:leftChars="0"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开标一览表</w:t>
      </w:r>
    </w:p>
    <w:p w14:paraId="13CFFBF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四、投标</w:t>
      </w:r>
      <w:r>
        <w:rPr>
          <w:rFonts w:hint="eastAsia" w:ascii="宋体" w:hAnsi="宋体" w:eastAsia="宋体" w:cs="宋体"/>
          <w:b w:val="0"/>
          <w:bCs w:val="0"/>
          <w:color w:val="000000" w:themeColor="text1"/>
          <w:sz w:val="24"/>
          <w:szCs w:val="24"/>
          <w:lang w:eastAsia="zh-CN"/>
          <w14:textFill>
            <w14:solidFill>
              <w14:schemeClr w14:val="tx1"/>
            </w14:solidFill>
          </w14:textFill>
        </w:rPr>
        <w:t>分项报价表</w:t>
      </w:r>
    </w:p>
    <w:p w14:paraId="450E589E">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五、</w:t>
      </w:r>
      <w:r>
        <w:rPr>
          <w:rFonts w:hint="eastAsia" w:ascii="宋体" w:hAnsi="宋体" w:eastAsia="宋体" w:cs="宋体"/>
          <w:b w:val="0"/>
          <w:bCs w:val="0"/>
          <w:color w:val="000000" w:themeColor="text1"/>
          <w:sz w:val="24"/>
          <w:szCs w:val="24"/>
          <w:lang w:eastAsia="zh-CN"/>
          <w14:textFill>
            <w14:solidFill>
              <w14:schemeClr w14:val="tx1"/>
            </w14:solidFill>
          </w14:textFill>
        </w:rPr>
        <w:t>偏离表</w:t>
      </w:r>
    </w:p>
    <w:p w14:paraId="5BF054AF">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六</w:t>
      </w:r>
      <w:r>
        <w:rPr>
          <w:rFonts w:hint="eastAsia" w:ascii="宋体" w:hAnsi="宋体" w:eastAsia="宋体" w:cs="宋体"/>
          <w:b w:val="0"/>
          <w:bCs w:val="0"/>
          <w:color w:val="000000" w:themeColor="text1"/>
          <w:sz w:val="24"/>
          <w:szCs w:val="24"/>
          <w14:textFill>
            <w14:solidFill>
              <w14:schemeClr w14:val="tx1"/>
            </w14:solidFill>
          </w14:textFill>
        </w:rPr>
        <w:t>、陕西省政府采购供应商拒绝政府采购领域商业贿赂承诺书</w:t>
      </w:r>
    </w:p>
    <w:p w14:paraId="7F49E727">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七</w:t>
      </w:r>
      <w:r>
        <w:rPr>
          <w:rFonts w:hint="eastAsia" w:ascii="宋体" w:hAnsi="宋体" w:eastAsia="宋体" w:cs="宋体"/>
          <w:b w:val="0"/>
          <w:bCs w:val="0"/>
          <w:color w:val="000000" w:themeColor="text1"/>
          <w:sz w:val="24"/>
          <w:szCs w:val="24"/>
          <w14:textFill>
            <w14:solidFill>
              <w14:schemeClr w14:val="tx1"/>
            </w14:solidFill>
          </w14:textFill>
        </w:rPr>
        <w:t>、技术部分响应内容</w:t>
      </w:r>
    </w:p>
    <w:p w14:paraId="15E99606">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八</w:t>
      </w:r>
      <w:r>
        <w:rPr>
          <w:rFonts w:hint="eastAsia" w:ascii="宋体" w:hAnsi="宋体" w:eastAsia="宋体" w:cs="宋体"/>
          <w:b w:val="0"/>
          <w:bCs w:val="0"/>
          <w:color w:val="000000" w:themeColor="text1"/>
          <w:sz w:val="24"/>
          <w:szCs w:val="24"/>
          <w14:textFill>
            <w14:solidFill>
              <w14:schemeClr w14:val="tx1"/>
            </w14:solidFill>
          </w14:textFill>
        </w:rPr>
        <w:t>、商务部分响应内容</w:t>
      </w:r>
    </w:p>
    <w:p w14:paraId="4B3971A3">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九</w:t>
      </w:r>
      <w:r>
        <w:rPr>
          <w:rFonts w:hint="eastAsia" w:ascii="宋体" w:hAnsi="宋体" w:eastAsia="宋体" w:cs="宋体"/>
          <w:b w:val="0"/>
          <w:bCs w:val="0"/>
          <w:color w:val="000000" w:themeColor="text1"/>
          <w:sz w:val="24"/>
          <w:szCs w:val="24"/>
          <w14:textFill>
            <w14:solidFill>
              <w14:schemeClr w14:val="tx1"/>
            </w14:solidFill>
          </w14:textFill>
        </w:rPr>
        <w:t>、其他资料</w:t>
      </w:r>
    </w:p>
    <w:p w14:paraId="7DF0474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 投标报价</w:t>
      </w:r>
      <w:bookmarkEnd w:id="203"/>
      <w:bookmarkEnd w:id="204"/>
      <w:bookmarkEnd w:id="205"/>
      <w:bookmarkEnd w:id="206"/>
      <w:bookmarkEnd w:id="207"/>
      <w:bookmarkEnd w:id="208"/>
      <w:bookmarkEnd w:id="209"/>
      <w:bookmarkEnd w:id="210"/>
      <w:bookmarkEnd w:id="211"/>
      <w:bookmarkEnd w:id="212"/>
    </w:p>
    <w:p w14:paraId="27B592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13" w:name="_Toc179632567"/>
      <w:bookmarkStart w:id="214" w:name="_Toc246996937"/>
      <w:bookmarkStart w:id="215" w:name="_Toc18722"/>
      <w:bookmarkStart w:id="216" w:name="_Toc247085708"/>
      <w:bookmarkStart w:id="217" w:name="_Toc144974517"/>
      <w:bookmarkStart w:id="218" w:name="_Toc152045549"/>
      <w:bookmarkStart w:id="219" w:name="_Toc246996194"/>
      <w:bookmarkStart w:id="220" w:name="_Toc27607"/>
      <w:bookmarkStart w:id="221" w:name="_Toc152042325"/>
      <w:bookmarkStart w:id="222" w:name="_Toc31607"/>
      <w:r>
        <w:rPr>
          <w:rFonts w:hint="eastAsia" w:ascii="宋体" w:hAnsi="宋体" w:eastAsia="宋体" w:cs="宋体"/>
          <w:color w:val="000000" w:themeColor="text1"/>
          <w:sz w:val="24"/>
          <w:szCs w:val="24"/>
          <w14:textFill>
            <w14:solidFill>
              <w14:schemeClr w14:val="tx1"/>
            </w14:solidFill>
          </w14:textFill>
        </w:rPr>
        <w:t>3.2.1</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应对此项目进行全面响应，不得将其中所列的所有内容拆开报价。凡本招标文件要求（或允许）及</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认为需要进行投标的各项费用项目（不论是否要求进入报价），若投标时未报或未在投标文件中予以说明，</w:t>
      </w:r>
      <w:r>
        <w:rPr>
          <w:rFonts w:hint="eastAsia" w:ascii="宋体" w:hAnsi="宋体" w:eastAsia="宋体" w:cs="宋体"/>
          <w:color w:val="000000" w:themeColor="text1"/>
          <w:sz w:val="24"/>
          <w:szCs w:val="24"/>
          <w:lang w:val="en-US" w:eastAsia="zh-CN"/>
          <w14:textFill>
            <w14:solidFill>
              <w14:schemeClr w14:val="tx1"/>
            </w14:solidFill>
          </w14:textFill>
        </w:rPr>
        <w:t>采购</w:t>
      </w:r>
      <w:r>
        <w:rPr>
          <w:rFonts w:hint="eastAsia" w:ascii="宋体" w:hAnsi="宋体" w:eastAsia="宋体" w:cs="宋体"/>
          <w:color w:val="000000" w:themeColor="text1"/>
          <w:sz w:val="24"/>
          <w:szCs w:val="24"/>
          <w:lang w:eastAsia="zh-CN"/>
          <w14:textFill>
            <w14:solidFill>
              <w14:schemeClr w14:val="tx1"/>
            </w14:solidFill>
          </w14:textFill>
        </w:rPr>
        <w:t>人</w:t>
      </w:r>
      <w:r>
        <w:rPr>
          <w:rFonts w:hint="eastAsia" w:ascii="宋体" w:hAnsi="宋体" w:eastAsia="宋体" w:cs="宋体"/>
          <w:color w:val="000000" w:themeColor="text1"/>
          <w:sz w:val="24"/>
          <w:szCs w:val="24"/>
          <w14:textFill>
            <w14:solidFill>
              <w14:schemeClr w14:val="tx1"/>
            </w14:solidFill>
          </w14:textFill>
        </w:rPr>
        <w:t>将认为这些费用</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已计取，并包含在总报价中（项目内容、项目量调整除外）</w:t>
      </w:r>
    </w:p>
    <w:p w14:paraId="33D57C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3.2.2“</w:t>
      </w:r>
      <w:r>
        <w:rPr>
          <w:rFonts w:hint="eastAsia" w:ascii="宋体" w:hAnsi="宋体" w:eastAsia="宋体" w:cs="宋体"/>
          <w:color w:val="000000" w:themeColor="text1"/>
          <w:sz w:val="24"/>
          <w:szCs w:val="24"/>
          <w:lang w:eastAsia="zh-CN"/>
          <w14:textFill>
            <w14:solidFill>
              <w14:schemeClr w14:val="tx1"/>
            </w14:solidFill>
          </w14:textFill>
        </w:rPr>
        <w:t>投标</w:t>
      </w:r>
      <w:r>
        <w:rPr>
          <w:rFonts w:hint="eastAsia" w:ascii="宋体" w:hAnsi="宋体" w:eastAsia="宋体" w:cs="宋体"/>
          <w:color w:val="000000" w:themeColor="text1"/>
          <w:sz w:val="24"/>
          <w:szCs w:val="24"/>
          <w14:textFill>
            <w14:solidFill>
              <w14:schemeClr w14:val="tx1"/>
            </w14:solidFill>
          </w14:textFill>
        </w:rPr>
        <w:t>分项报价表”填写时应注意下列要求：</w:t>
      </w:r>
    </w:p>
    <w:p w14:paraId="1A1FD9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所提供的报价货物交货价是货到项目现场价格，包括货物的价格、所有使用的辅材价格等所有费用。（所有税费不必分别填写，计入货价内即可）。</w:t>
      </w:r>
    </w:p>
    <w:p w14:paraId="3CE06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3.2.3</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不得以低于成本的报价参加投标，当评标委员会认为</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的投标报价或者某些分项报价明显不合理或低于成本价，有可能影响商品质量和不能诚信履约的，可要求</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在规定的期限内提供书面说明，并提交相关证明材料，否则，可拒绝</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的投标。</w:t>
      </w:r>
    </w:p>
    <w:p w14:paraId="638FCE3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3.2.4投标报价只能提交唯一、不可选择的报价。投标货币：人民币。</w:t>
      </w:r>
    </w:p>
    <w:p w14:paraId="77A312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3.2.5</w:t>
      </w:r>
      <w:r>
        <w:rPr>
          <w:rFonts w:hint="eastAsia" w:ascii="宋体" w:hAnsi="宋体" w:eastAsia="宋体" w:cs="宋体"/>
          <w:color w:val="000000" w:themeColor="text1"/>
          <w:sz w:val="24"/>
          <w:szCs w:val="24"/>
          <w:lang w:eastAsia="zh-CN"/>
          <w14:textFill>
            <w14:solidFill>
              <w14:schemeClr w14:val="tx1"/>
            </w14:solidFill>
          </w14:textFill>
        </w:rPr>
        <w:t>投标期间一切费用自理。</w:t>
      </w:r>
    </w:p>
    <w:p w14:paraId="6B3100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3.2.6关于推动解决政府采购异常低价问题的通知（财库〔2026〕2号）</w:t>
      </w:r>
    </w:p>
    <w:p w14:paraId="5A5D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强化政府采购异常低价审查</w:t>
      </w:r>
    </w:p>
    <w:p w14:paraId="0CE667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（一）采购人应当在采购文件中明确，政府采购评审中出现下列情形之一的，评审委员会应当启动异常低价投标（响应）审查程序：</w:t>
      </w:r>
    </w:p>
    <w:p w14:paraId="1E56C7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1.投标（响应）报价低于全部通过符合性审查供应商投标（响应）报价平均值50%的，即投标（响应）报价&lt;全部通过符合性审查供应商投标（响应）报价平均值×50%；</w:t>
      </w:r>
    </w:p>
    <w:p w14:paraId="3B7307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2.投标（响应）报价低于通过符合性审查的次低报价供应商投标（响应）报价50%的，即投标（响应）报价&lt;通过符合性审查的次低报价供应商投标（响应）报价×50%；</w:t>
      </w:r>
    </w:p>
    <w:p w14:paraId="62CF61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3.投标（响应）报价低于采购项目最高限价45%的，即投标（响应）报价&lt;采购项目最高限价×45%；</w:t>
      </w:r>
    </w:p>
    <w:p w14:paraId="18B9C7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4.评审委员会基于专业判断，认为供应商报价过低，有可能影响产品质量或者不能诚信履约的其他情形。</w:t>
      </w:r>
    </w:p>
    <w:p w14:paraId="648442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采购人可以结合具体项目实际情况，提高上述第1项至第3项中启动异常低价投标（响应）审查的数值标准，但是最高不得超过65%。</w:t>
      </w:r>
    </w:p>
    <w:p w14:paraId="2CA4DC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相关法律法规对供应商报价有规定的，从其规定。</w:t>
      </w:r>
    </w:p>
    <w:p w14:paraId="52684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C967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CCEA58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130289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sz w:val="24"/>
          <w:szCs w:val="24"/>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09FB3B8F">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3.2.</w:t>
      </w:r>
      <w:r>
        <w:rPr>
          <w:rFonts w:hint="eastAsia" w:ascii="宋体" w:hAnsi="宋体" w:cs="宋体"/>
          <w:b/>
          <w:bCs/>
          <w:color w:val="000000" w:themeColor="text1"/>
          <w:sz w:val="24"/>
          <w:szCs w:val="24"/>
          <w:lang w:val="en-US" w:eastAsia="zh-CN"/>
          <w14:textFill>
            <w14:solidFill>
              <w14:schemeClr w14:val="tx1"/>
            </w14:solidFill>
          </w14:textFill>
        </w:rPr>
        <w:t>7</w:t>
      </w:r>
      <w:r>
        <w:rPr>
          <w:rFonts w:hint="eastAsia" w:ascii="宋体" w:hAnsi="宋体" w:eastAsia="宋体" w:cs="宋体"/>
          <w:b/>
          <w:bCs/>
          <w:color w:val="000000" w:themeColor="text1"/>
          <w:sz w:val="24"/>
          <w:szCs w:val="24"/>
          <w14:textFill>
            <w14:solidFill>
              <w14:schemeClr w14:val="tx1"/>
            </w14:solidFill>
          </w14:textFill>
        </w:rPr>
        <w:t>最低投标报价不作为中标的唯一条件，中标须经投标报价、</w:t>
      </w:r>
      <w:bookmarkStart w:id="223" w:name="_Hlk519149183"/>
      <w:r>
        <w:rPr>
          <w:rFonts w:hint="eastAsia" w:ascii="宋体" w:hAnsi="宋体" w:eastAsia="宋体" w:cs="宋体"/>
          <w:b/>
          <w:bCs/>
          <w:color w:val="000000" w:themeColor="text1"/>
          <w:sz w:val="24"/>
          <w:szCs w:val="24"/>
          <w14:textFill>
            <w14:solidFill>
              <w14:schemeClr w14:val="tx1"/>
            </w14:solidFill>
          </w14:textFill>
        </w:rPr>
        <w:t>技术部分评审、商务部分评审</w:t>
      </w:r>
      <w:bookmarkEnd w:id="223"/>
      <w:r>
        <w:rPr>
          <w:rFonts w:hint="eastAsia" w:ascii="宋体" w:hAnsi="宋体" w:eastAsia="宋体" w:cs="宋体"/>
          <w:b/>
          <w:bCs/>
          <w:color w:val="000000" w:themeColor="text1"/>
          <w:sz w:val="24"/>
          <w:szCs w:val="24"/>
          <w14:textFill>
            <w14:solidFill>
              <w14:schemeClr w14:val="tx1"/>
            </w14:solidFill>
          </w14:textFill>
        </w:rPr>
        <w:t>等内容综合评定。</w:t>
      </w:r>
    </w:p>
    <w:p w14:paraId="73CDA72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 投标有效期</w:t>
      </w:r>
      <w:bookmarkEnd w:id="213"/>
      <w:bookmarkEnd w:id="214"/>
      <w:bookmarkEnd w:id="215"/>
      <w:bookmarkEnd w:id="216"/>
      <w:bookmarkEnd w:id="217"/>
      <w:bookmarkEnd w:id="218"/>
      <w:bookmarkEnd w:id="219"/>
      <w:bookmarkEnd w:id="220"/>
      <w:bookmarkEnd w:id="221"/>
      <w:bookmarkEnd w:id="222"/>
    </w:p>
    <w:p w14:paraId="74601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24" w:name="_Hlk522170577"/>
      <w:bookmarkStart w:id="225" w:name="_Toc144974518"/>
      <w:bookmarkStart w:id="226" w:name="_Toc152042326"/>
      <w:bookmarkStart w:id="227" w:name="_Toc17558"/>
      <w:bookmarkStart w:id="228" w:name="_Toc246996195"/>
      <w:bookmarkStart w:id="229" w:name="_Toc246996938"/>
      <w:bookmarkStart w:id="230" w:name="_Toc10049"/>
      <w:bookmarkStart w:id="231" w:name="_Toc152045550"/>
      <w:bookmarkStart w:id="232" w:name="_Toc179632568"/>
      <w:bookmarkStart w:id="233" w:name="_Toc247085709"/>
      <w:r>
        <w:rPr>
          <w:rFonts w:hint="eastAsia" w:ascii="宋体" w:hAnsi="宋体" w:eastAsia="宋体" w:cs="宋体"/>
          <w:color w:val="000000" w:themeColor="text1"/>
          <w:sz w:val="24"/>
          <w:szCs w:val="24"/>
          <w14:textFill>
            <w14:solidFill>
              <w14:schemeClr w14:val="tx1"/>
            </w14:solidFill>
          </w14:textFill>
        </w:rPr>
        <w:t>3.3.1 在投标人须知前附表规定的投标有效期内，投标人不得要求撤销或修改其投标文件。</w:t>
      </w:r>
    </w:p>
    <w:p w14:paraId="22F834E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3.3.2出现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224"/>
    </w:p>
    <w:p w14:paraId="48BAAF4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34" w:name="_Toc25617"/>
      <w:r>
        <w:rPr>
          <w:rFonts w:hint="eastAsia" w:ascii="宋体" w:hAnsi="宋体" w:eastAsia="宋体" w:cs="宋体"/>
          <w:color w:val="000000" w:themeColor="text1"/>
          <w:sz w:val="24"/>
          <w:szCs w:val="24"/>
          <w14:textFill>
            <w14:solidFill>
              <w14:schemeClr w14:val="tx1"/>
            </w14:solidFill>
          </w14:textFill>
        </w:rPr>
        <w:t>3.4 投标保证金</w:t>
      </w:r>
      <w:bookmarkEnd w:id="225"/>
      <w:bookmarkEnd w:id="226"/>
      <w:bookmarkEnd w:id="227"/>
      <w:bookmarkEnd w:id="228"/>
      <w:bookmarkEnd w:id="229"/>
      <w:bookmarkEnd w:id="230"/>
      <w:bookmarkEnd w:id="231"/>
      <w:bookmarkEnd w:id="232"/>
      <w:bookmarkEnd w:id="233"/>
      <w:bookmarkEnd w:id="234"/>
    </w:p>
    <w:p w14:paraId="0DCFF26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5" w:name="_Hlk522170699"/>
      <w:bookmarkStart w:id="236" w:name="_Toc343511515"/>
      <w:r>
        <w:rPr>
          <w:rFonts w:hint="eastAsia" w:ascii="宋体" w:hAnsi="宋体" w:eastAsia="宋体" w:cs="宋体"/>
          <w:color w:val="000000" w:themeColor="text1"/>
          <w:sz w:val="24"/>
          <w:szCs w:val="24"/>
          <w14:textFill>
            <w14:solidFill>
              <w14:schemeClr w14:val="tx1"/>
            </w14:solidFill>
          </w14:textFill>
        </w:rPr>
        <w:t>3.4.1 供应商在递交投标文件的同时，应按供应商须知前附表规定的金额、担保形式缴纳投标保证金。</w:t>
      </w:r>
    </w:p>
    <w:p w14:paraId="190DC1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投标人不按本章第3.4.1项要求提交投标保证金的，其投标文件作废标处理。</w:t>
      </w:r>
    </w:p>
    <w:bookmarkEnd w:id="235"/>
    <w:bookmarkEnd w:id="236"/>
    <w:p w14:paraId="588227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7" w:name="_Toc343511517"/>
      <w:r>
        <w:rPr>
          <w:rFonts w:hint="eastAsia" w:ascii="宋体" w:hAnsi="宋体" w:eastAsia="宋体" w:cs="宋体"/>
          <w:color w:val="000000" w:themeColor="text1"/>
          <w:sz w:val="24"/>
          <w:szCs w:val="24"/>
          <w14:textFill>
            <w14:solidFill>
              <w14:schemeClr w14:val="tx1"/>
            </w14:solidFill>
          </w14:textFill>
        </w:rPr>
        <w:t>3.4.3</w:t>
      </w:r>
      <w:bookmarkEnd w:id="237"/>
      <w:r>
        <w:rPr>
          <w:rFonts w:hint="eastAsia" w:ascii="宋体" w:hAnsi="宋体" w:eastAsia="宋体" w:cs="宋体"/>
          <w:color w:val="000000" w:themeColor="text1"/>
          <w:sz w:val="24"/>
          <w:szCs w:val="24"/>
          <w14:textFill>
            <w14:solidFill>
              <w14:schemeClr w14:val="tx1"/>
            </w14:solidFill>
          </w14:textFill>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w:t>
      </w:r>
    </w:p>
    <w:p w14:paraId="2A65F3E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应当自中标通知书发出之日起5个工作日内退还未中标投标人的投标保证金，向未中标的投标人扣除银行交易手续费后退还投标保证金及银行同期存款利息。自合同签订之日起5个工作日内退还中标投标人的投标保证金向中标投标人扣除银行交易手续费后退还投标保证金及银行同期存款利息。</w:t>
      </w:r>
    </w:p>
    <w:p w14:paraId="56895E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依法必须进行招标的项目的境内投标单位，以现金或者支票形式提交的投标保证金应当从其基本账户转出。</w:t>
      </w:r>
    </w:p>
    <w:p w14:paraId="4F1248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采购人不得挪用投标保证金。</w:t>
      </w:r>
    </w:p>
    <w:p w14:paraId="220850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4终止招标的，采购人或者采购代理机构应当及时在原公告发布媒体上发布终止公告，以书面形式通知已经获取招标文件、资格预审文件或者被邀请的潜在投标人，并将项目实施情况和采购任务取消原因报告本级财政部门。已经收取招标文件费用或者投标保证金的，采购人或者采购代理机构应当在终止采购活动后5个工作日内，退还所收取的招标文件费用和所收取的投标保证金及其在银行产生的孳息。</w:t>
      </w:r>
    </w:p>
    <w:p w14:paraId="5139461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投标人撤回已提交的投标文件，应当在投标截止时间前书面通知采购人。采购人已收取投标保证金的，应当自收到投标人书面撤回通知之日起5</w:t>
      </w:r>
      <w:r>
        <w:rPr>
          <w:rFonts w:hint="eastAsia" w:ascii="宋体" w:hAnsi="宋体" w:cs="宋体"/>
          <w:color w:val="000000" w:themeColor="text1"/>
          <w:sz w:val="24"/>
          <w:szCs w:val="24"/>
          <w:lang w:val="en-US" w:eastAsia="zh-CN"/>
          <w14:textFill>
            <w14:solidFill>
              <w14:schemeClr w14:val="tx1"/>
            </w14:solidFill>
          </w14:textFill>
        </w:rPr>
        <w:t>个工作日</w:t>
      </w:r>
      <w:r>
        <w:rPr>
          <w:rFonts w:hint="eastAsia" w:ascii="宋体" w:hAnsi="宋体" w:eastAsia="宋体" w:cs="宋体"/>
          <w:color w:val="000000" w:themeColor="text1"/>
          <w:sz w:val="24"/>
          <w:szCs w:val="24"/>
          <w14:textFill>
            <w14:solidFill>
              <w14:schemeClr w14:val="tx1"/>
            </w14:solidFill>
          </w14:textFill>
        </w:rPr>
        <w:t>内退还。</w:t>
      </w:r>
    </w:p>
    <w:p w14:paraId="52A2CA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投标截止后投标人撤销投标文件的，采购人可以不退还投标保证金。</w:t>
      </w:r>
    </w:p>
    <w:p w14:paraId="16790D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采购人和中标人应当依照</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和本条例的规定签订书面合同，合同的标的、价款、质量、履行期限等主要条款应当与招标文件和中标人的投标文件的内容一致。采购人和中标人不得再行订立背离合同实质性内容的其他协议。</w:t>
      </w:r>
    </w:p>
    <w:p w14:paraId="56E6E5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中标人无正当理由不与采购人订立合同，在签订合同时向采购人提出附加条件，或者不按照招标文件要求提交履约保证金的，取消其中标资格，投标保证金不予退还。对依法必须进行招标的项目的中标人，由有关行政监督部门责令改正，可以处中标项目金额10‰以下的罚款。</w:t>
      </w:r>
    </w:p>
    <w:p w14:paraId="5B3660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38" w:name="_Toc343511518"/>
      <w:bookmarkStart w:id="239" w:name="_Hlk522172384"/>
      <w:r>
        <w:rPr>
          <w:rFonts w:hint="eastAsia" w:ascii="宋体" w:hAnsi="宋体" w:eastAsia="宋体" w:cs="宋体"/>
          <w:color w:val="000000" w:themeColor="text1"/>
          <w:sz w:val="24"/>
          <w:szCs w:val="24"/>
          <w14:textFill>
            <w14:solidFill>
              <w14:schemeClr w14:val="tx1"/>
            </w14:solidFill>
          </w14:textFill>
        </w:rPr>
        <w:t>3.4.</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有下列情形之一的，投标保证金将不予退还</w:t>
      </w:r>
      <w:bookmarkEnd w:id="238"/>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有权扣留其投标保证金，以弥补采购人损失。</w:t>
      </w:r>
    </w:p>
    <w:p w14:paraId="1EBEF7B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40" w:name="_Hlk522172370"/>
      <w:r>
        <w:rPr>
          <w:rFonts w:hint="eastAsia" w:ascii="宋体" w:hAnsi="宋体" w:eastAsia="宋体" w:cs="宋体"/>
          <w:color w:val="000000" w:themeColor="text1"/>
          <w:sz w:val="24"/>
          <w:szCs w:val="24"/>
          <w14:textFill>
            <w14:solidFill>
              <w14:schemeClr w14:val="tx1"/>
            </w14:solidFill>
          </w14:textFill>
        </w:rPr>
        <w:t>（1）投标人在规定的投标有效期内撤销或修改其投标文件。</w:t>
      </w:r>
    </w:p>
    <w:p w14:paraId="1BCC229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（2）中标人在收到中标通知书后，无正当理由拒签合同协议书或未按招标文件规定提交履约担保。</w:t>
      </w:r>
    </w:p>
    <w:bookmarkEnd w:id="239"/>
    <w:bookmarkEnd w:id="240"/>
    <w:p w14:paraId="5978B2C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（3）投标人与采购人、其他投标人或者采购代理机构恶意串通的。</w:t>
      </w:r>
    </w:p>
    <w:p w14:paraId="4103E1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（4）投标人中标后无正当理由放弃中标的</w:t>
      </w:r>
      <w:r>
        <w:rPr>
          <w:rFonts w:hint="eastAsia" w:ascii="宋体" w:hAnsi="宋体" w:cs="宋体"/>
          <w:color w:val="000000" w:themeColor="text1"/>
          <w:sz w:val="24"/>
          <w:szCs w:val="24"/>
          <w:lang w:eastAsia="zh-CN"/>
          <w14:textFill>
            <w14:solidFill>
              <w14:schemeClr w14:val="tx1"/>
            </w14:solidFill>
          </w14:textFill>
        </w:rPr>
        <w:t>。</w:t>
      </w:r>
    </w:p>
    <w:p w14:paraId="53D10C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）投标人中标后将中标项目转让给他人，未经采购人同意，将中标项目分包给他人的。</w:t>
      </w:r>
    </w:p>
    <w:p w14:paraId="72CB78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）投标人在投标文件中提供伪造、套改、虚假资料参加投标的。</w:t>
      </w:r>
    </w:p>
    <w:p w14:paraId="25C758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）投标人不按法定程序进行质疑和投诉,捏造事实，查无实据，造成恶劣影响，导致采购活动无法正常进行的。</w:t>
      </w:r>
    </w:p>
    <w:p w14:paraId="6C91C28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）招标文件规定的其他情形。</w:t>
      </w:r>
    </w:p>
    <w:p w14:paraId="3CD71DE6">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41" w:name="_Toc152042328"/>
      <w:bookmarkStart w:id="242" w:name="_Toc246996196"/>
      <w:bookmarkStart w:id="243" w:name="_Toc144974520"/>
      <w:bookmarkStart w:id="244" w:name="_Toc152045552"/>
      <w:bookmarkStart w:id="245" w:name="_Toc296602441"/>
      <w:bookmarkStart w:id="246" w:name="_Toc179632570"/>
      <w:bookmarkStart w:id="247" w:name="_Toc246996939"/>
      <w:bookmarkStart w:id="248" w:name="_Toc247085710"/>
      <w:bookmarkStart w:id="249" w:name="_Toc16361"/>
      <w:bookmarkStart w:id="250" w:name="_Toc5131"/>
      <w:bookmarkStart w:id="251" w:name="_Toc18308"/>
      <w:r>
        <w:rPr>
          <w:rFonts w:hint="eastAsia" w:ascii="宋体" w:hAnsi="宋体" w:eastAsia="宋体" w:cs="宋体"/>
          <w:color w:val="000000" w:themeColor="text1"/>
          <w:sz w:val="24"/>
          <w:szCs w:val="24"/>
          <w14:textFill>
            <w14:solidFill>
              <w14:schemeClr w14:val="tx1"/>
            </w14:solidFill>
          </w14:textFill>
        </w:rPr>
        <w:t>3.5</w:t>
      </w:r>
      <w:bookmarkEnd w:id="241"/>
      <w:bookmarkEnd w:id="242"/>
      <w:bookmarkEnd w:id="243"/>
      <w:bookmarkEnd w:id="244"/>
      <w:bookmarkEnd w:id="245"/>
      <w:bookmarkEnd w:id="246"/>
      <w:bookmarkEnd w:id="247"/>
      <w:bookmarkEnd w:id="248"/>
      <w:bookmarkStart w:id="252" w:name="_Toc179632571"/>
      <w:bookmarkStart w:id="253" w:name="_Toc152042329"/>
      <w:bookmarkStart w:id="254" w:name="_Toc246996940"/>
      <w:bookmarkStart w:id="255" w:name="_Toc144974521"/>
      <w:bookmarkStart w:id="256" w:name="_Toc152045553"/>
      <w:bookmarkStart w:id="257" w:name="_Toc247085711"/>
      <w:bookmarkStart w:id="258" w:name="_Toc246996197"/>
      <w:r>
        <w:rPr>
          <w:rFonts w:hint="eastAsia" w:ascii="宋体" w:hAnsi="宋体" w:eastAsia="宋体" w:cs="宋体"/>
          <w:color w:val="000000" w:themeColor="text1"/>
          <w:sz w:val="24"/>
          <w:szCs w:val="24"/>
          <w14:textFill>
            <w14:solidFill>
              <w14:schemeClr w14:val="tx1"/>
            </w14:solidFill>
          </w14:textFill>
        </w:rPr>
        <w:t xml:space="preserve"> 投标文件的编制</w:t>
      </w:r>
      <w:bookmarkEnd w:id="249"/>
      <w:bookmarkEnd w:id="250"/>
      <w:bookmarkEnd w:id="251"/>
    </w:p>
    <w:bookmarkEnd w:id="252"/>
    <w:bookmarkEnd w:id="253"/>
    <w:bookmarkEnd w:id="254"/>
    <w:bookmarkEnd w:id="255"/>
    <w:bookmarkEnd w:id="256"/>
    <w:bookmarkEnd w:id="257"/>
    <w:bookmarkEnd w:id="258"/>
    <w:p w14:paraId="636FA6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259" w:name="_Toc19372"/>
      <w:bookmarkStart w:id="260" w:name="_Toc179632573"/>
      <w:bookmarkStart w:id="261" w:name="_Toc246996942"/>
      <w:bookmarkStart w:id="262" w:name="_Toc246996199"/>
      <w:bookmarkStart w:id="263" w:name="_Toc144974523"/>
      <w:bookmarkStart w:id="264" w:name="_Toc247085713"/>
      <w:bookmarkStart w:id="265" w:name="_Toc152042331"/>
      <w:bookmarkStart w:id="266" w:name="_Toc152045555"/>
      <w:bookmarkStart w:id="267" w:name="_Toc28026"/>
      <w:bookmarkStart w:id="268" w:name="_Toc31049"/>
      <w:r>
        <w:rPr>
          <w:rFonts w:hint="eastAsia" w:ascii="宋体" w:hAnsi="宋体" w:eastAsia="宋体" w:cs="宋体"/>
          <w:color w:val="000000" w:themeColor="text1"/>
          <w:sz w:val="24"/>
          <w:szCs w:val="24"/>
          <w14:textFill>
            <w14:solidFill>
              <w14:schemeClr w14:val="tx1"/>
            </w14:solidFill>
          </w14:textFill>
        </w:rPr>
        <w:t>3.5.1投标文件必须按“投标文件格式”进行编写，如有必要，可以增加附页，作为投标文件的组成部分。</w:t>
      </w:r>
    </w:p>
    <w:p w14:paraId="7B14D1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3.5.2 投标文件应当对招标文件有关</w:t>
      </w:r>
      <w:r>
        <w:rPr>
          <w:rFonts w:hint="eastAsia" w:ascii="宋体" w:hAnsi="宋体" w:eastAsia="宋体" w:cs="宋体"/>
          <w:color w:val="000000" w:themeColor="text1"/>
          <w:sz w:val="24"/>
          <w:szCs w:val="24"/>
          <w:lang w:val="en-US"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、投标有效期、技术要求、招标范围等实质性内容作出响应。</w:t>
      </w:r>
    </w:p>
    <w:p w14:paraId="61E63E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3.5.3投标文件应尽量避免涂改、行间插字或删除。如果出现上述情况，改动之处应必须加盖投标人单位公章；由委托代理人签字或盖章的，需随投标文件一起提交有效的“授权委托书”原件的（正副本各一份）；</w:t>
      </w:r>
    </w:p>
    <w:p w14:paraId="71BF7E5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3.5.4 投标文件正本一份，副本份数见投标人须知前附表。正本和副本的封面上必须清楚地标记 “正本”或“副本”的字样。当副本和正本不一致时，以正本为准。</w:t>
      </w:r>
    </w:p>
    <w:p w14:paraId="291C6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3.5.5投标文件的正本和所有的副本必须全部打印并分别装订成册，并编制目录，统一装订、编码，必须在每一页的下方清楚标明。</w:t>
      </w:r>
    </w:p>
    <w:p w14:paraId="03AB61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3.5.6 投标文件签字或盖章要求，见投标人须知前附表。</w:t>
      </w:r>
    </w:p>
    <w:p w14:paraId="614109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3.5.7 投标文件因字迹潦草或表达不清所引起的后果由投标单位负责。</w:t>
      </w:r>
    </w:p>
    <w:p w14:paraId="2BB19F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3.5.8 未按本章第3.5.1 项至第3.5.7项规定，出现任何一项未按要求编制的投标文件，采购人（或采购代理机构）不予受理，投标文件按无效文件处理。</w:t>
      </w:r>
    </w:p>
    <w:p w14:paraId="2E31B4A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3.6</w:t>
      </w:r>
      <w:r>
        <w:rPr>
          <w:rFonts w:hint="eastAsia" w:ascii="宋体" w:hAnsi="宋体" w:eastAsia="宋体" w:cs="宋体"/>
          <w:b/>
          <w:bCs/>
          <w:color w:val="000000" w:themeColor="text1"/>
          <w:sz w:val="24"/>
          <w:szCs w:val="24"/>
          <w14:textFill>
            <w14:solidFill>
              <w14:schemeClr w14:val="tx1"/>
            </w14:solidFill>
          </w14:textFill>
        </w:rPr>
        <w:t>关于投标文件的雷同性分析</w:t>
      </w:r>
    </w:p>
    <w:p w14:paraId="43634A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根据陕西省公共资源交易中心2021年7月22日印发的《关于在政府采购交易系统中开通标书雷同性分析功能的通知》，在符合性审查环节，将由评标委员会在评标系统中对</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的电子投标文件进行雷同性分析。</w:t>
      </w:r>
    </w:p>
    <w:p w14:paraId="4AF00E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6F2888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若“文件制作机器码”一致，则表明不同投标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的电子投标文件出自同一台制作设备，根据《陕西省财政厅关于政府采购有关政策的复函》（陕财办采函〔2019〕18号），该情形可以视为投标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串通投标，其投标无效。</w:t>
      </w:r>
    </w:p>
    <w:p w14:paraId="2AD5033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若“文件创建标识码”一致，则表示不同投标</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使用投标文件制作软件时，使用同一源工程文件，该情形建议由评标委员会结合项目情况综合判定。</w:t>
      </w:r>
    </w:p>
    <w:p w14:paraId="0D861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在投标截止时间之后，</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不得对其投标文件做任何修改。</w:t>
      </w:r>
    </w:p>
    <w:p w14:paraId="0FF75E4C">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 投标</w:t>
      </w:r>
      <w:bookmarkEnd w:id="259"/>
      <w:bookmarkEnd w:id="260"/>
      <w:bookmarkEnd w:id="261"/>
      <w:bookmarkEnd w:id="262"/>
      <w:bookmarkEnd w:id="263"/>
      <w:bookmarkEnd w:id="264"/>
      <w:bookmarkEnd w:id="265"/>
      <w:bookmarkEnd w:id="266"/>
      <w:bookmarkEnd w:id="267"/>
      <w:bookmarkEnd w:id="268"/>
    </w:p>
    <w:p w14:paraId="2AB5634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bookmarkStart w:id="269" w:name="_Toc144974525"/>
      <w:bookmarkStart w:id="270" w:name="_Toc2773"/>
      <w:bookmarkStart w:id="271" w:name="_Toc152042333"/>
      <w:bookmarkStart w:id="272" w:name="_Toc152045557"/>
      <w:bookmarkStart w:id="273" w:name="_Toc2783"/>
      <w:bookmarkStart w:id="274" w:name="_Toc179632575"/>
      <w:bookmarkStart w:id="275" w:name="_Toc15547"/>
      <w:bookmarkStart w:id="276" w:name="_Toc246996202"/>
      <w:bookmarkStart w:id="277" w:name="_Toc247085716"/>
      <w:bookmarkStart w:id="278" w:name="_Toc144974526"/>
      <w:bookmarkStart w:id="279" w:name="_Toc179632576"/>
      <w:bookmarkStart w:id="280" w:name="_Toc246996945"/>
      <w:bookmarkStart w:id="281" w:name="_Toc152042334"/>
      <w:bookmarkStart w:id="282" w:name="_Toc152045558"/>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1</w:t>
      </w:r>
      <w:r>
        <w:rPr>
          <w:rFonts w:hint="eastAsia" w:ascii="宋体" w:hAnsi="宋体" w:eastAsia="宋体" w:cs="宋体"/>
          <w:b/>
          <w:bCs/>
          <w:color w:val="000000" w:themeColor="text1"/>
          <w:sz w:val="24"/>
          <w:szCs w:val="24"/>
          <w14:textFill>
            <w14:solidFill>
              <w14:schemeClr w14:val="tx1"/>
            </w14:solidFill>
          </w14:textFill>
        </w:rPr>
        <w:t>投标文件的递交</w:t>
      </w:r>
      <w:bookmarkEnd w:id="269"/>
      <w:bookmarkEnd w:id="270"/>
      <w:bookmarkEnd w:id="271"/>
      <w:bookmarkEnd w:id="272"/>
      <w:bookmarkEnd w:id="273"/>
      <w:bookmarkEnd w:id="274"/>
      <w:bookmarkEnd w:id="275"/>
      <w:r>
        <w:rPr>
          <w:rFonts w:hint="eastAsia" w:ascii="宋体" w:hAnsi="宋体" w:eastAsia="宋体" w:cs="宋体"/>
          <w:b/>
          <w:bCs/>
          <w:color w:val="000000" w:themeColor="text1"/>
          <w:sz w:val="24"/>
          <w:szCs w:val="24"/>
          <w14:textFill>
            <w14:solidFill>
              <w14:schemeClr w14:val="tx1"/>
            </w14:solidFill>
          </w14:textFill>
        </w:rPr>
        <w:t xml:space="preserve"> </w:t>
      </w:r>
    </w:p>
    <w:p w14:paraId="3935FD31">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val="0"/>
          <w:color w:val="000000" w:themeColor="text1"/>
          <w:sz w:val="24"/>
          <w:szCs w:val="24"/>
          <w14:textFill>
            <w14:solidFill>
              <w14:schemeClr w14:val="tx1"/>
            </w14:solidFill>
          </w14:textFill>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45093005">
      <w:pPr>
        <w:pageBreakBefore w:val="0"/>
        <w:numPr>
          <w:ilvl w:val="0"/>
          <w:numId w:val="0"/>
        </w:numPr>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（2）纸质投标文件递交要求：正本壹份，副本</w:t>
      </w:r>
      <w:r>
        <w:rPr>
          <w:rFonts w:hint="eastAsia" w:ascii="宋体" w:hAnsi="宋体" w:cs="宋体"/>
          <w:b w:val="0"/>
          <w:bCs w:val="0"/>
          <w:color w:val="000000" w:themeColor="text1"/>
          <w:kern w:val="2"/>
          <w:sz w:val="24"/>
          <w:szCs w:val="24"/>
          <w:lang w:val="en-US" w:eastAsia="zh-CN" w:bidi="ar-SA"/>
          <w14:textFill>
            <w14:solidFill>
              <w14:schemeClr w14:val="tx1"/>
            </w14:solidFill>
          </w14:textFill>
        </w:rPr>
        <w:t>贰</w:t>
      </w:r>
      <w:r>
        <w:rPr>
          <w:rFonts w:hint="eastAsia" w:ascii="宋体" w:hAnsi="宋体" w:eastAsia="宋体" w:cs="宋体"/>
          <w:b w:val="0"/>
          <w:bCs w:val="0"/>
          <w:color w:val="000000" w:themeColor="text1"/>
          <w:kern w:val="2"/>
          <w:sz w:val="24"/>
          <w:szCs w:val="24"/>
          <w:lang w:val="en-US" w:eastAsia="zh-CN" w:bidi="ar-SA"/>
          <w14:textFill>
            <w14:solidFill>
              <w14:schemeClr w14:val="tx1"/>
            </w14:solidFill>
          </w14:textFill>
        </w:rPr>
        <w:t>份（副本可采用正本复印件）。</w:t>
      </w:r>
    </w:p>
    <w:p w14:paraId="489DF424">
      <w:pPr>
        <w:pageBreakBefore w:val="0"/>
        <w:numPr>
          <w:ilvl w:val="0"/>
          <w:numId w:val="0"/>
        </w:numPr>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注：纸质投标文件须留档保存，接受邮寄（纸质投标文件须与电子投标文件保持一致），开标结束后三日内邮寄到：延安市新区盛世花园北区12号楼一单元802室，电话：0911-8688810。</w:t>
      </w:r>
    </w:p>
    <w:p w14:paraId="72BBC2CA">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2</w:t>
      </w:r>
      <w:r>
        <w:rPr>
          <w:rFonts w:hint="eastAsia" w:ascii="宋体" w:hAnsi="宋体" w:eastAsia="宋体" w:cs="宋体"/>
          <w:b/>
          <w:bCs/>
          <w:color w:val="000000" w:themeColor="text1"/>
          <w:sz w:val="24"/>
          <w:szCs w:val="24"/>
          <w14:textFill>
            <w14:solidFill>
              <w14:schemeClr w14:val="tx1"/>
            </w14:solidFill>
          </w14:textFill>
        </w:rPr>
        <w:t>投标文件的修改与撤回</w:t>
      </w:r>
      <w:bookmarkEnd w:id="276"/>
      <w:bookmarkEnd w:id="277"/>
      <w:bookmarkEnd w:id="278"/>
      <w:bookmarkEnd w:id="279"/>
      <w:bookmarkEnd w:id="280"/>
      <w:bookmarkEnd w:id="281"/>
      <w:bookmarkEnd w:id="282"/>
      <w:bookmarkStart w:id="283" w:name="_Toc179632577"/>
      <w:bookmarkStart w:id="284" w:name="_Toc152045559"/>
      <w:bookmarkStart w:id="285" w:name="_Toc152042335"/>
      <w:bookmarkStart w:id="286" w:name="_Toc246996946"/>
      <w:bookmarkStart w:id="287" w:name="_Toc23736"/>
      <w:bookmarkStart w:id="288" w:name="_Toc246996203"/>
      <w:bookmarkStart w:id="289" w:name="_Toc247085717"/>
      <w:bookmarkStart w:id="290" w:name="_Toc144974527"/>
      <w:bookmarkStart w:id="291" w:name="_Toc27697"/>
      <w:bookmarkStart w:id="292" w:name="_Toc8495"/>
    </w:p>
    <w:p w14:paraId="50A9BF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1.供应商在递交电子响应文件后，且在提交电子响应文件截止时间前， 可以对所提交的响应文件进行补充、修改或撤回。 </w:t>
      </w:r>
    </w:p>
    <w:p w14:paraId="26BA03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2.对电子响应文件进行补充、修改的，应先从电子交易平台上撤回旧版，再重新提交新版。 </w:t>
      </w:r>
    </w:p>
    <w:p w14:paraId="2B8363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3.电子响应文件提交截止时间后，供应商不得对其电子响应文件做任何修改。</w:t>
      </w:r>
    </w:p>
    <w:p w14:paraId="3C15F91A">
      <w:pPr>
        <w:pageBreakBefore w:val="0"/>
        <w:wordWrap/>
        <w:topLinePunct w:val="0"/>
        <w:autoSpaceDE/>
        <w:autoSpaceDN/>
        <w:bidi w:val="0"/>
        <w:adjustRightInd/>
        <w:spacing w:line="60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5.开标</w:t>
      </w:r>
      <w:bookmarkEnd w:id="283"/>
      <w:bookmarkEnd w:id="284"/>
      <w:bookmarkEnd w:id="285"/>
      <w:bookmarkEnd w:id="286"/>
      <w:bookmarkEnd w:id="287"/>
      <w:bookmarkEnd w:id="288"/>
      <w:bookmarkEnd w:id="289"/>
      <w:bookmarkEnd w:id="290"/>
      <w:bookmarkEnd w:id="291"/>
      <w:bookmarkEnd w:id="292"/>
    </w:p>
    <w:p w14:paraId="6A9021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293" w:name="_Toc32417"/>
      <w:bookmarkStart w:id="294" w:name="_Toc246996204"/>
      <w:bookmarkStart w:id="295" w:name="_Toc19034"/>
      <w:bookmarkStart w:id="296" w:name="_Toc152045560"/>
      <w:bookmarkStart w:id="297" w:name="_Toc247085718"/>
      <w:bookmarkStart w:id="298" w:name="_Toc179632578"/>
      <w:bookmarkStart w:id="299" w:name="_Toc144974528"/>
      <w:bookmarkStart w:id="300" w:name="_Toc11197"/>
      <w:bookmarkStart w:id="301" w:name="_Toc152042336"/>
      <w:bookmarkStart w:id="302" w:name="_Toc246996947"/>
      <w:r>
        <w:rPr>
          <w:rFonts w:hint="eastAsia" w:ascii="宋体" w:hAnsi="宋体" w:eastAsia="宋体" w:cs="宋体"/>
          <w:color w:val="000000" w:themeColor="text1"/>
          <w:sz w:val="24"/>
          <w:szCs w:val="24"/>
          <w14:textFill>
            <w14:solidFill>
              <w14:schemeClr w14:val="tx1"/>
            </w14:solidFill>
          </w14:textFill>
        </w:rPr>
        <w:t>5.1 开标时间和地点</w:t>
      </w:r>
      <w:bookmarkEnd w:id="293"/>
      <w:bookmarkEnd w:id="294"/>
      <w:bookmarkEnd w:id="295"/>
      <w:bookmarkEnd w:id="296"/>
      <w:bookmarkEnd w:id="297"/>
      <w:bookmarkEnd w:id="298"/>
      <w:bookmarkEnd w:id="299"/>
      <w:bookmarkEnd w:id="300"/>
      <w:bookmarkEnd w:id="301"/>
      <w:bookmarkEnd w:id="302"/>
    </w:p>
    <w:p w14:paraId="69D23B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投标人须知前附表规定的地点和时间公开开标，并邀请所有投标人的法定代表人或其委托代理人准时参加。</w:t>
      </w:r>
    </w:p>
    <w:p w14:paraId="0A0F743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03" w:name="_Toc27426"/>
      <w:bookmarkStart w:id="304" w:name="_Toc179632579"/>
      <w:bookmarkStart w:id="305" w:name="_Toc20464"/>
      <w:bookmarkStart w:id="306" w:name="_Toc246996205"/>
      <w:bookmarkStart w:id="307" w:name="_Toc152042337"/>
      <w:bookmarkStart w:id="308" w:name="_Toc144974529"/>
      <w:bookmarkStart w:id="309" w:name="_Toc152045561"/>
      <w:bookmarkStart w:id="310" w:name="_Toc246996948"/>
      <w:bookmarkStart w:id="311" w:name="_Toc247085719"/>
      <w:bookmarkStart w:id="312" w:name="_Toc3352"/>
      <w:r>
        <w:rPr>
          <w:rFonts w:hint="eastAsia" w:ascii="宋体" w:hAnsi="宋体" w:eastAsia="宋体" w:cs="宋体"/>
          <w:color w:val="000000" w:themeColor="text1"/>
          <w:sz w:val="24"/>
          <w:szCs w:val="24"/>
          <w14:textFill>
            <w14:solidFill>
              <w14:schemeClr w14:val="tx1"/>
            </w14:solidFill>
          </w14:textFill>
        </w:rPr>
        <w:t>5.2 开标程序</w:t>
      </w:r>
      <w:bookmarkEnd w:id="303"/>
      <w:bookmarkEnd w:id="304"/>
      <w:bookmarkEnd w:id="305"/>
      <w:bookmarkEnd w:id="306"/>
      <w:bookmarkEnd w:id="307"/>
      <w:bookmarkEnd w:id="308"/>
      <w:bookmarkEnd w:id="309"/>
      <w:bookmarkEnd w:id="310"/>
      <w:bookmarkEnd w:id="311"/>
      <w:bookmarkEnd w:id="312"/>
    </w:p>
    <w:p w14:paraId="4AB896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bookmarkStart w:id="313" w:name="_Toc30701"/>
      <w:bookmarkStart w:id="314" w:name="_Toc5502"/>
      <w:r>
        <w:rPr>
          <w:rFonts w:hint="eastAsia" w:ascii="宋体" w:hAnsi="宋体" w:eastAsia="宋体" w:cs="宋体"/>
          <w:color w:val="000000" w:themeColor="text1"/>
          <w:kern w:val="0"/>
          <w:sz w:val="24"/>
          <w:szCs w:val="24"/>
          <w:lang w:val="en-US" w:eastAsia="zh-CN"/>
          <w14:textFill>
            <w14:solidFill>
              <w14:schemeClr w14:val="tx1"/>
            </w14:solidFill>
          </w14:textFill>
        </w:rPr>
        <w:t>1.</w:t>
      </w:r>
      <w:r>
        <w:rPr>
          <w:rFonts w:hint="eastAsia" w:ascii="宋体" w:hAnsi="宋体" w:eastAsia="宋体" w:cs="宋体"/>
          <w:color w:val="000000" w:themeColor="text1"/>
          <w:kern w:val="0"/>
          <w:sz w:val="24"/>
          <w:szCs w:val="24"/>
          <w14:textFill>
            <w14:solidFill>
              <w14:schemeClr w14:val="tx1"/>
            </w14:solidFill>
          </w14:textFill>
        </w:rPr>
        <w:t>采购人和采购代理机构将按投标人须知前附表中规定的开标时间和地点组织开标。投标人不足3家的，不予开标。</w:t>
      </w:r>
    </w:p>
    <w:p w14:paraId="2ACAC4E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r>
        <w:rPr>
          <w:rFonts w:hint="eastAsia" w:ascii="宋体" w:hAnsi="宋体" w:eastAsia="宋体" w:cs="宋体"/>
          <w:color w:val="000000" w:themeColor="text1"/>
          <w:kern w:val="0"/>
          <w:sz w:val="24"/>
          <w:szCs w:val="24"/>
          <w14:textFill>
            <w14:solidFill>
              <w14:schemeClr w14:val="tx1"/>
            </w14:solidFill>
          </w14:textFill>
        </w:rPr>
        <w:t>开标时，由采购人和代理机构组织各投标人线上解密，并在线上公示开标记录。若投标人在系统规定时间内未完成解密，或因投标人原因造成其投标文件无法解密（或无法打开的），按无效投标处理。</w:t>
      </w:r>
    </w:p>
    <w:p w14:paraId="44CBE7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r>
        <w:rPr>
          <w:rFonts w:hint="eastAsia" w:ascii="宋体" w:hAnsi="宋体" w:eastAsia="宋体" w:cs="宋体"/>
          <w:color w:val="000000" w:themeColor="text1"/>
          <w:kern w:val="0"/>
          <w:sz w:val="24"/>
          <w:szCs w:val="24"/>
          <w14:textFill>
            <w14:solidFill>
              <w14:schemeClr w14:val="tx1"/>
            </w14:solidFill>
          </w14:textFill>
        </w:rPr>
        <w:t>本项目采用“不见面开标”具体流程如下：</w:t>
      </w:r>
    </w:p>
    <w:p w14:paraId="3DB5E5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3.1</w:t>
      </w:r>
      <w:r>
        <w:rPr>
          <w:rFonts w:hint="eastAsia" w:ascii="宋体" w:hAnsi="宋体" w:eastAsia="宋体" w:cs="宋体"/>
          <w:color w:val="000000" w:themeColor="text1"/>
          <w:kern w:val="0"/>
          <w:sz w:val="24"/>
          <w:szCs w:val="24"/>
          <w14:textFill>
            <w14:solidFill>
              <w14:schemeClr w14:val="tx1"/>
            </w14:solidFill>
          </w14:textFill>
        </w:rPr>
        <w:t>、项目开标时，投标人使用CA锁登录交易中心网站不见面开标大厅，通过不见面开标大厅参加开标，使用不见面开标系统与招标人、招标代理机构现场工作人员进行互动交流、澄清答疑活动。提交投标文件截止时间前，招标代理机构、交易中心工作人员提前一小时进入不见面开标系统，</w:t>
      </w:r>
      <w:r>
        <w:rPr>
          <w:rFonts w:hint="eastAsia" w:ascii="宋体" w:hAnsi="宋体" w:eastAsia="宋体" w:cs="宋体"/>
          <w:color w:val="000000" w:themeColor="text1"/>
          <w:kern w:val="0"/>
          <w:sz w:val="24"/>
          <w:szCs w:val="24"/>
          <w:lang w:val="en-US" w:eastAsia="zh-CN"/>
          <w14:textFill>
            <w14:solidFill>
              <w14:schemeClr w14:val="tx1"/>
            </w14:solidFill>
          </w14:textFill>
        </w:rPr>
        <w:t>投标人需在开标前最少一个小时登录全国公共资源交易平台（陕西省·延安市）首页选择“不见面开标·〉 政府采购不见面开标大厅”自行调试，并按照全国公共资源交易平台（陕西省·延安市）-电子交易平台-政府采购交易系统要求进行投标文件解密，远程观看开标直播。如遇困难，请拨打系统平台技术支持电话：051258188039。</w:t>
      </w:r>
    </w:p>
    <w:p w14:paraId="324759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3.2</w:t>
      </w:r>
      <w:r>
        <w:rPr>
          <w:rFonts w:hint="eastAsia" w:ascii="宋体" w:hAnsi="宋体" w:eastAsia="宋体" w:cs="宋体"/>
          <w:color w:val="000000" w:themeColor="text1"/>
          <w:kern w:val="0"/>
          <w:sz w:val="24"/>
          <w:szCs w:val="24"/>
          <w14:textFill>
            <w14:solidFill>
              <w14:schemeClr w14:val="tx1"/>
            </w14:solidFill>
          </w14:textFill>
        </w:rPr>
        <w:t>、提交投标文件截止时间后，由主持人通过系统发出投标文件解密指令，投标人按规定时间自行实施远程解密，解密限定在规定时间内完成</w:t>
      </w:r>
      <w:r>
        <w:rPr>
          <w:rFonts w:hint="eastAsia" w:ascii="宋体" w:hAnsi="宋体" w:eastAsia="宋体" w:cs="宋体"/>
          <w:color w:val="000000" w:themeColor="text1"/>
          <w:kern w:val="0"/>
          <w:sz w:val="24"/>
          <w:szCs w:val="24"/>
          <w:lang w:eastAsia="zh-CN"/>
          <w14:textFill>
            <w14:solidFill>
              <w14:schemeClr w14:val="tx1"/>
            </w14:solidFill>
          </w14:textFill>
        </w:rPr>
        <w:t>。</w:t>
      </w:r>
    </w:p>
    <w:p w14:paraId="1B3E6F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3.3、</w:t>
      </w:r>
      <w:r>
        <w:rPr>
          <w:rFonts w:hint="eastAsia" w:ascii="宋体" w:hAnsi="宋体" w:eastAsia="宋体" w:cs="宋体"/>
          <w:color w:val="000000" w:themeColor="text1"/>
          <w:kern w:val="0"/>
          <w:sz w:val="24"/>
          <w:szCs w:val="24"/>
          <w14:textFill>
            <w14:solidFill>
              <w14:schemeClr w14:val="tx1"/>
            </w14:solidFill>
          </w14:textFill>
        </w:rPr>
        <w:t>开标过程中，投标人应当重点关注不见面开标系统相关流程和互动区消息，并根据提醒及时进行投标文件在线解密等操作。</w:t>
      </w:r>
    </w:p>
    <w:p w14:paraId="4A922F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3.4</w:t>
      </w:r>
      <w:r>
        <w:rPr>
          <w:rFonts w:hint="eastAsia" w:ascii="宋体" w:hAnsi="宋体" w:eastAsia="宋体" w:cs="宋体"/>
          <w:color w:val="000000" w:themeColor="text1"/>
          <w:kern w:val="0"/>
          <w:sz w:val="24"/>
          <w:szCs w:val="24"/>
          <w14:textFill>
            <w14:solidFill>
              <w14:schemeClr w14:val="tx1"/>
            </w14:solidFill>
          </w14:textFill>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1E7763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3.5</w:t>
      </w:r>
      <w:r>
        <w:rPr>
          <w:rFonts w:hint="eastAsia" w:ascii="宋体" w:hAnsi="宋体" w:eastAsia="宋体" w:cs="宋体"/>
          <w:color w:val="000000" w:themeColor="text1"/>
          <w:kern w:val="0"/>
          <w:sz w:val="24"/>
          <w:szCs w:val="24"/>
          <w14:textFill>
            <w14:solidFill>
              <w14:schemeClr w14:val="tx1"/>
            </w14:solidFill>
          </w14:textFill>
        </w:rPr>
        <w:t>、因投标人自身原因未能按时完成投标文件解密，视为投标人放弃该项目投标，其投标文件将被退回；因交易中心不见面开标系统原因，导致投标人无法按时完成投标文件解密的，交易中心可根据实际情况相应延迟解密时间或调整开标时间。</w:t>
      </w:r>
    </w:p>
    <w:p w14:paraId="6D29AF7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3.6</w:t>
      </w:r>
      <w:r>
        <w:rPr>
          <w:rFonts w:hint="eastAsia" w:ascii="宋体" w:hAnsi="宋体" w:eastAsia="宋体" w:cs="宋体"/>
          <w:color w:val="000000" w:themeColor="text1"/>
          <w:kern w:val="0"/>
          <w:sz w:val="24"/>
          <w:szCs w:val="24"/>
          <w14:textFill>
            <w14:solidFill>
              <w14:schemeClr w14:val="tx1"/>
            </w14:solidFill>
          </w14:textFill>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投标申请人应及时获取招标文件、澄清或修改文件以及答疑等相关文件，在提交投标文件截止时间前必须递交投标文件，否则按无效处理。</w:t>
      </w:r>
    </w:p>
    <w:p w14:paraId="1D2F7E4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5.3投标文件的有效性</w:t>
      </w:r>
      <w:bookmarkEnd w:id="313"/>
      <w:bookmarkEnd w:id="314"/>
    </w:p>
    <w:p w14:paraId="78A9E1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5.3.1开标时，投标文件出现下列情况之一的，应当作为无效投标文件，不得进入评标：</w:t>
      </w:r>
    </w:p>
    <w:p w14:paraId="4C4529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本须知第3.1条规定的投标文件有关内容未按本须知第3.5.3条规定加盖投标人印章或未经法定代表人或其委托代理人签字或盖章的，由委托代理人签字或盖章的，但未随投标文件一起提交有效的“授权委托书”原件的；</w:t>
      </w:r>
    </w:p>
    <w:p w14:paraId="6DF114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w:t>
      </w:r>
    </w:p>
    <w:p w14:paraId="09FC09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 xml:space="preserve">投标人未按照招标文件的要求提供投标保证金的；                   </w:t>
      </w:r>
    </w:p>
    <w:p w14:paraId="348E27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投标文件不符合本须知第3.1条规定，其组成缺项者；</w:t>
      </w:r>
    </w:p>
    <w:p w14:paraId="13EA3B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 xml:space="preserve"> 开标大会在递交投标文件截止时间的同一时间举行，出席和参加大会的人员和代表，应在会议开始之前进行会议签到。</w:t>
      </w:r>
    </w:p>
    <w:p w14:paraId="0619AD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 xml:space="preserve"> 开标时，投标文件中出现下列情况，修正原则为。</w:t>
      </w:r>
    </w:p>
    <w:p w14:paraId="0C1D3F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a.投标报价的大写金额和小写不一致的，以大写金额为准；</w:t>
      </w:r>
    </w:p>
    <w:p w14:paraId="43621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b.单价金额小数点有明显错位的，以修改单价为准；</w:t>
      </w:r>
    </w:p>
    <w:p w14:paraId="06A18A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c.多处内容交叉不符时，以评标委员会评审结果为准；</w:t>
      </w:r>
    </w:p>
    <w:p w14:paraId="066DB3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d.文字与图表不符时以文字为准。</w:t>
      </w:r>
    </w:p>
    <w:p w14:paraId="294447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15" w:name="_Toc7178"/>
      <w:bookmarkStart w:id="316" w:name="_Toc21836"/>
      <w:bookmarkStart w:id="317" w:name="_Toc24451"/>
      <w:r>
        <w:rPr>
          <w:rFonts w:hint="eastAsia" w:ascii="宋体" w:hAnsi="宋体" w:eastAsia="宋体" w:cs="宋体"/>
          <w:color w:val="000000" w:themeColor="text1"/>
          <w:sz w:val="24"/>
          <w:szCs w:val="24"/>
          <w14:textFill>
            <w14:solidFill>
              <w14:schemeClr w14:val="tx1"/>
            </w14:solidFill>
          </w14:textFill>
        </w:rPr>
        <w:t>5.4开标异议</w:t>
      </w:r>
      <w:bookmarkEnd w:id="315"/>
      <w:bookmarkEnd w:id="316"/>
      <w:bookmarkEnd w:id="317"/>
    </w:p>
    <w:p w14:paraId="763604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kern w:val="0"/>
          <w:sz w:val="24"/>
          <w:szCs w:val="24"/>
          <w:lang w:val="en-US" w:eastAsia="zh-CN"/>
          <w14:textFill>
            <w14:solidFill>
              <w14:schemeClr w14:val="tx1"/>
            </w14:solidFill>
          </w14:textFill>
        </w:rPr>
      </w:pPr>
      <w:bookmarkStart w:id="318" w:name="_Toc247085720"/>
      <w:bookmarkStart w:id="319" w:name="_Toc152045562"/>
      <w:bookmarkStart w:id="320" w:name="_Toc144974530"/>
      <w:bookmarkStart w:id="321" w:name="_Toc152042338"/>
      <w:bookmarkStart w:id="322" w:name="_Toc16510"/>
      <w:bookmarkStart w:id="323" w:name="_Toc19772"/>
      <w:bookmarkStart w:id="324" w:name="_Toc179632580"/>
      <w:bookmarkStart w:id="325" w:name="_Toc246996206"/>
      <w:bookmarkStart w:id="326" w:name="_Toc246996949"/>
      <w:bookmarkStart w:id="327" w:name="_Toc8409"/>
      <w:r>
        <w:rPr>
          <w:rFonts w:hint="eastAsia" w:ascii="宋体" w:hAnsi="宋体" w:cs="宋体"/>
          <w:color w:val="000000" w:themeColor="text1"/>
          <w:kern w:val="0"/>
          <w:sz w:val="24"/>
          <w:szCs w:val="24"/>
          <w:lang w:val="en-US" w:eastAsia="zh-CN"/>
          <w14:textFill>
            <w14:solidFill>
              <w14:schemeClr w14:val="tx1"/>
            </w14:solidFill>
          </w14:textFill>
        </w:rPr>
        <w:t>投</w:t>
      </w:r>
      <w:r>
        <w:rPr>
          <w:rFonts w:hint="eastAsia" w:ascii="宋体" w:hAnsi="宋体" w:eastAsia="宋体" w:cs="宋体"/>
          <w:color w:val="000000" w:themeColor="text1"/>
          <w:kern w:val="0"/>
          <w:sz w:val="24"/>
          <w:szCs w:val="24"/>
          <w:lang w:val="en-US" w:eastAsia="zh-CN"/>
          <w14:textFill>
            <w14:solidFill>
              <w14:schemeClr w14:val="tx1"/>
            </w14:solidFill>
          </w14:textFill>
        </w:rPr>
        <w:t>标人代表对开标过程和开标记录有疑义，以及认为开标现场采购人、采购代理机构相关工作人员有需要回避的情形，应在开标大厅当场提出询问或回避申请，若投标人在开标会议结束前，未提出疑义，视其对开标过程和开标记录无疑义。</w:t>
      </w:r>
    </w:p>
    <w:p w14:paraId="3967EF7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 评标</w:t>
      </w:r>
      <w:bookmarkEnd w:id="318"/>
      <w:bookmarkEnd w:id="319"/>
      <w:bookmarkEnd w:id="320"/>
      <w:bookmarkEnd w:id="321"/>
      <w:bookmarkEnd w:id="322"/>
      <w:bookmarkEnd w:id="323"/>
      <w:bookmarkEnd w:id="324"/>
      <w:bookmarkEnd w:id="325"/>
      <w:bookmarkEnd w:id="326"/>
      <w:bookmarkEnd w:id="327"/>
    </w:p>
    <w:p w14:paraId="6CE0893A">
      <w:pPr>
        <w:pStyle w:val="4"/>
        <w:pageBreakBefore w:val="0"/>
        <w:wordWrap/>
        <w:topLinePunct w:val="0"/>
        <w:autoSpaceDE/>
        <w:autoSpaceDN/>
        <w:bidi w:val="0"/>
        <w:adjustRightInd/>
        <w:spacing w:before="0" w:beforeLines="0" w:after="0" w:afterLines="0" w:line="60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bookmarkStart w:id="328" w:name="_Toc179632581"/>
      <w:bookmarkStart w:id="329" w:name="_Toc247085721"/>
      <w:bookmarkStart w:id="330" w:name="_Toc144974531"/>
      <w:bookmarkStart w:id="331" w:name="_Toc17653"/>
      <w:bookmarkStart w:id="332" w:name="_Toc152042339"/>
      <w:bookmarkStart w:id="333" w:name="_Toc246996950"/>
      <w:bookmarkStart w:id="334" w:name="_Toc246996207"/>
      <w:bookmarkStart w:id="335" w:name="_Toc32310"/>
      <w:bookmarkStart w:id="336" w:name="_Toc24650"/>
      <w:bookmarkStart w:id="337" w:name="_Toc152045563"/>
      <w:r>
        <w:rPr>
          <w:rFonts w:hint="eastAsia" w:ascii="宋体" w:hAnsi="宋体" w:eastAsia="宋体" w:cs="宋体"/>
          <w:b w:val="0"/>
          <w:bCs w:val="0"/>
          <w:color w:val="000000" w:themeColor="text1"/>
          <w:sz w:val="24"/>
          <w:szCs w:val="24"/>
          <w14:textFill>
            <w14:solidFill>
              <w14:schemeClr w14:val="tx1"/>
            </w14:solidFill>
          </w14:textFill>
        </w:rPr>
        <w:t>6.1 评标委员会</w:t>
      </w:r>
      <w:bookmarkEnd w:id="328"/>
      <w:bookmarkEnd w:id="329"/>
      <w:bookmarkEnd w:id="330"/>
      <w:bookmarkEnd w:id="331"/>
      <w:bookmarkEnd w:id="332"/>
      <w:bookmarkEnd w:id="333"/>
      <w:bookmarkEnd w:id="334"/>
      <w:bookmarkEnd w:id="335"/>
      <w:bookmarkEnd w:id="336"/>
      <w:bookmarkEnd w:id="337"/>
    </w:p>
    <w:p w14:paraId="11268BE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6.1.1 </w:t>
      </w:r>
      <w:r>
        <w:rPr>
          <w:rFonts w:hint="eastAsia" w:ascii="宋体" w:hAnsi="宋体" w:eastAsia="宋体" w:cs="宋体"/>
          <w:color w:val="000000" w:themeColor="text1"/>
          <w:sz w:val="24"/>
          <w:szCs w:val="24"/>
          <w:lang w:val="en-US" w:eastAsia="zh-CN"/>
          <w14:textFill>
            <w14:solidFill>
              <w14:schemeClr w14:val="tx1"/>
            </w14:solidFill>
          </w14:textFill>
        </w:rPr>
        <w:t>评标委员会由采购人代表和评审专家组成，成员人数应当为5人以上单数，其中评审专家不得少于成员总数的三分之二。</w:t>
      </w:r>
    </w:p>
    <w:p w14:paraId="3C5C6C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6.1.2 评标委员会成员有下列情形之一的，应当回避：</w:t>
      </w:r>
    </w:p>
    <w:p w14:paraId="60183B27">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（1）投标人或投标人主要负责人的近亲属；</w:t>
      </w:r>
    </w:p>
    <w:p w14:paraId="7A5E418D">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（2）项目主管部门或者行政监督部门的人员；</w:t>
      </w:r>
    </w:p>
    <w:p w14:paraId="5FD26AFA">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（3）与投标人有经济利益关系；</w:t>
      </w:r>
    </w:p>
    <w:p w14:paraId="4EB3CAC4">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（4）曾因在招标、评标以及其他与招标投标有关活动中从事违法行为而受过行政处罚或刑事处罚的；</w:t>
      </w:r>
    </w:p>
    <w:p w14:paraId="1550AF98">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（5）与投标人有其他利害关系。</w:t>
      </w:r>
    </w:p>
    <w:p w14:paraId="1D54EC7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38" w:name="_Toc179632582"/>
      <w:bookmarkStart w:id="339" w:name="_Toc246996208"/>
      <w:bookmarkStart w:id="340" w:name="_Toc390"/>
      <w:bookmarkStart w:id="341" w:name="_Toc16516"/>
      <w:bookmarkStart w:id="342" w:name="_Toc144974532"/>
      <w:bookmarkStart w:id="343" w:name="_Toc346"/>
      <w:bookmarkStart w:id="344" w:name="_Toc247085722"/>
      <w:bookmarkStart w:id="345" w:name="_Toc152045564"/>
      <w:bookmarkStart w:id="346" w:name="_Toc152042340"/>
      <w:bookmarkStart w:id="347" w:name="_Toc246996951"/>
      <w:r>
        <w:rPr>
          <w:rFonts w:hint="eastAsia" w:ascii="宋体" w:hAnsi="宋体" w:eastAsia="宋体" w:cs="宋体"/>
          <w:color w:val="000000" w:themeColor="text1"/>
          <w:sz w:val="24"/>
          <w:szCs w:val="24"/>
          <w14:textFill>
            <w14:solidFill>
              <w14:schemeClr w14:val="tx1"/>
            </w14:solidFill>
          </w14:textFill>
        </w:rPr>
        <w:t xml:space="preserve">6.2 </w:t>
      </w:r>
      <w:bookmarkEnd w:id="338"/>
      <w:bookmarkEnd w:id="339"/>
      <w:bookmarkEnd w:id="340"/>
      <w:bookmarkEnd w:id="341"/>
      <w:bookmarkEnd w:id="342"/>
      <w:bookmarkEnd w:id="343"/>
      <w:bookmarkEnd w:id="344"/>
      <w:bookmarkEnd w:id="345"/>
      <w:bookmarkEnd w:id="346"/>
      <w:bookmarkEnd w:id="347"/>
      <w:r>
        <w:rPr>
          <w:rFonts w:hint="eastAsia" w:ascii="宋体" w:hAnsi="宋体" w:eastAsia="宋体" w:cs="宋体"/>
          <w:color w:val="000000" w:themeColor="text1"/>
          <w:sz w:val="24"/>
          <w:szCs w:val="24"/>
          <w14:textFill>
            <w14:solidFill>
              <w14:schemeClr w14:val="tx1"/>
            </w14:solidFill>
          </w14:textFill>
        </w:rPr>
        <w:t>评标委员会应当遵守并履行下列职责义务：</w:t>
      </w:r>
    </w:p>
    <w:p w14:paraId="7023D54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a.遵纪守法，客观、公正、认真负责的履行职责，审查投标文件是否符合招标文件的要求，并作出评价；</w:t>
      </w:r>
    </w:p>
    <w:p w14:paraId="24A88A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b.要求投标人对投标文件有关事项作出解释或者澄清；</w:t>
      </w:r>
    </w:p>
    <w:p w14:paraId="7917A6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c.按照招标文件的要求和评标办法进行评标，推荐中标候选人名单；</w:t>
      </w:r>
    </w:p>
    <w:p w14:paraId="67359C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d.配合</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答复投标人提出的质疑；</w:t>
      </w:r>
    </w:p>
    <w:p w14:paraId="5FD26A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e.评标委员会有权就投标文件中有疑义之处或前后表述不一致的问题，向投标人提出询问或澄清。投标人必须在评标委员会规定的时间内派技术和商务人员进行澄清，有关澄清的内容应以书面形式提交，并由投标人法定代表人或委托代理人签字确认。澄清时投标人只作说明和解释，不得借此对投标报价、优惠条件、售后服务等实质性内容做任何修改。</w:t>
      </w:r>
    </w:p>
    <w:p w14:paraId="1BF42E2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f.评标委员会有权对开标、评标过程中出现的一切问题，根据相关法律法规，本着公平、公正的原则，提出处理意见，经采购人、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同意后做出处理决定。</w:t>
      </w:r>
    </w:p>
    <w:p w14:paraId="321CCF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g.向</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或有关部门报告非法干预评标工作的行为。</w:t>
      </w:r>
    </w:p>
    <w:p w14:paraId="2B02090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 评标保密工作</w:t>
      </w:r>
    </w:p>
    <w:p w14:paraId="05B544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6.3.1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必须采取必要措施，保证评标工作在严格保密的情况下进行。任何单位和个人不得非法干预、影响评标方法的确定，以及评标过程和结果。</w:t>
      </w:r>
    </w:p>
    <w:p w14:paraId="723B3C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01718F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 定标程序</w:t>
      </w:r>
    </w:p>
    <w:p w14:paraId="5B44CEC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6.4.1 </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在评标工作结束后2个工作日内，将评标报告送采购人。</w:t>
      </w:r>
    </w:p>
    <w:p w14:paraId="508B0CA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6.4.2 采购人在收到评标报告后5个工作日内，按照评标报告中推荐的中标候选人顺序确定中标供应商，并函复</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w:t>
      </w:r>
    </w:p>
    <w:p w14:paraId="091B78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6.4.3 中标供应商确定之日发出中标通知书，并在省级以上人民政府财政部门指定的媒体上公告中标结果。</w:t>
      </w:r>
    </w:p>
    <w:p w14:paraId="00EEC7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6.4.4 中标供应商因不可抗力或者自身原因不能履行政府采购合同的，采购人可以与排序在中标供应商之后第一位的中标候选人签订政府采购合同，以此类推至第二位。</w:t>
      </w:r>
    </w:p>
    <w:p w14:paraId="13959714">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48" w:name="_Toc152042342"/>
      <w:bookmarkStart w:id="349" w:name="_Toc144974534"/>
      <w:bookmarkStart w:id="350" w:name="_Toc152045566"/>
      <w:bookmarkStart w:id="351" w:name="_Toc179632584"/>
      <w:bookmarkStart w:id="352" w:name="_Toc247085724"/>
      <w:bookmarkStart w:id="353" w:name="_Toc24420"/>
      <w:bookmarkStart w:id="354" w:name="_Toc246996210"/>
      <w:bookmarkStart w:id="355" w:name="_Toc246996953"/>
      <w:bookmarkStart w:id="356" w:name="_Toc19723"/>
      <w:bookmarkStart w:id="357" w:name="_Toc21695"/>
      <w:r>
        <w:rPr>
          <w:rFonts w:hint="eastAsia" w:ascii="宋体" w:hAnsi="宋体" w:eastAsia="宋体" w:cs="宋体"/>
          <w:color w:val="000000" w:themeColor="text1"/>
          <w:sz w:val="24"/>
          <w:szCs w:val="24"/>
          <w14:textFill>
            <w14:solidFill>
              <w14:schemeClr w14:val="tx1"/>
            </w14:solidFill>
          </w14:textFill>
        </w:rPr>
        <w:t>7. 合同授予</w:t>
      </w:r>
      <w:bookmarkEnd w:id="348"/>
      <w:bookmarkEnd w:id="349"/>
      <w:bookmarkEnd w:id="350"/>
      <w:bookmarkEnd w:id="351"/>
      <w:bookmarkEnd w:id="352"/>
      <w:bookmarkEnd w:id="353"/>
      <w:bookmarkEnd w:id="354"/>
      <w:bookmarkEnd w:id="355"/>
      <w:bookmarkEnd w:id="356"/>
      <w:bookmarkEnd w:id="357"/>
    </w:p>
    <w:p w14:paraId="6655017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58" w:name="_Toc179632585"/>
      <w:bookmarkStart w:id="359" w:name="_Toc144974535"/>
      <w:bookmarkStart w:id="360" w:name="_Toc247085725"/>
      <w:bookmarkStart w:id="361" w:name="_Toc23291"/>
      <w:bookmarkStart w:id="362" w:name="_Toc246996211"/>
      <w:bookmarkStart w:id="363" w:name="_Toc152042343"/>
      <w:bookmarkStart w:id="364" w:name="_Toc26031"/>
      <w:bookmarkStart w:id="365" w:name="_Toc461"/>
      <w:bookmarkStart w:id="366" w:name="_Toc152045567"/>
      <w:bookmarkStart w:id="367" w:name="_Toc246996954"/>
      <w:r>
        <w:rPr>
          <w:rFonts w:hint="eastAsia" w:ascii="宋体" w:hAnsi="宋体" w:eastAsia="宋体" w:cs="宋体"/>
          <w:color w:val="000000" w:themeColor="text1"/>
          <w:sz w:val="24"/>
          <w:szCs w:val="24"/>
          <w14:textFill>
            <w14:solidFill>
              <w14:schemeClr w14:val="tx1"/>
            </w14:solidFill>
          </w14:textFill>
        </w:rPr>
        <w:t xml:space="preserve">7.1 </w:t>
      </w:r>
      <w:bookmarkEnd w:id="358"/>
      <w:bookmarkEnd w:id="359"/>
      <w:bookmarkEnd w:id="360"/>
      <w:bookmarkEnd w:id="361"/>
      <w:bookmarkEnd w:id="362"/>
      <w:bookmarkEnd w:id="363"/>
      <w:bookmarkEnd w:id="364"/>
      <w:bookmarkEnd w:id="365"/>
      <w:bookmarkEnd w:id="366"/>
      <w:bookmarkEnd w:id="367"/>
      <w:r>
        <w:rPr>
          <w:rFonts w:hint="eastAsia" w:ascii="宋体" w:hAnsi="宋体" w:eastAsia="宋体" w:cs="宋体"/>
          <w:color w:val="000000" w:themeColor="text1"/>
          <w:sz w:val="24"/>
          <w:szCs w:val="24"/>
          <w14:textFill>
            <w14:solidFill>
              <w14:schemeClr w14:val="tx1"/>
            </w14:solidFill>
          </w14:textFill>
        </w:rPr>
        <w:t>签订合同</w:t>
      </w:r>
    </w:p>
    <w:p w14:paraId="09E152F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368" w:name="_Toc23618"/>
      <w:bookmarkStart w:id="369" w:name="_Toc19535"/>
      <w:bookmarkStart w:id="370" w:name="_Toc2601"/>
      <w:r>
        <w:rPr>
          <w:rFonts w:hint="eastAsia" w:ascii="宋体" w:hAnsi="宋体" w:eastAsia="宋体" w:cs="宋体"/>
          <w:color w:val="000000" w:themeColor="text1"/>
          <w:sz w:val="24"/>
          <w:szCs w:val="24"/>
          <w14:textFill>
            <w14:solidFill>
              <w14:schemeClr w14:val="tx1"/>
            </w14:solidFill>
          </w14:textFill>
        </w:rPr>
        <w:t>7.1</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合同将授予有采购人出具的定标复函确认的供应商。排名第一的中标候选人放弃中标、 因不可抗力提出不能履行合同，或者招标文件规定应当提交履约保证金而在规定的期限内未能提交，或者被查实存在影响中标结果的违法行为等情形，不符合中标条件的，采购人可以按照评标委员会提出的中标候选人名单排序依次确定其他中标候选人为供应商。依次确定其他中标候选人与采购人预期差距较大，或者对采购人明显不利的，采购人可以重新招标。</w:t>
      </w:r>
    </w:p>
    <w:p w14:paraId="084CCA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 xml:space="preserve">2 </w:t>
      </w:r>
      <w:r>
        <w:rPr>
          <w:rFonts w:hint="eastAsia" w:ascii="宋体" w:hAnsi="宋体" w:eastAsia="宋体" w:cs="宋体"/>
          <w:color w:val="000000" w:themeColor="text1"/>
          <w:sz w:val="24"/>
          <w:szCs w:val="24"/>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w:t>
      </w:r>
      <w:r>
        <w:rPr>
          <w:rFonts w:hint="eastAsia" w:ascii="宋体" w:hAnsi="宋体" w:eastAsia="宋体" w:cs="宋体"/>
          <w:color w:val="000000" w:themeColor="text1"/>
          <w:sz w:val="24"/>
          <w:szCs w:val="24"/>
          <w14:textFill>
            <w14:solidFill>
              <w14:schemeClr w14:val="tx1"/>
            </w14:solidFill>
          </w14:textFill>
        </w:rPr>
        <w:t>中标人不能按投标文件，包括补充文件（如澄清、 承诺等） 中承诺的条件履行签约行为，采购人</w:t>
      </w:r>
      <w:r>
        <w:rPr>
          <w:rFonts w:hint="eastAsia" w:ascii="宋体" w:hAnsi="宋体" w:cs="宋体"/>
          <w:color w:val="000000" w:themeColor="text1"/>
          <w:sz w:val="24"/>
          <w:szCs w:val="24"/>
          <w:lang w:val="en-US" w:eastAsia="zh-CN"/>
          <w14:textFill>
            <w14:solidFill>
              <w14:schemeClr w14:val="tx1"/>
            </w14:solidFill>
          </w14:textFill>
        </w:rPr>
        <w:t>有权</w:t>
      </w:r>
      <w:r>
        <w:rPr>
          <w:rFonts w:hint="eastAsia" w:ascii="宋体" w:hAnsi="宋体" w:eastAsia="宋体" w:cs="宋体"/>
          <w:color w:val="000000" w:themeColor="text1"/>
          <w:sz w:val="24"/>
          <w:szCs w:val="24"/>
          <w14:textFill>
            <w14:solidFill>
              <w14:schemeClr w14:val="tx1"/>
            </w14:solidFill>
          </w14:textFill>
        </w:rPr>
        <w:t>取消其</w:t>
      </w:r>
      <w:r>
        <w:rPr>
          <w:rFonts w:hint="eastAsia" w:ascii="宋体" w:hAnsi="宋体" w:cs="宋体"/>
          <w:color w:val="000000" w:themeColor="text1"/>
          <w:sz w:val="24"/>
          <w:szCs w:val="24"/>
          <w:lang w:val="en-US" w:eastAsia="zh-CN"/>
          <w14:textFill>
            <w14:solidFill>
              <w14:schemeClr w14:val="tx1"/>
            </w14:solidFill>
          </w14:textFill>
        </w:rPr>
        <w:t>中标</w:t>
      </w:r>
      <w:r>
        <w:rPr>
          <w:rFonts w:hint="eastAsia" w:ascii="宋体" w:hAnsi="宋体" w:eastAsia="宋体" w:cs="宋体"/>
          <w:color w:val="000000" w:themeColor="text1"/>
          <w:sz w:val="24"/>
          <w:szCs w:val="24"/>
          <w14:textFill>
            <w14:solidFill>
              <w14:schemeClr w14:val="tx1"/>
            </w14:solidFill>
          </w14:textFill>
        </w:rPr>
        <w:t>资格，并扣除其投标保证金。</w:t>
      </w:r>
    </w:p>
    <w:p w14:paraId="7F51F7A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应当督促采购人、中标供应商在规定的期限内完成合同签订工作，并对采购合同内容进行审核确认。</w:t>
      </w:r>
    </w:p>
    <w:p w14:paraId="3F0B29F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1.4</w:t>
      </w:r>
      <w:r>
        <w:rPr>
          <w:rFonts w:hint="eastAsia" w:ascii="宋体" w:hAnsi="宋体" w:eastAsia="宋体" w:cs="宋体"/>
          <w:color w:val="000000" w:themeColor="text1"/>
          <w:sz w:val="24"/>
          <w:szCs w:val="24"/>
          <w14:textFill>
            <w14:solidFill>
              <w14:schemeClr w14:val="tx1"/>
            </w14:solidFill>
          </w14:textFill>
        </w:rPr>
        <w:t>合同在执行过程中，确需修改、变更时，应当按照相应的审核批准程序办理。</w:t>
      </w:r>
    </w:p>
    <w:p w14:paraId="32ED3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1.5</w:t>
      </w:r>
      <w:r>
        <w:rPr>
          <w:rFonts w:hint="eastAsia" w:ascii="宋体" w:hAnsi="宋体" w:eastAsia="宋体" w:cs="宋体"/>
          <w:color w:val="000000" w:themeColor="text1"/>
          <w:sz w:val="24"/>
          <w:szCs w:val="24"/>
          <w14:textFill>
            <w14:solidFill>
              <w14:schemeClr w14:val="tx1"/>
            </w14:solidFill>
          </w14:textFill>
        </w:rPr>
        <w:t>招标文件、投标文件、补充协议等为合同的组成部分，具有同等法律效力。</w:t>
      </w:r>
    </w:p>
    <w:p w14:paraId="6DB1667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7.2 </w:t>
      </w:r>
      <w:bookmarkStart w:id="371" w:name="_Toc179632586"/>
      <w:bookmarkStart w:id="372" w:name="_Toc152042344"/>
      <w:bookmarkStart w:id="373" w:name="_Toc152045568"/>
      <w:bookmarkStart w:id="374" w:name="_Toc247085726"/>
      <w:bookmarkStart w:id="375" w:name="_Toc246996955"/>
      <w:bookmarkStart w:id="376" w:name="_Toc144974536"/>
      <w:bookmarkStart w:id="377" w:name="_Toc246996212"/>
      <w:r>
        <w:rPr>
          <w:rFonts w:hint="eastAsia" w:ascii="宋体" w:hAnsi="宋体" w:eastAsia="宋体" w:cs="宋体"/>
          <w:color w:val="000000" w:themeColor="text1"/>
          <w:sz w:val="24"/>
          <w:szCs w:val="24"/>
          <w14:textFill>
            <w14:solidFill>
              <w14:schemeClr w14:val="tx1"/>
            </w14:solidFill>
          </w14:textFill>
        </w:rPr>
        <w:t>中标通知</w:t>
      </w:r>
      <w:bookmarkEnd w:id="368"/>
      <w:bookmarkEnd w:id="369"/>
      <w:bookmarkEnd w:id="370"/>
      <w:bookmarkEnd w:id="371"/>
      <w:bookmarkEnd w:id="372"/>
      <w:bookmarkEnd w:id="373"/>
      <w:bookmarkEnd w:id="374"/>
      <w:bookmarkEnd w:id="375"/>
      <w:bookmarkEnd w:id="376"/>
      <w:bookmarkEnd w:id="377"/>
    </w:p>
    <w:p w14:paraId="606544B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在公告中标结果的同时，采购人或采购代理机构应当向中标人发出中标通知书</w:t>
      </w:r>
      <w:r>
        <w:rPr>
          <w:rFonts w:hint="eastAsia" w:ascii="宋体" w:hAnsi="宋体" w:eastAsia="宋体" w:cs="宋体"/>
          <w:color w:val="000000" w:themeColor="text1"/>
          <w:sz w:val="24"/>
          <w:szCs w:val="24"/>
          <w14:textFill>
            <w14:solidFill>
              <w14:schemeClr w14:val="tx1"/>
            </w14:solidFill>
          </w14:textFill>
        </w:rPr>
        <w:t>，同时将中标结果通知未中标的投标人。</w:t>
      </w:r>
    </w:p>
    <w:p w14:paraId="30128C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 履约</w:t>
      </w:r>
      <w:r>
        <w:rPr>
          <w:rFonts w:hint="eastAsia" w:ascii="宋体" w:hAnsi="宋体" w:eastAsia="宋体" w:cs="宋体"/>
          <w:color w:val="000000" w:themeColor="text1"/>
          <w:sz w:val="24"/>
          <w:szCs w:val="24"/>
          <w:lang w:val="en-US" w:eastAsia="zh-CN"/>
          <w14:textFill>
            <w14:solidFill>
              <w14:schemeClr w14:val="tx1"/>
            </w14:solidFill>
          </w14:textFill>
        </w:rPr>
        <w:t>保证金</w:t>
      </w:r>
    </w:p>
    <w:p w14:paraId="629E0F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为保证采购合同的履行，确需收取履约保证金的，履约保证金收取比例应不超过合同金额的5%。中标或成交供应商合同主要义务履行完毕后，采购人或采购代理机构应按照合同约定及时退还。</w:t>
      </w:r>
    </w:p>
    <w:p w14:paraId="2AB69C5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78" w:name="_Toc247085727"/>
      <w:bookmarkStart w:id="379" w:name="_Toc152042345"/>
      <w:bookmarkStart w:id="380" w:name="_Toc152045569"/>
      <w:bookmarkStart w:id="381" w:name="_Toc32758"/>
      <w:bookmarkStart w:id="382" w:name="_Toc24057"/>
      <w:bookmarkStart w:id="383" w:name="_Toc179632587"/>
      <w:bookmarkStart w:id="384" w:name="_Toc246996956"/>
      <w:bookmarkStart w:id="385" w:name="_Toc144974537"/>
      <w:bookmarkStart w:id="386" w:name="_Toc27185"/>
      <w:bookmarkStart w:id="387" w:name="_Toc246996213"/>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履约担保</w:t>
      </w:r>
      <w:bookmarkEnd w:id="378"/>
      <w:bookmarkEnd w:id="379"/>
      <w:bookmarkEnd w:id="380"/>
      <w:bookmarkEnd w:id="381"/>
      <w:bookmarkEnd w:id="382"/>
      <w:bookmarkEnd w:id="383"/>
      <w:bookmarkEnd w:id="384"/>
      <w:bookmarkEnd w:id="385"/>
      <w:bookmarkEnd w:id="386"/>
      <w:bookmarkEnd w:id="387"/>
    </w:p>
    <w:p w14:paraId="73B719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.1在签订合同前，中标人应按投标人须知前附表规定的担保形式或者事先经过采购人书面认可的履约担保格式向采购人提交履约担保。除投标人须知前附表另有规定外，履约担保金额为中标合同金额的</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p>
    <w:p w14:paraId="02B053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.2 中标人不能按本章第7.</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项要求提交履约担保的，视为放弃中标，其投标保证金不予退还，给采购人造成的损失超过投标保证金数额的，中标人还应当对超过部分予以赔偿。</w:t>
      </w:r>
    </w:p>
    <w:p w14:paraId="6923A718">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88" w:name="_Toc18338"/>
      <w:bookmarkStart w:id="389" w:name="_Toc15263"/>
      <w:bookmarkStart w:id="390" w:name="_Toc16299"/>
      <w:r>
        <w:rPr>
          <w:rFonts w:hint="eastAsia" w:ascii="宋体" w:hAnsi="宋体" w:eastAsia="宋体" w:cs="宋体"/>
          <w:color w:val="000000" w:themeColor="text1"/>
          <w:sz w:val="24"/>
          <w:szCs w:val="24"/>
          <w14:textFill>
            <w14:solidFill>
              <w14:schemeClr w14:val="tx1"/>
            </w14:solidFill>
          </w14:textFill>
        </w:rPr>
        <w:t>8. 纪律和监督</w:t>
      </w:r>
      <w:bookmarkEnd w:id="388"/>
      <w:bookmarkEnd w:id="389"/>
      <w:bookmarkEnd w:id="390"/>
    </w:p>
    <w:p w14:paraId="4806EE5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391" w:name="_Toc179632593"/>
      <w:bookmarkStart w:id="392" w:name="_Toc152045575"/>
      <w:bookmarkStart w:id="393" w:name="_Toc246996219"/>
      <w:bookmarkStart w:id="394" w:name="_Toc11012"/>
      <w:bookmarkStart w:id="395" w:name="_Toc296590983"/>
      <w:bookmarkStart w:id="396" w:name="_Toc9257"/>
      <w:bookmarkStart w:id="397" w:name="_Toc152042351"/>
      <w:bookmarkStart w:id="398" w:name="_Toc144974543"/>
      <w:bookmarkStart w:id="399" w:name="_Toc246996962"/>
      <w:bookmarkStart w:id="400" w:name="_Toc15654"/>
      <w:bookmarkStart w:id="401" w:name="_Toc247085733"/>
      <w:r>
        <w:rPr>
          <w:rFonts w:hint="eastAsia" w:ascii="宋体" w:hAnsi="宋体" w:eastAsia="宋体" w:cs="宋体"/>
          <w:color w:val="000000" w:themeColor="text1"/>
          <w:sz w:val="24"/>
          <w:szCs w:val="24"/>
          <w14:textFill>
            <w14:solidFill>
              <w14:schemeClr w14:val="tx1"/>
            </w14:solidFill>
          </w14:textFill>
        </w:rPr>
        <w:t>8.1 对采购人的纪律要求</w:t>
      </w:r>
      <w:bookmarkEnd w:id="391"/>
      <w:bookmarkEnd w:id="392"/>
      <w:bookmarkEnd w:id="393"/>
      <w:bookmarkEnd w:id="394"/>
      <w:bookmarkEnd w:id="395"/>
      <w:bookmarkEnd w:id="396"/>
      <w:bookmarkEnd w:id="397"/>
      <w:bookmarkEnd w:id="398"/>
      <w:bookmarkEnd w:id="399"/>
      <w:bookmarkEnd w:id="400"/>
      <w:bookmarkEnd w:id="401"/>
    </w:p>
    <w:p w14:paraId="3529F4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采购人不得泄漏招标投标活动中应当保密的情况和资料，不得与投标人串通损害国家利益、社会公共利益或者他人合法权益。</w:t>
      </w:r>
    </w:p>
    <w:p w14:paraId="5A9B900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02" w:name="_Toc9119"/>
      <w:bookmarkStart w:id="403" w:name="_Toc179632594"/>
      <w:bookmarkStart w:id="404" w:name="_Toc246996220"/>
      <w:bookmarkStart w:id="405" w:name="_Toc246996963"/>
      <w:bookmarkStart w:id="406" w:name="_Toc247085734"/>
      <w:bookmarkStart w:id="407" w:name="_Toc27112"/>
      <w:bookmarkStart w:id="408" w:name="_Toc152042352"/>
      <w:bookmarkStart w:id="409" w:name="_Toc13979"/>
      <w:bookmarkStart w:id="410" w:name="_Toc144974544"/>
      <w:bookmarkStart w:id="411" w:name="_Toc152045576"/>
      <w:r>
        <w:rPr>
          <w:rFonts w:hint="eastAsia" w:ascii="宋体" w:hAnsi="宋体" w:eastAsia="宋体" w:cs="宋体"/>
          <w:color w:val="000000" w:themeColor="text1"/>
          <w:sz w:val="24"/>
          <w:szCs w:val="24"/>
          <w14:textFill>
            <w14:solidFill>
              <w14:schemeClr w14:val="tx1"/>
            </w14:solidFill>
          </w14:textFill>
        </w:rPr>
        <w:t>8.2 对投标人的纪律要求</w:t>
      </w:r>
      <w:bookmarkEnd w:id="402"/>
      <w:bookmarkEnd w:id="403"/>
      <w:bookmarkEnd w:id="404"/>
      <w:bookmarkEnd w:id="405"/>
      <w:bookmarkEnd w:id="406"/>
      <w:bookmarkEnd w:id="407"/>
      <w:bookmarkEnd w:id="408"/>
      <w:bookmarkEnd w:id="409"/>
      <w:bookmarkEnd w:id="410"/>
      <w:bookmarkEnd w:id="411"/>
    </w:p>
    <w:p w14:paraId="33CD55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50C21E3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12" w:name="_Toc144974545"/>
      <w:bookmarkStart w:id="413" w:name="_Toc14763"/>
      <w:bookmarkStart w:id="414" w:name="_Toc6639"/>
      <w:bookmarkStart w:id="415" w:name="_Toc152042353"/>
      <w:bookmarkStart w:id="416" w:name="_Toc247085735"/>
      <w:bookmarkStart w:id="417" w:name="_Toc24158"/>
      <w:bookmarkStart w:id="418" w:name="_Toc246996221"/>
      <w:bookmarkStart w:id="419" w:name="_Toc152045577"/>
      <w:bookmarkStart w:id="420" w:name="_Toc179632595"/>
      <w:bookmarkStart w:id="421" w:name="_Toc246996964"/>
      <w:r>
        <w:rPr>
          <w:rFonts w:hint="eastAsia" w:ascii="宋体" w:hAnsi="宋体" w:eastAsia="宋体" w:cs="宋体"/>
          <w:color w:val="000000" w:themeColor="text1"/>
          <w:sz w:val="24"/>
          <w:szCs w:val="24"/>
          <w14:textFill>
            <w14:solidFill>
              <w14:schemeClr w14:val="tx1"/>
            </w14:solidFill>
          </w14:textFill>
        </w:rPr>
        <w:t>8.3 对评标委员会成员的纪律要求</w:t>
      </w:r>
      <w:bookmarkEnd w:id="412"/>
      <w:bookmarkEnd w:id="413"/>
      <w:bookmarkEnd w:id="414"/>
      <w:bookmarkEnd w:id="415"/>
      <w:bookmarkEnd w:id="416"/>
      <w:bookmarkEnd w:id="417"/>
      <w:bookmarkEnd w:id="418"/>
      <w:bookmarkEnd w:id="419"/>
      <w:bookmarkEnd w:id="420"/>
      <w:bookmarkEnd w:id="421"/>
    </w:p>
    <w:p w14:paraId="44FC43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FCAF70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22" w:name="_Toc746"/>
      <w:bookmarkStart w:id="423" w:name="_Toc246996965"/>
      <w:bookmarkStart w:id="424" w:name="_Toc246996222"/>
      <w:bookmarkStart w:id="425" w:name="_Toc18417"/>
      <w:bookmarkStart w:id="426" w:name="_Toc10721"/>
      <w:bookmarkStart w:id="427" w:name="_Toc152042354"/>
      <w:bookmarkStart w:id="428" w:name="_Toc152045578"/>
      <w:bookmarkStart w:id="429" w:name="_Toc247085736"/>
      <w:bookmarkStart w:id="430" w:name="_Toc179632596"/>
      <w:bookmarkStart w:id="431" w:name="_Toc144974546"/>
      <w:r>
        <w:rPr>
          <w:rFonts w:hint="eastAsia" w:ascii="宋体" w:hAnsi="宋体" w:eastAsia="宋体" w:cs="宋体"/>
          <w:color w:val="000000" w:themeColor="text1"/>
          <w:sz w:val="24"/>
          <w:szCs w:val="24"/>
          <w14:textFill>
            <w14:solidFill>
              <w14:schemeClr w14:val="tx1"/>
            </w14:solidFill>
          </w14:textFill>
        </w:rPr>
        <w:t>8.4 对与评标活动有关的工作人员的纪律要求</w:t>
      </w:r>
      <w:bookmarkEnd w:id="422"/>
      <w:bookmarkEnd w:id="423"/>
      <w:bookmarkEnd w:id="424"/>
      <w:bookmarkEnd w:id="425"/>
      <w:bookmarkEnd w:id="426"/>
      <w:bookmarkEnd w:id="427"/>
      <w:bookmarkEnd w:id="428"/>
      <w:bookmarkEnd w:id="429"/>
      <w:bookmarkEnd w:id="430"/>
    </w:p>
    <w:p w14:paraId="1EF840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32" w:name="_Toc152042355"/>
      <w:r>
        <w:rPr>
          <w:rFonts w:hint="eastAsia" w:ascii="宋体" w:hAnsi="宋体" w:eastAsia="宋体" w:cs="宋体"/>
          <w:color w:val="000000" w:themeColor="text1"/>
          <w:sz w:val="24"/>
          <w:szCs w:val="24"/>
          <w14:textFill>
            <w14:solidFill>
              <w14:schemeClr w14:val="tx1"/>
            </w14:solidFill>
          </w14:textFill>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32"/>
    </w:p>
    <w:p w14:paraId="3848217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bookmarkStart w:id="433" w:name="_Toc152042356"/>
      <w:bookmarkStart w:id="434" w:name="_Toc22014"/>
      <w:bookmarkStart w:id="435" w:name="_Toc179632597"/>
      <w:bookmarkStart w:id="436" w:name="_Toc247085737"/>
      <w:bookmarkStart w:id="437" w:name="_Toc246996966"/>
      <w:bookmarkStart w:id="438" w:name="_Toc14107"/>
      <w:bookmarkStart w:id="439" w:name="_Toc22107"/>
      <w:bookmarkStart w:id="440" w:name="_Toc246996223"/>
      <w:bookmarkStart w:id="441" w:name="_Toc152045579"/>
      <w:r>
        <w:rPr>
          <w:rFonts w:hint="eastAsia" w:ascii="宋体" w:hAnsi="宋体" w:eastAsia="宋体" w:cs="宋体"/>
          <w:color w:val="000000" w:themeColor="text1"/>
          <w:sz w:val="24"/>
          <w:szCs w:val="24"/>
          <w14:textFill>
            <w14:solidFill>
              <w14:schemeClr w14:val="tx1"/>
            </w14:solidFill>
          </w14:textFill>
        </w:rPr>
        <w:t>8.5 投诉</w:t>
      </w:r>
      <w:bookmarkEnd w:id="431"/>
      <w:bookmarkEnd w:id="433"/>
      <w:bookmarkEnd w:id="434"/>
      <w:bookmarkEnd w:id="435"/>
      <w:bookmarkEnd w:id="436"/>
      <w:bookmarkEnd w:id="437"/>
      <w:bookmarkEnd w:id="438"/>
      <w:bookmarkEnd w:id="439"/>
      <w:bookmarkEnd w:id="440"/>
      <w:bookmarkEnd w:id="441"/>
    </w:p>
    <w:p w14:paraId="072C232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442" w:name="_Toc247085738"/>
      <w:bookmarkStart w:id="443" w:name="_Toc179632598"/>
      <w:bookmarkStart w:id="444" w:name="_Toc152045580"/>
      <w:bookmarkStart w:id="445" w:name="_Toc246996224"/>
      <w:bookmarkStart w:id="446" w:name="_Toc6779"/>
      <w:bookmarkStart w:id="447" w:name="_Toc152042357"/>
      <w:bookmarkStart w:id="448" w:name="_Toc144974547"/>
      <w:bookmarkStart w:id="449" w:name="_Toc24729"/>
      <w:bookmarkStart w:id="450" w:name="_Toc9155"/>
      <w:bookmarkStart w:id="451" w:name="_Toc246996967"/>
      <w:r>
        <w:rPr>
          <w:rFonts w:hint="eastAsia" w:ascii="宋体" w:hAnsi="宋体" w:eastAsia="宋体" w:cs="宋体"/>
          <w:color w:val="000000" w:themeColor="text1"/>
          <w:sz w:val="24"/>
          <w:szCs w:val="24"/>
          <w14:textFill>
            <w14:solidFill>
              <w14:schemeClr w14:val="tx1"/>
            </w14:solidFill>
          </w14:textFill>
        </w:rPr>
        <w:t>8.5.1供应商和其他利害关系人认为本次招标活动违反法律、法规和规章规定的，有权向有关行政监督部门投诉。</w:t>
      </w:r>
    </w:p>
    <w:p w14:paraId="689935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8.5.2供应商的质疑和投诉，详见《中华人民共和国财政部令第94号--政府采购质疑和投诉办法》有关规定。</w:t>
      </w:r>
    </w:p>
    <w:p w14:paraId="7612F76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8.5.3投诉人不得以投诉为名排挤竞争对手，不得进行虚假、恶意投诉，阻碍招标投标活动的正常进行。</w:t>
      </w:r>
    </w:p>
    <w:p w14:paraId="7F3F8AB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8.6评标过程的监控</w:t>
      </w:r>
    </w:p>
    <w:p w14:paraId="76C9D7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本项目评标过程实行全程录音、录像监控，供应商在评标过程中所进行的试图影响评标结果的不公正活动，可能导致其投标被拒绝。</w:t>
      </w:r>
    </w:p>
    <w:p w14:paraId="70F8A843">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8.7质疑</w:t>
      </w:r>
    </w:p>
    <w:p w14:paraId="1263FE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8.7.1供应商对采购事项有疑问的，应当按照《政府采购质疑和投诉办法》规定，以书面形式向采购人或代理机构提出，经法定代表人签字并加盖公章。</w:t>
      </w:r>
    </w:p>
    <w:p w14:paraId="73541F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8.7.2供应商认为招标文件、采购过程、中标或者成交结果使自己的权益受到损害的，可以在知道或者应知其权益受到损害之日起7个工作日内，以书面形式向采购人、采购代理机构提出质疑。</w:t>
      </w:r>
    </w:p>
    <w:p w14:paraId="12CE7D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8.7.3供应商对招标文件条款或技术参数有异议的，应当在开标前通过澄清或修改程序提出。供应商已经参与开标，并于开标后对招标文件提出质疑的，其质疑应当被视为无效质疑。在法定质疑期内对招标文件只能是一次性提出针对同一采购程序环节的质疑。</w:t>
      </w:r>
    </w:p>
    <w:p w14:paraId="5D029C2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8.7.4提出质疑的供应商（以下简称质疑供应商）应当是参与所质疑项目采购活动的供应商。潜在供应商已依法获取其可质疑的招标文件的，可以对该文件提出质疑。</w:t>
      </w:r>
    </w:p>
    <w:p w14:paraId="24C3E1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8.7.5对招标文件提出质疑的，应当在获取招标文件或者招标文件公告期限届满之日起7个工作日内提出。</w:t>
      </w:r>
    </w:p>
    <w:p w14:paraId="4FF3C9F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35FD62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8.7.7有下列情形之一的，属于无效质疑，代理机构可不予受理：</w:t>
      </w:r>
    </w:p>
    <w:p w14:paraId="408B4EB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（1）未在有效期限内提出质疑的；</w:t>
      </w:r>
    </w:p>
    <w:p w14:paraId="5B3DB3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（2）质疑未以书面形式提出的；</w:t>
      </w:r>
    </w:p>
    <w:p w14:paraId="2831B4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（3）所提交材料未明示属于质疑材料的；</w:t>
      </w:r>
    </w:p>
    <w:p w14:paraId="067846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（4）质疑书没有法定代表人签署本人姓名或印盖本人姓名章并加盖供应商公章；质疑书由参加采购项目的授权代表签署本人姓名或印盖本人姓名章的，没有法定代表人的特别授权；质疑书加盖合同专用章的；</w:t>
      </w:r>
    </w:p>
    <w:p w14:paraId="33F9664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（5）质疑书未提供有效联系人或联系方式的；</w:t>
      </w:r>
    </w:p>
    <w:p w14:paraId="42F82DA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（6）质疑事项已经进入投诉或者诉讼程序的；</w:t>
      </w:r>
    </w:p>
    <w:p w14:paraId="3E2114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（7）其它不符合受理条件的情形。</w:t>
      </w:r>
    </w:p>
    <w:p w14:paraId="51BD3C0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16194F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8.7.9供应商对评审过程、中标或者成交结果提出质疑的，采购人、采购代理机构可以组织原评标委员会、竞争性谈判小组、询价小组或者竞争性磋商小组协助答复质疑。</w:t>
      </w:r>
    </w:p>
    <w:p w14:paraId="40D269D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8.7.10质疑人有下列情形之一的，代理机构应驳回质疑：</w:t>
      </w:r>
    </w:p>
    <w:p w14:paraId="568B98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（1）质疑缺乏事实和法律依据的；</w:t>
      </w:r>
    </w:p>
    <w:p w14:paraId="259BDF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（2）质疑人捏造事实、提供虚假材料，或在一定期限内多次质疑而无实据的；</w:t>
      </w:r>
    </w:p>
    <w:p w14:paraId="474FFCC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（3）质疑已经处理并答复后，质疑人就同一事项又提起质疑且未提供新的有效证据的；</w:t>
      </w:r>
    </w:p>
    <w:p w14:paraId="53C0C5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（4）其他根据相关法律、法规应当予以驳回的情形。</w:t>
      </w:r>
    </w:p>
    <w:p w14:paraId="78D7159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8.7.11供应商进行虚假和恶意质疑的，代理机构可以提请有关部门将其列入不良记录名单，在一至三年内禁止参加政府采购活动，并将处理决定在相关政府采购媒体上公布。</w:t>
      </w:r>
    </w:p>
    <w:p w14:paraId="72C664F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8.7.12采购人、采购代理机构认为供应商质疑不成立，或者成立但未对中标、成交结果构成影响的，继续开展采购活动；认为供应商质疑成立且影响或者可能影响中标、成交结果的，按照下列情况处理：</w:t>
      </w:r>
    </w:p>
    <w:p w14:paraId="215F1E1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（一）对招标文件提出的质疑，依法通过澄清或者修改可以继续开展采购活动的，澄清或者修改招标文件后继续开展采购活动；否则应当修改招标文件后重新开展采购活动。</w:t>
      </w:r>
    </w:p>
    <w:p w14:paraId="77FA13D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0879C55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质疑答复导致中标、成交结果改变的，采购人或者采购代理机构应当将有关情况书面报告本级财政部门。</w:t>
      </w:r>
    </w:p>
    <w:p w14:paraId="28A17C5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8.7.13质疑供应商对采购人、采购代理机构的答复不满意，或者采购人、采购代理机构未在规定时间内作出答复的，可以在答复期满后15个工作日内向本办法第六条规定的财政部门提起投诉（投诉书范本见附件②）。</w:t>
      </w:r>
    </w:p>
    <w:p w14:paraId="570299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sectPr>
          <w:footerReference r:id="rId9" w:type="first"/>
          <w:footerReference r:id="rId8"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p>
    <w:p w14:paraId="3FAEF2CC">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附件①</w:t>
      </w:r>
    </w:p>
    <w:p w14:paraId="37EDBF58">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p>
    <w:p w14:paraId="5E06AA5F">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16AD127">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771E3DC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一、质疑供应商基本信息</w:t>
      </w:r>
    </w:p>
    <w:p w14:paraId="23C1D06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质疑供应商：                                        </w:t>
      </w:r>
    </w:p>
    <w:p w14:paraId="1BB782F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5768112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D08423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10B568A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0DA0150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C28ABD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284D598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p>
    <w:p w14:paraId="7194544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5B16D0C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二、质疑项目基本情况</w:t>
      </w:r>
    </w:p>
    <w:p w14:paraId="54975CC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质疑项目的名称：                                      </w:t>
      </w:r>
    </w:p>
    <w:p w14:paraId="415B1BA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质疑项目的编号：                                      </w:t>
      </w:r>
    </w:p>
    <w:p w14:paraId="3F9095F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55AB372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招标文件获取日期：                                    </w:t>
      </w:r>
    </w:p>
    <w:p w14:paraId="6DFA73B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三、质疑事项具体内容</w:t>
      </w:r>
    </w:p>
    <w:p w14:paraId="5284E3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质疑事项1：                                         </w:t>
      </w:r>
    </w:p>
    <w:p w14:paraId="5D9B3FA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171022D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373C153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质疑事项2</w:t>
      </w:r>
    </w:p>
    <w:p w14:paraId="3C76EC6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675BB4B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四、与质疑事项相关的质疑请求</w:t>
      </w:r>
    </w:p>
    <w:p w14:paraId="5D46FAD7">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0F6ADA5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2FF24B">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63C3CF24">
      <w:pPr>
        <w:keepNext w:val="0"/>
        <w:keepLines w:val="0"/>
        <w:pageBreakBefore w:val="0"/>
        <w:widowControl w:val="0"/>
        <w:kinsoku/>
        <w:wordWrap/>
        <w:overflowPunct/>
        <w:topLinePunct w:val="0"/>
        <w:autoSpaceDE/>
        <w:autoSpaceDN/>
        <w:bidi w:val="0"/>
        <w:adjustRightInd/>
        <w:snapToGrid/>
        <w:spacing w:line="600" w:lineRule="exact"/>
        <w:ind w:firstLine="3360" w:firstLineChars="1400"/>
        <w:textAlignment w:val="auto"/>
        <w:rPr>
          <w:rFonts w:hint="eastAsia" w:ascii="宋体" w:hAnsi="宋体" w:eastAsia="宋体" w:cs="宋体"/>
          <w:color w:val="000000" w:themeColor="text1"/>
          <w:sz w:val="24"/>
          <w:szCs w:val="24"/>
          <w14:textFill>
            <w14:solidFill>
              <w14:schemeClr w14:val="tx1"/>
            </w14:solidFill>
          </w14:textFill>
        </w:rPr>
      </w:pPr>
    </w:p>
    <w:p w14:paraId="6C57828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0D3B6655">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5AEDA377">
      <w:pPr>
        <w:keepNext w:val="0"/>
        <w:keepLines w:val="0"/>
        <w:pageBreakBefore w:val="0"/>
        <w:widowControl w:val="0"/>
        <w:kinsoku/>
        <w:wordWrap/>
        <w:overflowPunct/>
        <w:topLinePunct w:val="0"/>
        <w:autoSpaceDE/>
        <w:autoSpaceDN/>
        <w:bidi w:val="0"/>
        <w:adjustRightInd/>
        <w:snapToGrid/>
        <w:spacing w:line="600" w:lineRule="exact"/>
        <w:ind w:firstLine="5280" w:firstLineChars="2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1BAE82F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B20D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AEAC0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AD92F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5D96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947229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0A1E5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EB435B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09D5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C7811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8E52B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85BAB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B5ED67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5575267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质疑函制作说明：</w:t>
      </w:r>
    </w:p>
    <w:p w14:paraId="73E2764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1.供应商提出质疑时，应提交质疑函和必要的证明材料。</w:t>
      </w:r>
    </w:p>
    <w:p w14:paraId="675E7A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B30F2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3.质疑供应商若对项目的某一分包进行质疑，质疑函中应列明具体分包号。</w:t>
      </w:r>
    </w:p>
    <w:p w14:paraId="4F87DD9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4.质疑函的质疑事项应具体、明确，并有必要的事实依据和法律依据。</w:t>
      </w:r>
    </w:p>
    <w:p w14:paraId="1EE9A36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5.质疑函的质疑请求应与质疑事项相关。</w:t>
      </w:r>
    </w:p>
    <w:p w14:paraId="6B4CA30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017A42D1">
      <w:pPr>
        <w:pageBreakBefore w:val="0"/>
        <w:wordWrap/>
        <w:topLinePunct w:val="0"/>
        <w:autoSpaceDE/>
        <w:autoSpaceDN/>
        <w:bidi w:val="0"/>
        <w:adjustRightInd/>
        <w:spacing w:line="600" w:lineRule="exac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附件②</w:t>
      </w:r>
    </w:p>
    <w:p w14:paraId="67CC2638">
      <w:pPr>
        <w:pageBreakBefore w:val="0"/>
        <w:wordWrap/>
        <w:topLinePunct w:val="0"/>
        <w:autoSpaceDE/>
        <w:autoSpaceDN/>
        <w:bidi w:val="0"/>
        <w:adjustRightInd/>
        <w:spacing w:line="600" w:lineRule="exact"/>
        <w:ind w:firstLine="482" w:firstLineChars="200"/>
        <w:textAlignment w:val="auto"/>
        <w:rPr>
          <w:rFonts w:hint="eastAsia" w:ascii="宋体" w:hAnsi="宋体" w:eastAsia="宋体" w:cs="宋体"/>
          <w:b/>
          <w:bCs/>
          <w:color w:val="000000" w:themeColor="text1"/>
          <w:sz w:val="24"/>
          <w:szCs w:val="24"/>
          <w14:textFill>
            <w14:solidFill>
              <w14:schemeClr w14:val="tx1"/>
            </w14:solidFill>
          </w14:textFill>
        </w:rPr>
      </w:pPr>
    </w:p>
    <w:p w14:paraId="688AC761">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投诉书范本</w:t>
      </w:r>
    </w:p>
    <w:p w14:paraId="31E0C796">
      <w:pPr>
        <w:pageBreakBefore w:val="0"/>
        <w:wordWrap/>
        <w:topLinePunct w:val="0"/>
        <w:autoSpaceDE/>
        <w:autoSpaceDN/>
        <w:bidi w:val="0"/>
        <w:adjustRightInd/>
        <w:spacing w:line="600" w:lineRule="exact"/>
        <w:ind w:firstLine="562" w:firstLineChars="200"/>
        <w:jc w:val="center"/>
        <w:textAlignment w:val="auto"/>
        <w:rPr>
          <w:rFonts w:hint="eastAsia" w:ascii="宋体" w:hAnsi="宋体" w:eastAsia="宋体" w:cs="宋体"/>
          <w:b/>
          <w:bCs/>
          <w:color w:val="000000" w:themeColor="text1"/>
          <w:sz w:val="28"/>
          <w:szCs w:val="28"/>
          <w14:textFill>
            <w14:solidFill>
              <w14:schemeClr w14:val="tx1"/>
            </w14:solidFill>
          </w14:textFill>
        </w:rPr>
      </w:pPr>
    </w:p>
    <w:p w14:paraId="56E122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一、投诉相关主体基本情况</w:t>
      </w:r>
    </w:p>
    <w:p w14:paraId="280B895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投诉人：                                               </w:t>
      </w:r>
    </w:p>
    <w:p w14:paraId="15D34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4486814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46261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法定代表人/主要负责人：                                </w:t>
      </w:r>
    </w:p>
    <w:p w14:paraId="5E0537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864DA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授权代表：               </w:t>
      </w:r>
    </w:p>
    <w:p w14:paraId="1DEA03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138C20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2230D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7FEC7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被投诉人1：                                            </w:t>
      </w:r>
    </w:p>
    <w:p w14:paraId="350825B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682257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49D3DF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2991B20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5069A2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被投诉人2</w:t>
      </w:r>
    </w:p>
    <w:p w14:paraId="7B9576E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296E59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相关供应商：                                           </w:t>
      </w:r>
    </w:p>
    <w:p w14:paraId="5E0AE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                             </w:t>
      </w:r>
    </w:p>
    <w:p w14:paraId="2BCB5E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邮编：         </w:t>
      </w:r>
    </w:p>
    <w:p w14:paraId="6AE747B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联系人：               </w:t>
      </w:r>
    </w:p>
    <w:p w14:paraId="788AD7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                      </w:t>
      </w:r>
    </w:p>
    <w:p w14:paraId="703544B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二、投诉项目基本情况</w:t>
      </w:r>
    </w:p>
    <w:p w14:paraId="2CC9F6C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采购项目名称：                                         </w:t>
      </w:r>
    </w:p>
    <w:p w14:paraId="20206E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采购项目编号：                                        </w:t>
      </w:r>
    </w:p>
    <w:p w14:paraId="604FD3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采购人名称：                                           </w:t>
      </w:r>
    </w:p>
    <w:p w14:paraId="1C90B5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代理机构名称：                                         </w:t>
      </w:r>
    </w:p>
    <w:p w14:paraId="011E24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招标文件公告:是/否     </w:t>
      </w:r>
    </w:p>
    <w:p w14:paraId="49A6A73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6412DE9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采购结果公告:是/否     </w:t>
      </w:r>
    </w:p>
    <w:p w14:paraId="52FCDB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公告期限：                      </w:t>
      </w:r>
    </w:p>
    <w:p w14:paraId="784235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三、质疑基本情况</w:t>
      </w:r>
    </w:p>
    <w:p w14:paraId="5FDB96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投诉人于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日,向</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提出质疑，质疑事项为：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52B7FA0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采购人/代理机构于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日,就质疑事项作出了答复/没有在法定期限内作出答复。</w:t>
      </w:r>
    </w:p>
    <w:p w14:paraId="15C70F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四、投诉事项具体内容</w:t>
      </w:r>
    </w:p>
    <w:p w14:paraId="0DD5E6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投诉事项 1：                                       </w:t>
      </w:r>
    </w:p>
    <w:p w14:paraId="08A742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事实依据：                                         </w:t>
      </w:r>
    </w:p>
    <w:p w14:paraId="0F115D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法律依据：                                         </w:t>
      </w:r>
    </w:p>
    <w:p w14:paraId="187ABE5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投诉事项2</w:t>
      </w:r>
    </w:p>
    <w:p w14:paraId="190EAB2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p>
    <w:p w14:paraId="3FA6F5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5337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五、与投诉事项相关的投诉请求</w:t>
      </w:r>
    </w:p>
    <w:p w14:paraId="4B87D0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请求：     </w:t>
      </w:r>
    </w:p>
    <w:p w14:paraId="54FE542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7517A3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F2F867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p>
    <w:p w14:paraId="46BB9BB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公</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章：   </w:t>
      </w:r>
    </w:p>
    <w:p w14:paraId="4622B5B6">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签字(签字或盖章)：                     </w:t>
      </w:r>
    </w:p>
    <w:p w14:paraId="1F6BEE6C">
      <w:pPr>
        <w:pageBreakBefore w:val="0"/>
        <w:wordWrap/>
        <w:topLinePunct w:val="0"/>
        <w:autoSpaceDE/>
        <w:autoSpaceDN/>
        <w:bidi w:val="0"/>
        <w:adjustRightInd/>
        <w:spacing w:line="600" w:lineRule="exact"/>
        <w:ind w:firstLine="5760" w:firstLineChars="2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期：                </w:t>
      </w:r>
    </w:p>
    <w:p w14:paraId="4146C08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A4A6F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73E964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985E53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B8C3DF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079217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6EDE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67EAE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A32AA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299486D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3C0A24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1954F98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EFE55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A0A4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45015C36">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0275A22C">
      <w:pPr>
        <w:pageBreakBefore w:val="0"/>
        <w:wordWrap/>
        <w:topLinePunct w:val="0"/>
        <w:autoSpaceDE/>
        <w:autoSpaceDN/>
        <w:bidi w:val="0"/>
        <w:adjustRightInd/>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投诉书制作说明：</w:t>
      </w:r>
    </w:p>
    <w:p w14:paraId="2E19079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1.投诉人提起投诉时，应当提交投诉书和必要的证明材料，并按照被投诉人和与投诉事项有关的供应商数量提供投诉书副本。</w:t>
      </w:r>
    </w:p>
    <w:p w14:paraId="33511C2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投诉人若委托代理人进行投诉的，投诉书应按照要求列明“授权代表”的有关内容，并在附件中提交由投诉人签署的授权委托书。授权委托书应当载明代理人的姓名或者名称、代理事项、具体权限、期限和相关事项。</w:t>
      </w:r>
    </w:p>
    <w:p w14:paraId="2ED726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3.投诉人若对项目的某一分包进行投诉，投诉书应列明具体分包号。</w:t>
      </w:r>
    </w:p>
    <w:p w14:paraId="61CEE3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4.投诉书应简要列明质疑事项，质疑函、质疑答复等作为附件材料提供。</w:t>
      </w:r>
    </w:p>
    <w:p w14:paraId="794E9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5.投诉书的投诉事项应具体、明确，并有必要的事实依据和法律依据。</w:t>
      </w:r>
    </w:p>
    <w:p w14:paraId="18264A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6.投诉书的投诉请求应与投诉事项相关。</w:t>
      </w:r>
    </w:p>
    <w:p w14:paraId="27FF0A0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129E4F0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1E9E3A9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0B0DD387">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0DA5153">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086B2C">
      <w:pPr>
        <w:pageBreakBefore w:val="0"/>
        <w:wordWrap/>
        <w:topLinePunct w:val="0"/>
        <w:autoSpaceDE/>
        <w:autoSpaceDN/>
        <w:bidi w:val="0"/>
        <w:adjustRightInd/>
        <w:spacing w:before="0" w:beforeLines="0" w:after="0" w:afterLines="0"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5D9F63B">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7F43095A">
      <w:pPr>
        <w:pageBreakBefore w:val="0"/>
        <w:wordWrap/>
        <w:topLinePunct w:val="0"/>
        <w:autoSpaceDE/>
        <w:autoSpaceDN/>
        <w:bidi w:val="0"/>
        <w:adjustRightInd/>
        <w:spacing w:before="0" w:beforeLines="0" w:after="0" w:afterLines="0" w:line="600" w:lineRule="exact"/>
        <w:jc w:val="both"/>
        <w:textAlignment w:val="auto"/>
        <w:outlineLvl w:val="9"/>
        <w:rPr>
          <w:rFonts w:hint="eastAsia" w:ascii="宋体" w:hAnsi="宋体" w:eastAsia="宋体" w:cs="宋体"/>
          <w:color w:val="000000" w:themeColor="text1"/>
          <w:sz w:val="24"/>
          <w:szCs w:val="24"/>
          <w14:textFill>
            <w14:solidFill>
              <w14:schemeClr w14:val="tx1"/>
            </w14:solidFill>
          </w14:textFill>
        </w:rPr>
      </w:pPr>
    </w:p>
    <w:p w14:paraId="2BE5688F">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5DC49F3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C188A7D">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6C0E57A9">
      <w:pPr>
        <w:pageBreakBefore w:val="0"/>
        <w:wordWrap/>
        <w:topLinePunct w:val="0"/>
        <w:autoSpaceDE/>
        <w:autoSpaceDN/>
        <w:bidi w:val="0"/>
        <w:adjustRightInd/>
        <w:spacing w:line="600" w:lineRule="exact"/>
        <w:textAlignment w:val="auto"/>
        <w:outlineLvl w:val="9"/>
        <w:rPr>
          <w:rFonts w:hint="eastAsia" w:ascii="宋体" w:hAnsi="宋体" w:eastAsia="宋体" w:cs="宋体"/>
          <w:color w:val="000000" w:themeColor="text1"/>
          <w:sz w:val="24"/>
          <w:szCs w:val="24"/>
          <w14:textFill>
            <w14:solidFill>
              <w14:schemeClr w14:val="tx1"/>
            </w14:solidFill>
          </w14:textFill>
        </w:rPr>
      </w:pPr>
    </w:p>
    <w:p w14:paraId="3A89130B">
      <w:pPr>
        <w:pStyle w:val="3"/>
        <w:pageBreakBefore w:val="0"/>
        <w:numPr>
          <w:ilvl w:val="0"/>
          <w:numId w:val="4"/>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需要补充的其他内容</w:t>
      </w:r>
      <w:bookmarkEnd w:id="442"/>
      <w:bookmarkEnd w:id="443"/>
      <w:bookmarkEnd w:id="444"/>
      <w:bookmarkEnd w:id="445"/>
      <w:bookmarkEnd w:id="446"/>
      <w:bookmarkEnd w:id="447"/>
      <w:bookmarkEnd w:id="448"/>
      <w:bookmarkEnd w:id="449"/>
      <w:bookmarkEnd w:id="450"/>
      <w:bookmarkEnd w:id="451"/>
      <w:bookmarkStart w:id="452" w:name="_Toc19207"/>
      <w:bookmarkStart w:id="453" w:name="_Toc31455"/>
      <w:bookmarkStart w:id="454" w:name="_Toc22515"/>
    </w:p>
    <w:p w14:paraId="46291E4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9.1投标截止时，实际参加投标人不足三家的或在评标阶段有效投标人不足三家，除采购任务取消外，招标单位上报政府采购管理部门批准，按照以下原则处理：</w:t>
      </w:r>
    </w:p>
    <w:p w14:paraId="688526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a.招标文件没有不合理条款的，招标公告时间及程序符合规定的，同意采用竞争性谈判方式；</w:t>
      </w:r>
    </w:p>
    <w:p w14:paraId="0BC35C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b.招标文件存在不合理条款的，招标公告时间及程序不符合规定的，责成招标单位依法重新招标;</w:t>
      </w:r>
    </w:p>
    <w:p w14:paraId="13C25A7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9.2转为竞争性谈判方式，评标委员会将自行转为竞争性谈判小组，谈判文件以招标文件为基础，若有重大变动，以书面形式通知参加谈判的全体谈判响应单位；</w:t>
      </w:r>
    </w:p>
    <w:p w14:paraId="672B59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9.3转为竞争性谈判方式的，在谈判过程中将采取二次报价的形式，各投标单位的开标报价为第一次报价，谈判后参与竞争性谈判的各单位进行第二次报价。</w:t>
      </w:r>
    </w:p>
    <w:p w14:paraId="7184EF8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p>
    <w:p w14:paraId="6A996F05">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1E26CD92">
      <w:pPr>
        <w:pStyle w:val="2"/>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000000" w:themeColor="text1"/>
          <w:sz w:val="30"/>
          <w:szCs w:val="30"/>
          <w14:textFill>
            <w14:solidFill>
              <w14:schemeClr w14:val="tx1"/>
            </w14:solidFill>
          </w14:textFill>
        </w:rPr>
      </w:pPr>
      <w:bookmarkStart w:id="455" w:name="_Toc22717"/>
      <w:bookmarkStart w:id="456" w:name="_Toc4838"/>
      <w:bookmarkStart w:id="457" w:name="_Toc3162"/>
      <w:r>
        <w:rPr>
          <w:rFonts w:hint="eastAsia" w:ascii="宋体" w:hAnsi="宋体" w:eastAsia="宋体" w:cs="宋体"/>
          <w:color w:val="000000" w:themeColor="text1"/>
          <w:sz w:val="30"/>
          <w:szCs w:val="30"/>
          <w14:textFill>
            <w14:solidFill>
              <w14:schemeClr w14:val="tx1"/>
            </w14:solidFill>
          </w14:textFill>
        </w:rPr>
        <w:t>第三章  投标人资格证明文件及审核</w:t>
      </w:r>
      <w:bookmarkEnd w:id="455"/>
      <w:bookmarkEnd w:id="456"/>
      <w:bookmarkEnd w:id="457"/>
    </w:p>
    <w:p w14:paraId="02B36419">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一、供应商须</w:t>
      </w:r>
      <w:r>
        <w:rPr>
          <w:rFonts w:hint="eastAsia" w:ascii="宋体" w:hAnsi="宋体" w:eastAsia="宋体" w:cs="宋体"/>
          <w:b/>
          <w:color w:val="000000" w:themeColor="text1"/>
          <w:sz w:val="24"/>
          <w:szCs w:val="24"/>
          <w:lang w:val="en-US" w:eastAsia="zh-CN"/>
          <w14:textFill>
            <w14:solidFill>
              <w14:schemeClr w14:val="tx1"/>
            </w14:solidFill>
          </w14:textFill>
        </w:rPr>
        <w:t>提供</w:t>
      </w:r>
      <w:r>
        <w:rPr>
          <w:rFonts w:hint="eastAsia" w:ascii="宋体" w:hAnsi="宋体" w:eastAsia="宋体" w:cs="宋体"/>
          <w:b/>
          <w:color w:val="000000" w:themeColor="text1"/>
          <w:sz w:val="24"/>
          <w:szCs w:val="24"/>
          <w14:textFill>
            <w14:solidFill>
              <w14:schemeClr w14:val="tx1"/>
            </w14:solidFill>
          </w14:textFill>
        </w:rPr>
        <w:t>下列资格证明文件。</w:t>
      </w:r>
    </w:p>
    <w:p w14:paraId="2BD51E2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（1）基本资格条件：</w:t>
      </w:r>
    </w:p>
    <w:p w14:paraId="403EB196">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符合《中华人民共和国政府采购法》第二十二条的规定；</w:t>
      </w:r>
    </w:p>
    <w:p w14:paraId="1D41BD47">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（2）特定资格条件：</w:t>
      </w:r>
    </w:p>
    <w:p w14:paraId="01A4C0BF">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25AFB594">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.法定代表人授权委托书及被授权人身份证（法定代表人直接参加时，只须出示法定代表人身份证)；</w:t>
      </w:r>
    </w:p>
    <w:p w14:paraId="08CD9F12">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3</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.提供参加政府采购活动前3年内经营活动中没有重大违法记录声明；</w:t>
      </w:r>
    </w:p>
    <w:p w14:paraId="6B9EF831">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.税收缴纳证明：自202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46C4F865">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.社会保障资金缴纳证明：自202</w:t>
      </w: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w:t>
      </w:r>
      <w:r>
        <w:rPr>
          <w:rFonts w:hint="eastAsia" w:ascii="宋体" w:hAnsi="宋体" w:cs="宋体"/>
          <w:b w:val="0"/>
          <w:bCs w:val="0"/>
          <w:color w:val="000000" w:themeColor="text1"/>
          <w:spacing w:val="0"/>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6D6E6118">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6</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.财务状况报告：提供202</w:t>
      </w:r>
      <w:r>
        <w:rPr>
          <w:rFonts w:hint="eastAsia" w:ascii="宋体" w:hAnsi="宋体" w:cs="宋体"/>
          <w:b w:val="0"/>
          <w:bCs w:val="0"/>
          <w:color w:val="000000" w:themeColor="text1"/>
          <w:spacing w:val="0"/>
          <w:sz w:val="24"/>
          <w:szCs w:val="24"/>
          <w:lang w:val="en-US" w:eastAsia="zh-CN"/>
          <w14:textFill>
            <w14:solidFill>
              <w14:schemeClr w14:val="tx1"/>
            </w14:solidFill>
          </w14:textFill>
        </w:rPr>
        <w:t>4</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或202</w:t>
      </w:r>
      <w:r>
        <w:rPr>
          <w:rFonts w:hint="eastAsia" w:ascii="宋体" w:hAnsi="宋体" w:cs="宋体"/>
          <w:b w:val="0"/>
          <w:bCs w:val="0"/>
          <w:color w:val="000000" w:themeColor="text1"/>
          <w:spacing w:val="0"/>
          <w:sz w:val="24"/>
          <w:szCs w:val="24"/>
          <w:lang w:val="en-US" w:eastAsia="zh-CN"/>
          <w14:textFill>
            <w14:solidFill>
              <w14:schemeClr w14:val="tx1"/>
            </w14:solidFill>
          </w14:textFill>
        </w:rPr>
        <w:t>5</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6390884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7</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3C936813">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8</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.提供投标保证金的银行转账或电汇凭证并确保投标文件递交截止时间前到达采购文件指定账户；</w:t>
      </w:r>
    </w:p>
    <w:p w14:paraId="1165B8EA">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pPr>
      <w:r>
        <w:rPr>
          <w:rFonts w:hint="eastAsia" w:ascii="宋体" w:hAnsi="宋体" w:cs="宋体"/>
          <w:b w:val="0"/>
          <w:bCs w:val="0"/>
          <w:color w:val="000000" w:themeColor="text1"/>
          <w:spacing w:val="0"/>
          <w:sz w:val="24"/>
          <w:szCs w:val="24"/>
          <w:lang w:val="en-US" w:eastAsia="zh-CN"/>
          <w14:textFill>
            <w14:solidFill>
              <w14:schemeClr w14:val="tx1"/>
            </w14:solidFill>
          </w14:textFill>
        </w:rPr>
        <w:t>9</w:t>
      </w:r>
      <w:r>
        <w:rPr>
          <w:rFonts w:hint="eastAsia" w:ascii="宋体" w:hAnsi="宋体" w:eastAsia="宋体" w:cs="宋体"/>
          <w:b w:val="0"/>
          <w:bCs w:val="0"/>
          <w:color w:val="000000" w:themeColor="text1"/>
          <w:spacing w:val="0"/>
          <w:sz w:val="24"/>
          <w:szCs w:val="24"/>
          <w:lang w:val="en-US" w:eastAsia="zh-CN"/>
          <w14:textFill>
            <w14:solidFill>
              <w14:schemeClr w14:val="tx1"/>
            </w14:solidFill>
          </w14:textFill>
        </w:rPr>
        <w:t xml:space="preserve">.本项目不接受联合体投标。 </w:t>
      </w:r>
    </w:p>
    <w:p w14:paraId="1A821A7B">
      <w:pPr>
        <w:pageBreakBefore w:val="0"/>
        <w:wordWrap/>
        <w:overflowPunct w:val="0"/>
        <w:topLinePunct w:val="0"/>
        <w:autoSpaceDE/>
        <w:autoSpaceDN/>
        <w:bidi w:val="0"/>
        <w:adjustRightInd/>
        <w:spacing w:line="60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bCs/>
          <w:color w:val="000000" w:themeColor="text1"/>
          <w:sz w:val="24"/>
          <w:szCs w:val="24"/>
          <w14:textFill>
            <w14:solidFill>
              <w14:schemeClr w14:val="tx1"/>
            </w14:solidFill>
          </w14:textFill>
        </w:rPr>
        <w:t>3）有关资格证明文件的特别提示</w:t>
      </w:r>
    </w:p>
    <w:p w14:paraId="30E09E70">
      <w:pPr>
        <w:pageBreakBefore w:val="0"/>
        <w:wordWrap/>
        <w:overflowPunct w:val="0"/>
        <w:topLinePunct w:val="0"/>
        <w:autoSpaceDE/>
        <w:autoSpaceDN/>
        <w:bidi w:val="0"/>
        <w:adjustRightIn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a.上列资格证明文件为必备资格条件，缺项或者符合性、有效性、合法性审核不合格的，自动丧失投标资格。</w:t>
      </w:r>
    </w:p>
    <w:p w14:paraId="0EE78652">
      <w:pPr>
        <w:pStyle w:val="80"/>
        <w:pageBreakBefore w:val="0"/>
        <w:widowControl/>
        <w:wordWrap/>
        <w:overflowPunct w:val="0"/>
        <w:topLinePunct w:val="0"/>
        <w:autoSpaceDE/>
        <w:autoSpaceDN/>
        <w:bidi w:val="0"/>
        <w:adjustRightInd/>
        <w:snapToGrid w:val="0"/>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二、投标文件审核方法</w:t>
      </w:r>
    </w:p>
    <w:p w14:paraId="52B9660A">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1.投标文件的初审</w:t>
      </w:r>
    </w:p>
    <w:p w14:paraId="77AA4ED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1.1资格性检查：依据法律法规和招标文件的规定，对投标文件中的资格证明、投标保证金等进行审查，以确定投标单位是否具备投标资格。</w:t>
      </w:r>
    </w:p>
    <w:p w14:paraId="7FDCE53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1.2 符合性检查：依据招标文件的规定，对投标文件的有效性、完整性、</w:t>
      </w:r>
      <w:r>
        <w:rPr>
          <w:rFonts w:hint="eastAsia" w:ascii="宋体" w:hAnsi="宋体" w:eastAsia="宋体" w:cs="宋体"/>
          <w:color w:val="000000" w:themeColor="text1"/>
          <w:sz w:val="24"/>
          <w:szCs w:val="24"/>
          <w14:textFill>
            <w14:solidFill>
              <w14:schemeClr w14:val="tx1"/>
            </w14:solidFill>
          </w14:textFill>
        </w:rPr>
        <w:t>投标方案进行审查，以确定其是否对招标文件的实质性要求作出响应。</w:t>
      </w:r>
    </w:p>
    <w:p w14:paraId="060221FF">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1.2.1.投标文件的完整性。投标文件构成是否有重大缺项，是否按照招标文件要求的格式编写投标文件。</w:t>
      </w:r>
    </w:p>
    <w:p w14:paraId="751E21E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1.2.2.投标文件的有效性。投标文件的签署、加盖印章是否合格、有效；提供的各种证明文件、数据、资料是否真实、有效。</w:t>
      </w:r>
    </w:p>
    <w:p w14:paraId="6331E2E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1.2.3.投标文件的响应性。投标有效期是否符合招标文件要求；是否满足本次投标的特殊要求；投标方案是否有重大缺漏项；投标产品的技术规格是否有重大偏离；商务响应条款是否有重大偏离；对合同中规定的双方的权利和义务是否做出了实质性修改。</w:t>
      </w:r>
    </w:p>
    <w:p w14:paraId="2D27076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1.3.报价是否超过采购预算。</w:t>
      </w:r>
    </w:p>
    <w:p w14:paraId="7EC48A1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2.供应商或其投标文件有下列情形之一的，否决其投标：</w:t>
      </w:r>
    </w:p>
    <w:p w14:paraId="2272F3A9">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（1）投标报价明显低于成本形成不正当竞争的；</w:t>
      </w:r>
    </w:p>
    <w:p w14:paraId="18E27BF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）投标文件的语言、计量单位、报价货币、知识产权、投标有效期等不符合招标文件规定；</w:t>
      </w:r>
    </w:p>
    <w:p w14:paraId="6A9B690D">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）未按招标文件规定要求签署、盖章的；无投标有效期或有效期达不到招标文件要求的，不符合招标文件规定且影响整个投标文件有效性和采购活动公平竞争的；</w:t>
      </w:r>
    </w:p>
    <w:p w14:paraId="0AF1611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）响应技术标准明显不符合采购项目的要求；</w:t>
      </w:r>
    </w:p>
    <w:p w14:paraId="10A701C1">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）附有采购人不能接受的条件或者不符合招标文件规定的其他实质性要求，商务条款偏离的；</w:t>
      </w:r>
    </w:p>
    <w:p w14:paraId="2E8FA35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）未按照招标文件要求编制，内容严重缺失的。</w:t>
      </w:r>
    </w:p>
    <w:p w14:paraId="25BDF47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）投标人单位未经过正常渠道领取招标文件，或投标人名称与领取招标文件时登记的投标单位名称不符的；</w:t>
      </w:r>
    </w:p>
    <w:p w14:paraId="6C4392B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）未按规定交纳投标保证金的；</w:t>
      </w:r>
    </w:p>
    <w:p w14:paraId="00648342">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）投标文件未按照投标文件格式及内容要求填写的；</w:t>
      </w:r>
    </w:p>
    <w:p w14:paraId="5FADCC33">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）投标人针对同一项目递交两份或多份内容不同的投标文件，未书面声明哪一份是有效的或出现选择性报价的；</w:t>
      </w:r>
    </w:p>
    <w:p w14:paraId="7A11AA4E">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11</w:t>
      </w:r>
      <w:r>
        <w:rPr>
          <w:rFonts w:hint="eastAsia" w:ascii="宋体" w:hAnsi="宋体" w:eastAsia="宋体" w:cs="宋体"/>
          <w:color w:val="000000" w:themeColor="text1"/>
          <w:sz w:val="24"/>
          <w:szCs w:val="24"/>
          <w14:textFill>
            <w14:solidFill>
              <w14:schemeClr w14:val="tx1"/>
            </w14:solidFill>
          </w14:textFill>
        </w:rPr>
        <w:t>）附有采购人、</w:t>
      </w:r>
      <w:r>
        <w:rPr>
          <w:rFonts w:hint="eastAsia" w:ascii="宋体" w:hAnsi="宋体" w:cs="宋体"/>
          <w:color w:val="000000" w:themeColor="text1"/>
          <w:sz w:val="24"/>
          <w:szCs w:val="24"/>
          <w:lang w:eastAsia="zh-CN"/>
          <w14:textFill>
            <w14:solidFill>
              <w14:schemeClr w14:val="tx1"/>
            </w14:solidFill>
          </w14:textFill>
        </w:rPr>
        <w:t>招标代理机构</w:t>
      </w:r>
      <w:r>
        <w:rPr>
          <w:rFonts w:hint="eastAsia" w:ascii="宋体" w:hAnsi="宋体" w:eastAsia="宋体" w:cs="宋体"/>
          <w:color w:val="000000" w:themeColor="text1"/>
          <w:sz w:val="24"/>
          <w:szCs w:val="24"/>
          <w14:textFill>
            <w14:solidFill>
              <w14:schemeClr w14:val="tx1"/>
            </w14:solidFill>
          </w14:textFill>
        </w:rPr>
        <w:t>不能接受的条款和商务响应方面（</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、履约验收）与投标文件要求不一致的；</w:t>
      </w:r>
    </w:p>
    <w:p w14:paraId="526C15B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）在政府采购或其它重大项目履约过程中有不良记录，不能按期履约的；</w:t>
      </w:r>
    </w:p>
    <w:p w14:paraId="3F62D889">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）投标报价与市场价偏离较大，低于成本，形成不正当竞争的；</w:t>
      </w:r>
    </w:p>
    <w:p w14:paraId="70BA6F2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）有重大缺漏项的；</w:t>
      </w:r>
    </w:p>
    <w:p w14:paraId="012872D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）以他人名义进行投标的；</w:t>
      </w:r>
    </w:p>
    <w:p w14:paraId="6F0ACE4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）投标人无法定代表人授权书或其授权书的有效性不符合招标文件规定的；</w:t>
      </w:r>
    </w:p>
    <w:p w14:paraId="6E2ACA6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）投标人有串通投标、弄虚作假、行贿等违法行为的；</w:t>
      </w:r>
    </w:p>
    <w:p w14:paraId="719A8A7C">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）照抄或复印招标文件技术及商务要求的、手写的、未按规定签署的投标文件的；</w:t>
      </w:r>
    </w:p>
    <w:p w14:paraId="581694F8">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）投标文件的实质性内容未使用中文表述，意思表述不明确，前后矛盾或者使用计量单位不符合招标文件要求；</w:t>
      </w:r>
    </w:p>
    <w:p w14:paraId="4EBB77DF">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0</w:t>
      </w:r>
      <w:r>
        <w:rPr>
          <w:rFonts w:hint="eastAsia" w:ascii="宋体" w:hAnsi="宋体" w:eastAsia="宋体" w:cs="宋体"/>
          <w:color w:val="000000" w:themeColor="text1"/>
          <w:sz w:val="24"/>
          <w:szCs w:val="24"/>
          <w14:textFill>
            <w14:solidFill>
              <w14:schemeClr w14:val="tx1"/>
            </w14:solidFill>
          </w14:textFill>
        </w:rPr>
        <w:t>）投标文件的关键内容字迹模糊、无法辨认的，或者投标文件中经修正的内容字迹模糊难以辨认或者修改处未按规定签名盖章的；</w:t>
      </w:r>
    </w:p>
    <w:p w14:paraId="45EFEDA7">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）未实质性响应或者擅自改变招标文件要求的；</w:t>
      </w:r>
    </w:p>
    <w:p w14:paraId="72E521C5">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）投标报价超出最高限价或者超出采购预算，采购人不能支付的；</w:t>
      </w:r>
    </w:p>
    <w:p w14:paraId="054D61EA">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）法律法规规定其他投标无效情形的。</w:t>
      </w:r>
    </w:p>
    <w:p w14:paraId="0241C730">
      <w:pPr>
        <w:keepNext w:val="0"/>
        <w:keepLines w:val="0"/>
        <w:pageBreakBefore w:val="0"/>
        <w:widowControl w:val="0"/>
        <w:kinsoku/>
        <w:wordWrap/>
        <w:topLinePunct w:val="0"/>
        <w:autoSpaceDE/>
        <w:autoSpaceDN/>
        <w:bidi w:val="0"/>
        <w:adjustRightInd/>
        <w:snapToGrid/>
        <w:spacing w:line="600" w:lineRule="exact"/>
        <w:ind w:firstLine="56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澄清有关问题。对投标文件中含义不明确、同类问题表述不一致或者有明显文字和计算错误的内容，评审小组可以要求供应商作出必要的澄清、说明或者纠正。供应商的澄清、说明或者补正应当采用书面形式，由其授权代理人签字，但不得改变投标文件的实质性内容，如澄清、补正、说明的内容与投标文件内容有重大相悖或矛盾，将被认定为无效标。</w:t>
      </w:r>
    </w:p>
    <w:p w14:paraId="46A6159B">
      <w:pPr>
        <w:pStyle w:val="11"/>
        <w:jc w:val="both"/>
        <w:rPr>
          <w:rFonts w:hint="eastAsia"/>
          <w:color w:val="000000" w:themeColor="text1"/>
          <w14:textFill>
            <w14:solidFill>
              <w14:schemeClr w14:val="tx1"/>
            </w14:solidFill>
          </w14:textFill>
        </w:rPr>
        <w:sectPr>
          <w:pgSz w:w="11906" w:h="16838"/>
          <w:pgMar w:top="1417" w:right="1134" w:bottom="1417" w:left="1417"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481D92DF">
      <w:pPr>
        <w:pStyle w:val="2"/>
        <w:spacing w:line="240" w:lineRule="auto"/>
        <w:jc w:val="center"/>
        <w:rPr>
          <w:rFonts w:hint="eastAsia" w:ascii="宋体" w:hAnsi="宋体" w:eastAsia="宋体" w:cs="宋体"/>
          <w:color w:val="000000" w:themeColor="text1"/>
          <w:sz w:val="28"/>
          <w:szCs w:val="28"/>
          <w14:textFill>
            <w14:solidFill>
              <w14:schemeClr w14:val="tx1"/>
            </w14:solidFill>
          </w14:textFill>
        </w:rPr>
      </w:pPr>
      <w:bookmarkStart w:id="458" w:name="_Toc23160"/>
      <w:bookmarkStart w:id="459" w:name="_Toc11405"/>
      <w:bookmarkStart w:id="460" w:name="_Toc5895"/>
      <w:bookmarkStart w:id="461" w:name="_Toc28084"/>
      <w:bookmarkStart w:id="462" w:name="_Toc28077"/>
      <w:bookmarkStart w:id="463" w:name="_Toc1706"/>
      <w:bookmarkStart w:id="464" w:name="_Toc26899"/>
      <w:r>
        <w:rPr>
          <w:rFonts w:hint="eastAsia" w:ascii="宋体" w:hAnsi="宋体" w:eastAsia="宋体" w:cs="宋体"/>
          <w:color w:val="000000" w:themeColor="text1"/>
          <w:sz w:val="30"/>
          <w:szCs w:val="30"/>
          <w14:textFill>
            <w14:solidFill>
              <w14:schemeClr w14:val="tx1"/>
            </w14:solidFill>
          </w14:textFill>
        </w:rPr>
        <w:t>第四章</w:t>
      </w:r>
      <w:bookmarkEnd w:id="39"/>
      <w:bookmarkEnd w:id="40"/>
      <w:bookmarkEnd w:id="41"/>
      <w:bookmarkEnd w:id="452"/>
      <w:bookmarkStart w:id="465" w:name="_Toc13365"/>
      <w:bookmarkStart w:id="466" w:name="_Toc25838"/>
      <w:bookmarkStart w:id="467" w:name="_Toc31157"/>
      <w:bookmarkStart w:id="468" w:name="_Toc10057"/>
      <w:bookmarkStart w:id="469" w:name="_Toc6477"/>
      <w:bookmarkStart w:id="470" w:name="_Toc12522"/>
      <w:bookmarkStart w:id="471" w:name="_Toc28261"/>
      <w:r>
        <w:rPr>
          <w:rFonts w:hint="eastAsia" w:ascii="宋体" w:hAnsi="宋体" w:eastAsia="宋体" w:cs="宋体"/>
          <w:color w:val="000000" w:themeColor="text1"/>
          <w:sz w:val="30"/>
          <w:szCs w:val="30"/>
          <w14:textFill>
            <w14:solidFill>
              <w14:schemeClr w14:val="tx1"/>
            </w14:solidFill>
          </w14:textFill>
        </w:rPr>
        <w:t xml:space="preserve">  评标办法前附表及评标办法</w:t>
      </w:r>
      <w:bookmarkEnd w:id="453"/>
      <w:bookmarkEnd w:id="454"/>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 w14:paraId="37F9E652">
      <w:pPr>
        <w:jc w:val="center"/>
        <w:rPr>
          <w:rFonts w:hint="eastAsia" w:ascii="宋体" w:hAnsi="宋体" w:eastAsia="宋体" w:cs="宋体"/>
          <w:b/>
          <w:bCs/>
          <w:color w:val="000000" w:themeColor="text1"/>
          <w:sz w:val="28"/>
          <w:szCs w:val="28"/>
          <w14:textFill>
            <w14:solidFill>
              <w14:schemeClr w14:val="tx1"/>
            </w14:solidFill>
          </w14:textFill>
        </w:rPr>
      </w:pPr>
      <w:bookmarkStart w:id="472" w:name="_Toc31853"/>
      <w:bookmarkStart w:id="473" w:name="_Toc14581"/>
      <w:bookmarkStart w:id="474" w:name="_Toc30830"/>
      <w:bookmarkStart w:id="475" w:name="_Toc16362"/>
      <w:bookmarkStart w:id="476" w:name="_Toc20147"/>
      <w:bookmarkStart w:id="477" w:name="_Toc29466"/>
      <w:bookmarkStart w:id="478" w:name="_Toc29124"/>
      <w:bookmarkStart w:id="479" w:name="_Toc14732"/>
      <w:bookmarkStart w:id="480" w:name="_Toc22441"/>
      <w:bookmarkStart w:id="481" w:name="_Toc7528"/>
      <w:bookmarkStart w:id="482" w:name="_Toc24633"/>
      <w:bookmarkStart w:id="483" w:name="_Toc6699"/>
      <w:bookmarkStart w:id="484" w:name="_Toc17672"/>
      <w:bookmarkStart w:id="485" w:name="_Toc13909"/>
      <w:r>
        <w:rPr>
          <w:rFonts w:hint="eastAsia" w:ascii="宋体" w:hAnsi="宋体" w:eastAsia="宋体" w:cs="宋体"/>
          <w:b/>
          <w:bCs/>
          <w:color w:val="000000" w:themeColor="text1"/>
          <w:sz w:val="28"/>
          <w:szCs w:val="28"/>
          <w14:textFill>
            <w14:solidFill>
              <w14:schemeClr w14:val="tx1"/>
            </w14:solidFill>
          </w14:textFill>
        </w:rPr>
        <w:t>评标办法前附表</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p>
    <w:bookmarkEnd w:id="42"/>
    <w:tbl>
      <w:tblPr>
        <w:tblStyle w:val="35"/>
        <w:tblW w:w="9640" w:type="dxa"/>
        <w:tblInd w:w="-176"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41"/>
        <w:gridCol w:w="719"/>
        <w:gridCol w:w="3224"/>
        <w:gridCol w:w="4856"/>
      </w:tblGrid>
      <w:tr w14:paraId="5AD35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46" w:hRule="atLeast"/>
        </w:trPr>
        <w:tc>
          <w:tcPr>
            <w:tcW w:w="1560" w:type="dxa"/>
            <w:gridSpan w:val="2"/>
            <w:tcBorders>
              <w:tl2br w:val="nil"/>
              <w:tr2bl w:val="nil"/>
            </w:tcBorders>
            <w:noWrap w:val="0"/>
            <w:vAlign w:val="center"/>
          </w:tcPr>
          <w:p w14:paraId="48CCF9E1">
            <w:pPr>
              <w:spacing w:line="360" w:lineRule="auto"/>
              <w:jc w:val="center"/>
              <w:rPr>
                <w:rFonts w:hint="eastAsia" w:ascii="宋体" w:hAnsi="宋体" w:eastAsia="宋体" w:cs="宋体"/>
                <w:b/>
                <w:color w:val="000000"/>
                <w:sz w:val="24"/>
                <w:szCs w:val="24"/>
              </w:rPr>
            </w:pPr>
            <w:bookmarkStart w:id="486" w:name="_Toc221523517"/>
            <w:bookmarkStart w:id="487" w:name="_Toc145989485"/>
            <w:bookmarkStart w:id="488" w:name="_Toc112236889"/>
            <w:bookmarkStart w:id="489" w:name="_Toc123211617"/>
            <w:bookmarkStart w:id="490" w:name="_Toc169940988"/>
            <w:bookmarkStart w:id="491" w:name="_Toc225592722"/>
            <w:bookmarkStart w:id="492" w:name="_Toc132684599"/>
            <w:bookmarkStart w:id="493" w:name="_Toc19476"/>
            <w:bookmarkStart w:id="494" w:name="_Toc905"/>
            <w:bookmarkStart w:id="495" w:name="_Toc5306"/>
            <w:r>
              <w:rPr>
                <w:rFonts w:hint="eastAsia" w:ascii="宋体" w:hAnsi="宋体" w:eastAsia="宋体" w:cs="宋体"/>
                <w:b/>
                <w:color w:val="000000"/>
                <w:sz w:val="24"/>
                <w:szCs w:val="24"/>
              </w:rPr>
              <w:t>条款号</w:t>
            </w:r>
          </w:p>
        </w:tc>
        <w:tc>
          <w:tcPr>
            <w:tcW w:w="3224" w:type="dxa"/>
            <w:tcBorders>
              <w:tl2br w:val="nil"/>
              <w:tr2bl w:val="nil"/>
            </w:tcBorders>
            <w:noWrap w:val="0"/>
            <w:vAlign w:val="center"/>
          </w:tcPr>
          <w:p w14:paraId="637B2898">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条款名称</w:t>
            </w:r>
          </w:p>
        </w:tc>
        <w:tc>
          <w:tcPr>
            <w:tcW w:w="4856" w:type="dxa"/>
            <w:tcBorders>
              <w:tl2br w:val="nil"/>
              <w:tr2bl w:val="nil"/>
            </w:tcBorders>
            <w:noWrap w:val="0"/>
            <w:vAlign w:val="center"/>
          </w:tcPr>
          <w:p w14:paraId="640C5F1C">
            <w:pPr>
              <w:spacing w:line="360" w:lineRule="auto"/>
              <w:jc w:val="center"/>
              <w:rPr>
                <w:rFonts w:hint="eastAsia" w:ascii="宋体" w:hAnsi="宋体" w:eastAsia="宋体" w:cs="宋体"/>
                <w:b/>
                <w:color w:val="000000"/>
                <w:sz w:val="24"/>
                <w:szCs w:val="24"/>
              </w:rPr>
            </w:pPr>
            <w:r>
              <w:rPr>
                <w:rFonts w:hint="eastAsia" w:ascii="宋体" w:hAnsi="宋体" w:eastAsia="宋体" w:cs="宋体"/>
                <w:b/>
                <w:color w:val="000000"/>
                <w:sz w:val="24"/>
                <w:szCs w:val="24"/>
              </w:rPr>
              <w:t>编列内容</w:t>
            </w:r>
          </w:p>
        </w:tc>
      </w:tr>
      <w:tr w14:paraId="3CAD8D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14" w:hRule="atLeast"/>
        </w:trPr>
        <w:tc>
          <w:tcPr>
            <w:tcW w:w="1560" w:type="dxa"/>
            <w:gridSpan w:val="2"/>
            <w:tcBorders>
              <w:tl2br w:val="nil"/>
              <w:tr2bl w:val="nil"/>
            </w:tcBorders>
            <w:noWrap w:val="0"/>
            <w:vAlign w:val="center"/>
          </w:tcPr>
          <w:p w14:paraId="426F051E">
            <w:pPr>
              <w:spacing w:line="360" w:lineRule="auto"/>
              <w:jc w:val="center"/>
              <w:rPr>
                <w:rFonts w:hint="eastAsia" w:ascii="宋体" w:hAnsi="宋体" w:eastAsia="宋体" w:cs="宋体"/>
                <w:b/>
                <w:color w:val="000000"/>
                <w:sz w:val="24"/>
                <w:szCs w:val="24"/>
              </w:rPr>
            </w:pPr>
            <w:bookmarkStart w:id="496" w:name="_Toc343511683"/>
            <w:r>
              <w:rPr>
                <w:rFonts w:hint="eastAsia" w:ascii="宋体" w:hAnsi="宋体" w:eastAsia="宋体" w:cs="宋体"/>
                <w:b/>
                <w:color w:val="000000"/>
                <w:sz w:val="24"/>
                <w:szCs w:val="24"/>
              </w:rPr>
              <w:t>条款号</w:t>
            </w:r>
            <w:bookmarkEnd w:id="496"/>
          </w:p>
        </w:tc>
        <w:tc>
          <w:tcPr>
            <w:tcW w:w="3224" w:type="dxa"/>
            <w:tcBorders>
              <w:tl2br w:val="nil"/>
              <w:tr2bl w:val="nil"/>
            </w:tcBorders>
            <w:noWrap w:val="0"/>
            <w:vAlign w:val="center"/>
          </w:tcPr>
          <w:p w14:paraId="274BE194">
            <w:pPr>
              <w:spacing w:line="360" w:lineRule="auto"/>
              <w:jc w:val="center"/>
              <w:rPr>
                <w:rFonts w:hint="eastAsia" w:ascii="宋体" w:hAnsi="宋体" w:eastAsia="宋体" w:cs="宋体"/>
                <w:b/>
                <w:color w:val="000000"/>
                <w:sz w:val="24"/>
                <w:szCs w:val="24"/>
              </w:rPr>
            </w:pPr>
            <w:bookmarkStart w:id="497" w:name="_Toc343511684"/>
            <w:r>
              <w:rPr>
                <w:rFonts w:hint="eastAsia" w:ascii="宋体" w:hAnsi="宋体" w:eastAsia="宋体" w:cs="宋体"/>
                <w:b/>
                <w:color w:val="000000"/>
                <w:sz w:val="24"/>
                <w:szCs w:val="24"/>
              </w:rPr>
              <w:t>评审因素</w:t>
            </w:r>
            <w:bookmarkEnd w:id="497"/>
          </w:p>
        </w:tc>
        <w:tc>
          <w:tcPr>
            <w:tcW w:w="4856" w:type="dxa"/>
            <w:tcBorders>
              <w:tl2br w:val="nil"/>
              <w:tr2bl w:val="nil"/>
            </w:tcBorders>
            <w:noWrap w:val="0"/>
            <w:vAlign w:val="center"/>
          </w:tcPr>
          <w:p w14:paraId="2881C5FB">
            <w:pPr>
              <w:spacing w:line="360" w:lineRule="auto"/>
              <w:jc w:val="center"/>
              <w:rPr>
                <w:rFonts w:hint="eastAsia" w:ascii="宋体" w:hAnsi="宋体" w:eastAsia="宋体" w:cs="宋体"/>
                <w:b/>
                <w:color w:val="000000"/>
                <w:sz w:val="24"/>
                <w:szCs w:val="24"/>
              </w:rPr>
            </w:pPr>
            <w:bookmarkStart w:id="498" w:name="_Toc343511685"/>
            <w:r>
              <w:rPr>
                <w:rFonts w:hint="eastAsia" w:ascii="宋体" w:hAnsi="宋体" w:eastAsia="宋体" w:cs="宋体"/>
                <w:b/>
                <w:color w:val="000000"/>
                <w:sz w:val="24"/>
                <w:szCs w:val="24"/>
              </w:rPr>
              <w:t>评审标准</w:t>
            </w:r>
            <w:bookmarkEnd w:id="498"/>
          </w:p>
        </w:tc>
      </w:tr>
      <w:tr w14:paraId="268717A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87" w:hRule="atLeast"/>
        </w:trPr>
        <w:tc>
          <w:tcPr>
            <w:tcW w:w="841" w:type="dxa"/>
            <w:vMerge w:val="restart"/>
            <w:tcBorders>
              <w:tl2br w:val="nil"/>
              <w:tr2bl w:val="nil"/>
            </w:tcBorders>
            <w:noWrap w:val="0"/>
            <w:vAlign w:val="center"/>
          </w:tcPr>
          <w:p w14:paraId="09E7B8E3">
            <w:pPr>
              <w:spacing w:line="360" w:lineRule="auto"/>
              <w:jc w:val="center"/>
              <w:rPr>
                <w:rFonts w:hint="eastAsia" w:ascii="宋体" w:hAnsi="宋体" w:eastAsia="宋体" w:cs="宋体"/>
                <w:color w:val="000000"/>
                <w:sz w:val="24"/>
                <w:szCs w:val="24"/>
              </w:rPr>
            </w:pPr>
            <w:bookmarkStart w:id="499" w:name="_Toc343511686"/>
            <w:r>
              <w:rPr>
                <w:rFonts w:hint="eastAsia" w:ascii="宋体" w:hAnsi="宋体" w:eastAsia="宋体" w:cs="宋体"/>
                <w:color w:val="000000"/>
                <w:sz w:val="24"/>
                <w:szCs w:val="24"/>
              </w:rPr>
              <w:t>2.1.1</w:t>
            </w:r>
            <w:bookmarkEnd w:id="499"/>
          </w:p>
          <w:p w14:paraId="5DE76A2E">
            <w:pPr>
              <w:spacing w:line="360" w:lineRule="auto"/>
              <w:jc w:val="center"/>
              <w:rPr>
                <w:rFonts w:hint="eastAsia" w:ascii="宋体" w:hAnsi="宋体" w:eastAsia="宋体" w:cs="宋体"/>
                <w:color w:val="000000"/>
                <w:sz w:val="24"/>
                <w:szCs w:val="24"/>
              </w:rPr>
            </w:pPr>
          </w:p>
        </w:tc>
        <w:tc>
          <w:tcPr>
            <w:tcW w:w="719" w:type="dxa"/>
            <w:vMerge w:val="restart"/>
            <w:tcBorders>
              <w:tl2br w:val="nil"/>
              <w:tr2bl w:val="nil"/>
            </w:tcBorders>
            <w:noWrap w:val="0"/>
            <w:vAlign w:val="center"/>
          </w:tcPr>
          <w:p w14:paraId="6F010DEB">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符合性审查</w:t>
            </w:r>
          </w:p>
        </w:tc>
        <w:tc>
          <w:tcPr>
            <w:tcW w:w="3224" w:type="dxa"/>
            <w:tcBorders>
              <w:tl2br w:val="nil"/>
              <w:tr2bl w:val="nil"/>
            </w:tcBorders>
            <w:noWrap w:val="0"/>
            <w:vAlign w:val="center"/>
          </w:tcPr>
          <w:p w14:paraId="2028226F">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w:t>
            </w:r>
          </w:p>
        </w:tc>
        <w:tc>
          <w:tcPr>
            <w:tcW w:w="4856" w:type="dxa"/>
            <w:tcBorders>
              <w:tl2br w:val="nil"/>
              <w:tr2bl w:val="nil"/>
            </w:tcBorders>
            <w:noWrap w:val="0"/>
            <w:vAlign w:val="center"/>
          </w:tcPr>
          <w:p w14:paraId="4EBCE4C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投标文件语言符合招标文件要求。</w:t>
            </w:r>
          </w:p>
        </w:tc>
      </w:tr>
      <w:tr w14:paraId="76EDCB1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trPr>
        <w:tc>
          <w:tcPr>
            <w:tcW w:w="841" w:type="dxa"/>
            <w:vMerge w:val="continue"/>
            <w:tcBorders>
              <w:tl2br w:val="nil"/>
              <w:tr2bl w:val="nil"/>
            </w:tcBorders>
            <w:noWrap w:val="0"/>
            <w:vAlign w:val="center"/>
          </w:tcPr>
          <w:p w14:paraId="5628EB3D">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ABADE">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167AF11">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投标文件封面、投标函、法定代表人授权委托书三处的项目名称、项目编号、标段</w:t>
            </w:r>
          </w:p>
        </w:tc>
        <w:tc>
          <w:tcPr>
            <w:tcW w:w="4856" w:type="dxa"/>
            <w:tcBorders>
              <w:tl2br w:val="nil"/>
              <w:tr2bl w:val="nil"/>
            </w:tcBorders>
            <w:noWrap w:val="0"/>
            <w:vAlign w:val="center"/>
          </w:tcPr>
          <w:p w14:paraId="5C115C1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三处均无遗漏，且与所投项目名称、项目编号、标段完全一致。</w:t>
            </w:r>
          </w:p>
        </w:tc>
      </w:tr>
      <w:tr w14:paraId="46E5501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65" w:hRule="atLeast"/>
        </w:trPr>
        <w:tc>
          <w:tcPr>
            <w:tcW w:w="841" w:type="dxa"/>
            <w:vMerge w:val="continue"/>
            <w:tcBorders>
              <w:tl2br w:val="nil"/>
              <w:tr2bl w:val="nil"/>
            </w:tcBorders>
            <w:noWrap w:val="0"/>
            <w:vAlign w:val="center"/>
          </w:tcPr>
          <w:p w14:paraId="5742BF6C">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9FADBF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6D86465">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投标文件签署、盖章</w:t>
            </w:r>
          </w:p>
        </w:tc>
        <w:tc>
          <w:tcPr>
            <w:tcW w:w="4856" w:type="dxa"/>
            <w:tcBorders>
              <w:tl2br w:val="nil"/>
              <w:tr2bl w:val="nil"/>
            </w:tcBorders>
            <w:noWrap w:val="0"/>
            <w:vAlign w:val="center"/>
          </w:tcPr>
          <w:p w14:paraId="0E6E572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均按招标文件要求盖章 （评分标准中要求提供的证明材料除外）。</w:t>
            </w:r>
          </w:p>
        </w:tc>
      </w:tr>
      <w:tr w14:paraId="1C3990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40" w:hRule="atLeast"/>
        </w:trPr>
        <w:tc>
          <w:tcPr>
            <w:tcW w:w="841" w:type="dxa"/>
            <w:vMerge w:val="continue"/>
            <w:tcBorders>
              <w:tl2br w:val="nil"/>
              <w:tr2bl w:val="nil"/>
            </w:tcBorders>
            <w:noWrap w:val="0"/>
            <w:vAlign w:val="center"/>
          </w:tcPr>
          <w:p w14:paraId="3E84AA71">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21BC910F">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71DE77D">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投标文件组成</w:t>
            </w:r>
          </w:p>
        </w:tc>
        <w:tc>
          <w:tcPr>
            <w:tcW w:w="4856" w:type="dxa"/>
            <w:tcBorders>
              <w:tl2br w:val="nil"/>
              <w:tr2bl w:val="nil"/>
            </w:tcBorders>
            <w:noWrap w:val="0"/>
            <w:vAlign w:val="center"/>
          </w:tcPr>
          <w:p w14:paraId="51A892D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符合“</w:t>
            </w:r>
            <w:r>
              <w:rPr>
                <w:rFonts w:hint="eastAsia" w:ascii="宋体" w:hAnsi="宋体" w:eastAsia="宋体" w:cs="宋体"/>
                <w:color w:val="000000"/>
                <w:sz w:val="24"/>
                <w:szCs w:val="24"/>
              </w:rPr>
              <w:t>第七章 投标文件格式</w:t>
            </w:r>
            <w:r>
              <w:rPr>
                <w:rFonts w:hint="eastAsia" w:ascii="宋体" w:hAnsi="宋体" w:eastAsia="宋体" w:cs="宋体"/>
                <w:color w:val="000000"/>
                <w:sz w:val="24"/>
                <w:szCs w:val="24"/>
                <w:lang w:val="en-US" w:eastAsia="zh-CN"/>
              </w:rPr>
              <w:t>”。</w:t>
            </w:r>
          </w:p>
        </w:tc>
      </w:tr>
      <w:tr w14:paraId="510452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182A140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4A37B6E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228DB272">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投标保证金的有效性</w:t>
            </w:r>
          </w:p>
        </w:tc>
        <w:tc>
          <w:tcPr>
            <w:tcW w:w="4856" w:type="dxa"/>
            <w:tcBorders>
              <w:tl2br w:val="nil"/>
              <w:tr2bl w:val="nil"/>
            </w:tcBorders>
            <w:noWrap w:val="0"/>
            <w:vAlign w:val="center"/>
          </w:tcPr>
          <w:p w14:paraId="1322EBB7">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以转账、网银等方式交纳的，保证金从</w:t>
            </w:r>
            <w:r>
              <w:rPr>
                <w:rFonts w:hint="eastAsia" w:ascii="宋体" w:hAnsi="宋体" w:eastAsia="宋体" w:cs="宋体"/>
                <w:color w:val="000000"/>
                <w:sz w:val="24"/>
                <w:szCs w:val="24"/>
                <w:lang w:val="en-US" w:eastAsia="zh-CN"/>
              </w:rPr>
              <w:t>本公司</w:t>
            </w:r>
            <w:r>
              <w:rPr>
                <w:rFonts w:hint="eastAsia" w:ascii="宋体" w:hAnsi="宋体" w:eastAsia="宋体" w:cs="宋体"/>
                <w:color w:val="000000"/>
                <w:sz w:val="24"/>
                <w:szCs w:val="24"/>
              </w:rPr>
              <w:t>账户足额交纳；</w:t>
            </w:r>
            <w:r>
              <w:rPr>
                <w:rFonts w:hint="eastAsia" w:ascii="宋体" w:hAnsi="宋体" w:eastAsia="宋体" w:cs="宋体"/>
                <w:color w:val="000000"/>
                <w:sz w:val="24"/>
                <w:szCs w:val="24"/>
                <w:lang w:val="en-US" w:eastAsia="zh-CN"/>
              </w:rPr>
              <w:t>或以</w:t>
            </w:r>
            <w:r>
              <w:rPr>
                <w:rFonts w:hint="eastAsia" w:ascii="宋体" w:hAnsi="宋体" w:eastAsia="宋体" w:cs="宋体"/>
                <w:color w:val="000000"/>
                <w:sz w:val="24"/>
                <w:szCs w:val="24"/>
              </w:rPr>
              <w:t>金融机构、担保机构出具的保函等非现金形式交纳。提交形式符合招标文件要求</w:t>
            </w:r>
          </w:p>
        </w:tc>
      </w:tr>
      <w:tr w14:paraId="2DA7BD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73" w:hRule="atLeast"/>
        </w:trPr>
        <w:tc>
          <w:tcPr>
            <w:tcW w:w="841" w:type="dxa"/>
            <w:vMerge w:val="continue"/>
            <w:tcBorders>
              <w:tl2br w:val="nil"/>
              <w:tr2bl w:val="nil"/>
            </w:tcBorders>
            <w:noWrap w:val="0"/>
            <w:vAlign w:val="center"/>
          </w:tcPr>
          <w:p w14:paraId="7A790FA6">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39C1E80D">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B1961C6">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开标一览表</w:t>
            </w:r>
          </w:p>
        </w:tc>
        <w:tc>
          <w:tcPr>
            <w:tcW w:w="4856" w:type="dxa"/>
            <w:tcBorders>
              <w:tl2br w:val="nil"/>
              <w:tr2bl w:val="nil"/>
            </w:tcBorders>
            <w:noWrap w:val="0"/>
            <w:vAlign w:val="center"/>
          </w:tcPr>
          <w:p w14:paraId="1874CB3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（1）投标报价符合唯一性要求：</w:t>
            </w:r>
          </w:p>
          <w:p w14:paraId="489C5D15">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（2）开标一览表填写符合要求；</w:t>
            </w:r>
          </w:p>
          <w:p w14:paraId="721A87BA">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（3）计量单位、报价货币均符合招标文件要求；</w:t>
            </w:r>
          </w:p>
          <w:p w14:paraId="281DA5D9">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（4）未超出采购预算或招标文件规定的最高限价。</w:t>
            </w:r>
          </w:p>
        </w:tc>
      </w:tr>
      <w:tr w14:paraId="779A6B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40" w:hRule="atLeast"/>
        </w:trPr>
        <w:tc>
          <w:tcPr>
            <w:tcW w:w="841" w:type="dxa"/>
            <w:vMerge w:val="continue"/>
            <w:tcBorders>
              <w:tl2br w:val="nil"/>
              <w:tr2bl w:val="nil"/>
            </w:tcBorders>
            <w:noWrap w:val="0"/>
            <w:vAlign w:val="center"/>
          </w:tcPr>
          <w:p w14:paraId="10EF922A">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91C7A21">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4F31780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技术/服务要求</w:t>
            </w:r>
          </w:p>
        </w:tc>
        <w:tc>
          <w:tcPr>
            <w:tcW w:w="4856" w:type="dxa"/>
            <w:tcBorders>
              <w:tl2br w:val="nil"/>
              <w:tr2bl w:val="nil"/>
            </w:tcBorders>
            <w:noWrap w:val="0"/>
            <w:vAlign w:val="center"/>
          </w:tcPr>
          <w:p w14:paraId="04A2FD1B">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完全理解并接受对合格投标人、合格的货物、工程或服务要求，技术/服务没有重大偏离和保留。</w:t>
            </w:r>
          </w:p>
        </w:tc>
      </w:tr>
      <w:tr w14:paraId="495F42A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5BDF14F0">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505A5603">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79E9DC12">
            <w:pPr>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供货期、质保期</w:t>
            </w:r>
          </w:p>
        </w:tc>
        <w:tc>
          <w:tcPr>
            <w:tcW w:w="4856" w:type="dxa"/>
            <w:tcBorders>
              <w:tl2br w:val="nil"/>
              <w:tr2bl w:val="nil"/>
            </w:tcBorders>
            <w:noWrap w:val="0"/>
            <w:vAlign w:val="center"/>
          </w:tcPr>
          <w:p w14:paraId="410D6C83">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符合招标文件要求</w:t>
            </w:r>
            <w:r>
              <w:rPr>
                <w:rFonts w:hint="eastAsia" w:ascii="宋体" w:hAnsi="宋体" w:eastAsia="宋体" w:cs="宋体"/>
                <w:color w:val="000000"/>
                <w:sz w:val="24"/>
                <w:szCs w:val="24"/>
                <w:lang w:eastAsia="zh-CN"/>
              </w:rPr>
              <w:t>。</w:t>
            </w:r>
          </w:p>
        </w:tc>
      </w:tr>
      <w:tr w14:paraId="1EC370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1567D959">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05A7151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14DEE659">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无其他招标文件或法规明确规定响应无效的事项</w:t>
            </w:r>
          </w:p>
        </w:tc>
        <w:tc>
          <w:tcPr>
            <w:tcW w:w="4856" w:type="dxa"/>
            <w:tcBorders>
              <w:tl2br w:val="nil"/>
              <w:tr2bl w:val="nil"/>
            </w:tcBorders>
            <w:noWrap w:val="0"/>
            <w:vAlign w:val="center"/>
          </w:tcPr>
          <w:p w14:paraId="4B55439C">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完全理解并接受对投标人的各项须知、规约要求和责任义务，没有不符合招标文件规定的被视为无效投标的其他条款。</w:t>
            </w:r>
          </w:p>
        </w:tc>
      </w:tr>
      <w:tr w14:paraId="4E81A9F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774" w:hRule="atLeast"/>
        </w:trPr>
        <w:tc>
          <w:tcPr>
            <w:tcW w:w="841" w:type="dxa"/>
            <w:vMerge w:val="continue"/>
            <w:tcBorders>
              <w:tl2br w:val="nil"/>
              <w:tr2bl w:val="nil"/>
            </w:tcBorders>
            <w:noWrap w:val="0"/>
            <w:vAlign w:val="center"/>
          </w:tcPr>
          <w:p w14:paraId="3C8254E3">
            <w:pPr>
              <w:spacing w:line="360" w:lineRule="auto"/>
              <w:jc w:val="center"/>
              <w:rPr>
                <w:rFonts w:hint="eastAsia" w:ascii="宋体" w:hAnsi="宋体" w:eastAsia="宋体" w:cs="宋体"/>
                <w:color w:val="000000"/>
                <w:sz w:val="24"/>
                <w:szCs w:val="24"/>
              </w:rPr>
            </w:pPr>
          </w:p>
        </w:tc>
        <w:tc>
          <w:tcPr>
            <w:tcW w:w="719" w:type="dxa"/>
            <w:vMerge w:val="continue"/>
            <w:tcBorders>
              <w:tl2br w:val="nil"/>
              <w:tr2bl w:val="nil"/>
            </w:tcBorders>
            <w:noWrap w:val="0"/>
            <w:vAlign w:val="center"/>
          </w:tcPr>
          <w:p w14:paraId="773CC432">
            <w:pPr>
              <w:spacing w:line="360" w:lineRule="auto"/>
              <w:jc w:val="center"/>
              <w:rPr>
                <w:rFonts w:hint="eastAsia" w:ascii="宋体" w:hAnsi="宋体" w:eastAsia="宋体" w:cs="宋体"/>
                <w:color w:val="000000"/>
                <w:sz w:val="24"/>
                <w:szCs w:val="24"/>
              </w:rPr>
            </w:pPr>
          </w:p>
        </w:tc>
        <w:tc>
          <w:tcPr>
            <w:tcW w:w="3224" w:type="dxa"/>
            <w:tcBorders>
              <w:tl2br w:val="nil"/>
              <w:tr2bl w:val="nil"/>
            </w:tcBorders>
            <w:noWrap w:val="0"/>
            <w:vAlign w:val="center"/>
          </w:tcPr>
          <w:p w14:paraId="0190E0AE">
            <w:pPr>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4856" w:type="dxa"/>
            <w:tcBorders>
              <w:tl2br w:val="nil"/>
              <w:tr2bl w:val="nil"/>
            </w:tcBorders>
            <w:noWrap w:val="0"/>
            <w:vAlign w:val="center"/>
          </w:tcPr>
          <w:p w14:paraId="2B7CD9A1">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投标有效期符合招标文件的要求。</w:t>
            </w:r>
          </w:p>
        </w:tc>
      </w:tr>
      <w:tr w14:paraId="733D2F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23" w:hRule="atLeast"/>
        </w:trPr>
        <w:tc>
          <w:tcPr>
            <w:tcW w:w="1560" w:type="dxa"/>
            <w:gridSpan w:val="2"/>
            <w:tcBorders>
              <w:tl2br w:val="nil"/>
              <w:tr2bl w:val="nil"/>
            </w:tcBorders>
            <w:noWrap w:val="0"/>
            <w:vAlign w:val="center"/>
          </w:tcPr>
          <w:p w14:paraId="2C82DE94">
            <w:pPr>
              <w:spacing w:line="360" w:lineRule="auto"/>
              <w:jc w:val="center"/>
              <w:rPr>
                <w:rFonts w:hint="eastAsia" w:ascii="宋体" w:hAnsi="宋体" w:eastAsia="宋体" w:cs="宋体"/>
                <w:b/>
                <w:color w:val="000000"/>
                <w:sz w:val="24"/>
                <w:szCs w:val="24"/>
              </w:rPr>
            </w:pPr>
            <w:bookmarkStart w:id="500" w:name="_Toc343511732"/>
            <w:r>
              <w:rPr>
                <w:rFonts w:hint="eastAsia" w:ascii="宋体" w:hAnsi="宋体" w:eastAsia="宋体" w:cs="宋体"/>
                <w:b/>
                <w:color w:val="000000"/>
                <w:sz w:val="24"/>
                <w:szCs w:val="24"/>
              </w:rPr>
              <w:t>条款号</w:t>
            </w:r>
            <w:bookmarkEnd w:id="500"/>
          </w:p>
        </w:tc>
        <w:tc>
          <w:tcPr>
            <w:tcW w:w="3224" w:type="dxa"/>
            <w:tcBorders>
              <w:tl2br w:val="nil"/>
              <w:tr2bl w:val="nil"/>
            </w:tcBorders>
            <w:noWrap w:val="0"/>
            <w:vAlign w:val="center"/>
          </w:tcPr>
          <w:p w14:paraId="47694F94">
            <w:pPr>
              <w:spacing w:line="360" w:lineRule="auto"/>
              <w:jc w:val="center"/>
              <w:rPr>
                <w:rFonts w:hint="eastAsia" w:ascii="宋体" w:hAnsi="宋体" w:eastAsia="宋体" w:cs="宋体"/>
                <w:color w:val="000000"/>
                <w:sz w:val="24"/>
                <w:szCs w:val="24"/>
              </w:rPr>
            </w:pPr>
            <w:bookmarkStart w:id="501" w:name="_Toc343511733"/>
            <w:r>
              <w:rPr>
                <w:rFonts w:hint="eastAsia" w:ascii="宋体" w:hAnsi="宋体" w:eastAsia="宋体" w:cs="宋体"/>
                <w:b/>
                <w:bCs/>
                <w:color w:val="000000"/>
                <w:sz w:val="24"/>
                <w:szCs w:val="24"/>
              </w:rPr>
              <w:t>条款内容</w:t>
            </w:r>
            <w:bookmarkEnd w:id="501"/>
          </w:p>
        </w:tc>
        <w:tc>
          <w:tcPr>
            <w:tcW w:w="4856" w:type="dxa"/>
            <w:tcBorders>
              <w:tl2br w:val="nil"/>
              <w:tr2bl w:val="nil"/>
            </w:tcBorders>
            <w:noWrap w:val="0"/>
            <w:vAlign w:val="center"/>
          </w:tcPr>
          <w:p w14:paraId="53D56FDA">
            <w:pPr>
              <w:spacing w:line="360" w:lineRule="auto"/>
              <w:rPr>
                <w:rFonts w:hint="eastAsia" w:ascii="宋体" w:hAnsi="宋体" w:eastAsia="宋体" w:cs="宋体"/>
                <w:b/>
                <w:color w:val="000000"/>
                <w:sz w:val="24"/>
                <w:szCs w:val="24"/>
              </w:rPr>
            </w:pPr>
            <w:bookmarkStart w:id="502" w:name="_Toc343511734"/>
            <w:r>
              <w:rPr>
                <w:rFonts w:hint="eastAsia" w:ascii="宋体" w:hAnsi="宋体" w:eastAsia="宋体" w:cs="宋体"/>
                <w:b/>
                <w:color w:val="000000"/>
                <w:sz w:val="24"/>
                <w:szCs w:val="24"/>
              </w:rPr>
              <w:t>编列内容</w:t>
            </w:r>
            <w:bookmarkEnd w:id="502"/>
          </w:p>
        </w:tc>
      </w:tr>
      <w:tr w14:paraId="1F5A16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583" w:hRule="atLeast"/>
        </w:trPr>
        <w:tc>
          <w:tcPr>
            <w:tcW w:w="1560" w:type="dxa"/>
            <w:gridSpan w:val="2"/>
            <w:tcBorders>
              <w:tl2br w:val="nil"/>
              <w:tr2bl w:val="nil"/>
            </w:tcBorders>
            <w:noWrap w:val="0"/>
            <w:vAlign w:val="center"/>
          </w:tcPr>
          <w:p w14:paraId="6DE89269">
            <w:pPr>
              <w:spacing w:line="360" w:lineRule="auto"/>
              <w:jc w:val="center"/>
              <w:rPr>
                <w:rFonts w:hint="eastAsia" w:ascii="宋体" w:hAnsi="宋体" w:eastAsia="宋体" w:cs="宋体"/>
                <w:color w:val="000000"/>
                <w:sz w:val="24"/>
                <w:szCs w:val="24"/>
              </w:rPr>
            </w:pPr>
            <w:bookmarkStart w:id="503" w:name="_Toc343511735"/>
            <w:r>
              <w:rPr>
                <w:rFonts w:hint="eastAsia" w:ascii="宋体" w:hAnsi="宋体" w:eastAsia="宋体" w:cs="宋体"/>
                <w:color w:val="000000"/>
                <w:sz w:val="24"/>
                <w:szCs w:val="24"/>
              </w:rPr>
              <w:t>2.2.1</w:t>
            </w:r>
            <w:bookmarkEnd w:id="503"/>
          </w:p>
        </w:tc>
        <w:tc>
          <w:tcPr>
            <w:tcW w:w="3224" w:type="dxa"/>
            <w:tcBorders>
              <w:tl2br w:val="nil"/>
              <w:tr2bl w:val="nil"/>
            </w:tcBorders>
            <w:noWrap w:val="0"/>
            <w:vAlign w:val="center"/>
          </w:tcPr>
          <w:p w14:paraId="754A0570">
            <w:pPr>
              <w:spacing w:line="360" w:lineRule="auto"/>
              <w:jc w:val="center"/>
              <w:rPr>
                <w:rFonts w:hint="eastAsia" w:ascii="宋体" w:hAnsi="宋体" w:eastAsia="宋体" w:cs="宋体"/>
                <w:color w:val="000000"/>
                <w:sz w:val="24"/>
                <w:szCs w:val="24"/>
              </w:rPr>
            </w:pPr>
            <w:bookmarkStart w:id="504" w:name="_Toc343511736"/>
            <w:r>
              <w:rPr>
                <w:rFonts w:hint="eastAsia" w:ascii="宋体" w:hAnsi="宋体" w:eastAsia="宋体" w:cs="宋体"/>
                <w:color w:val="000000"/>
                <w:sz w:val="24"/>
                <w:szCs w:val="24"/>
              </w:rPr>
              <w:t>分值构成</w:t>
            </w:r>
            <w:bookmarkEnd w:id="504"/>
          </w:p>
          <w:p w14:paraId="6363EECC">
            <w:pPr>
              <w:spacing w:line="360" w:lineRule="auto"/>
              <w:jc w:val="center"/>
              <w:rPr>
                <w:rFonts w:hint="eastAsia" w:ascii="宋体" w:hAnsi="宋体" w:eastAsia="宋体" w:cs="宋体"/>
                <w:color w:val="000000"/>
                <w:sz w:val="24"/>
                <w:szCs w:val="24"/>
              </w:rPr>
            </w:pPr>
            <w:bookmarkStart w:id="505" w:name="_Toc343511737"/>
            <w:r>
              <w:rPr>
                <w:rFonts w:hint="eastAsia" w:ascii="宋体" w:hAnsi="宋体" w:eastAsia="宋体" w:cs="宋体"/>
                <w:color w:val="000000"/>
                <w:sz w:val="24"/>
                <w:szCs w:val="24"/>
              </w:rPr>
              <w:t>(总分100分)</w:t>
            </w:r>
            <w:bookmarkEnd w:id="505"/>
          </w:p>
        </w:tc>
        <w:tc>
          <w:tcPr>
            <w:tcW w:w="4856" w:type="dxa"/>
            <w:tcBorders>
              <w:tl2br w:val="nil"/>
              <w:tr2bl w:val="nil"/>
            </w:tcBorders>
            <w:noWrap w:val="0"/>
            <w:vAlign w:val="center"/>
          </w:tcPr>
          <w:p w14:paraId="0EFC057F">
            <w:pPr>
              <w:spacing w:line="360" w:lineRule="auto"/>
              <w:rPr>
                <w:rFonts w:hint="eastAsia" w:ascii="宋体" w:hAnsi="宋体" w:eastAsia="宋体" w:cs="宋体"/>
                <w:color w:val="000000" w:themeColor="text1"/>
                <w:sz w:val="24"/>
                <w:szCs w:val="24"/>
                <w14:textFill>
                  <w14:solidFill>
                    <w14:schemeClr w14:val="tx1"/>
                  </w14:solidFill>
                </w14:textFill>
              </w:rPr>
            </w:pPr>
            <w:bookmarkStart w:id="506" w:name="_Toc343511738"/>
            <w:bookmarkStart w:id="507" w:name="_Toc343511739"/>
            <w:r>
              <w:rPr>
                <w:rFonts w:hint="eastAsia" w:ascii="宋体" w:hAnsi="宋体" w:eastAsia="宋体" w:cs="宋体"/>
                <w:color w:val="000000" w:themeColor="text1"/>
                <w:sz w:val="24"/>
                <w:szCs w:val="24"/>
                <w14:textFill>
                  <w14:solidFill>
                    <w14:schemeClr w14:val="tx1"/>
                  </w14:solidFill>
                </w14:textFill>
              </w:rPr>
              <w:t>1.投标报价评审：</w:t>
            </w:r>
            <w:r>
              <w:rPr>
                <w:rFonts w:hint="eastAsia" w:ascii="宋体" w:hAnsi="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p w14:paraId="26897883">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2.技术部分评审：</w:t>
            </w:r>
            <w:r>
              <w:rPr>
                <w:rFonts w:hint="eastAsia" w:ascii="宋体" w:hAnsi="宋体" w:cs="宋体"/>
                <w:color w:val="000000" w:themeColor="text1"/>
                <w:sz w:val="24"/>
                <w:szCs w:val="24"/>
                <w:lang w:val="en-US" w:eastAsia="zh-CN"/>
                <w14:textFill>
                  <w14:solidFill>
                    <w14:schemeClr w14:val="tx1"/>
                  </w14:solidFill>
                </w14:textFill>
              </w:rPr>
              <w:t>58</w:t>
            </w:r>
            <w:r>
              <w:rPr>
                <w:rFonts w:hint="eastAsia" w:ascii="宋体" w:hAnsi="宋体" w:eastAsia="宋体" w:cs="宋体"/>
                <w:color w:val="000000" w:themeColor="text1"/>
                <w:sz w:val="24"/>
                <w:szCs w:val="24"/>
                <w14:textFill>
                  <w14:solidFill>
                    <w14:schemeClr w14:val="tx1"/>
                  </w14:solidFill>
                </w14:textFill>
              </w:rPr>
              <w:t>分</w:t>
            </w:r>
          </w:p>
          <w:p w14:paraId="01C120AE">
            <w:pPr>
              <w:spacing w:line="360" w:lineRule="auto"/>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3.商务部分评审：</w:t>
            </w:r>
            <w:r>
              <w:rPr>
                <w:rFonts w:hint="eastAsia" w:ascii="宋体" w:hAnsi="宋体" w:cs="宋体"/>
                <w:color w:val="000000" w:themeColor="text1"/>
                <w:sz w:val="24"/>
                <w:szCs w:val="24"/>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分</w:t>
            </w:r>
            <w:bookmarkEnd w:id="506"/>
            <w:bookmarkEnd w:id="507"/>
          </w:p>
        </w:tc>
      </w:tr>
    </w:tbl>
    <w:p w14:paraId="1322C5CB">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08" w:name="_Toc490171551"/>
      <w:bookmarkStart w:id="509" w:name="_Toc397410657"/>
      <w:bookmarkStart w:id="510" w:name="_Toc397585168"/>
      <w:bookmarkStart w:id="511" w:name="_Toc246996243"/>
      <w:bookmarkStart w:id="512" w:name="_Toc152045600"/>
      <w:bookmarkStart w:id="513" w:name="_Toc397410470"/>
      <w:bookmarkStart w:id="514" w:name="_Toc361406430"/>
      <w:bookmarkStart w:id="515" w:name="_Toc361406351"/>
      <w:bookmarkStart w:id="516" w:name="_Toc152042377"/>
      <w:bookmarkStart w:id="517" w:name="_Toc394320899"/>
      <w:bookmarkStart w:id="518" w:name="_Toc456197086"/>
      <w:bookmarkStart w:id="519" w:name="_Toc395711818"/>
      <w:bookmarkStart w:id="520" w:name="_Toc247085758"/>
      <w:bookmarkStart w:id="521" w:name="_Toc246996986"/>
      <w:bookmarkStart w:id="522" w:name="_Toc490171392"/>
      <w:bookmarkStart w:id="523" w:name="_Toc179632618"/>
      <w:bookmarkStart w:id="524" w:name="_Toc397585237"/>
      <w:bookmarkStart w:id="525" w:name="_Toc144974567"/>
      <w:bookmarkStart w:id="526" w:name="_Toc343511762"/>
      <w:r>
        <w:rPr>
          <w:rFonts w:hint="eastAsia" w:ascii="宋体" w:hAnsi="宋体" w:cs="宋体"/>
          <w:color w:val="000000" w:themeColor="text1"/>
          <w:sz w:val="24"/>
          <w:szCs w:val="24"/>
          <w:lang w:eastAsia="zh-CN"/>
          <w14:textFill>
            <w14:solidFill>
              <w14:schemeClr w14:val="tx1"/>
            </w14:solidFill>
          </w14:textFill>
        </w:rPr>
        <w:t>延安市公安局宝塔分局综合指挥作战装备购置项目</w:t>
      </w:r>
      <w:r>
        <w:rPr>
          <w:rFonts w:hint="eastAsia" w:ascii="宋体" w:hAnsi="宋体" w:eastAsia="宋体" w:cs="宋体"/>
          <w:color w:val="000000" w:themeColor="text1"/>
          <w:sz w:val="24"/>
          <w:szCs w:val="24"/>
          <w14:textFill>
            <w14:solidFill>
              <w14:schemeClr w14:val="tx1"/>
            </w14:solidFill>
          </w14:textFill>
        </w:rPr>
        <w:t>招标文件由陕西宸永项目管理有限公司根据采购人提出的采购要求和商务要求编制，经采购人审定后发售。</w:t>
      </w:r>
    </w:p>
    <w:p w14:paraId="7D75A79A">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 评标方法</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p>
    <w:p w14:paraId="08668C84">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27" w:name="_Toc343511763"/>
      <w:r>
        <w:rPr>
          <w:rFonts w:hint="eastAsia" w:ascii="宋体" w:hAnsi="宋体" w:eastAsia="宋体" w:cs="宋体"/>
          <w:color w:val="000000" w:themeColor="text1"/>
          <w:sz w:val="24"/>
          <w:szCs w:val="24"/>
          <w14:textFill>
            <w14:solidFill>
              <w14:schemeClr w14:val="tx1"/>
            </w14:solidFill>
          </w14:textFill>
        </w:rPr>
        <w:t>1.1评标原则</w:t>
      </w:r>
    </w:p>
    <w:p w14:paraId="62FE89A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（1）公平、公正、科学、择优；</w:t>
      </w:r>
    </w:p>
    <w:p w14:paraId="11214AF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合理、方案可行；</w:t>
      </w:r>
    </w:p>
    <w:p w14:paraId="5802DC6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（3）价格合理，且不低于成本价；</w:t>
      </w:r>
    </w:p>
    <w:p w14:paraId="03F9FE3F">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（4）禁止不正当竞争。</w:t>
      </w:r>
    </w:p>
    <w:p w14:paraId="630BDE5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 本次评标采用综合评分法。</w:t>
      </w:r>
    </w:p>
    <w:p w14:paraId="37E76AE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评标委员会对满足招标文件实质性要求的投标文件，按照本章第2.2款规定的评分标准进行打分。</w:t>
      </w:r>
      <w:bookmarkEnd w:id="527"/>
      <w:r>
        <w:rPr>
          <w:rFonts w:hint="eastAsia" w:ascii="宋体" w:hAnsi="宋体" w:eastAsia="宋体" w:cs="宋体"/>
          <w:color w:val="000000" w:themeColor="text1"/>
          <w:sz w:val="24"/>
          <w:szCs w:val="24"/>
          <w14:textFill>
            <w14:solidFill>
              <w14:schemeClr w14:val="tx1"/>
            </w14:solidFill>
          </w14:textFill>
        </w:rPr>
        <w:t>评标委员会对投标人在投标文件中提出的质量、</w:t>
      </w:r>
      <w:r>
        <w:rPr>
          <w:rFonts w:hint="eastAsia" w:ascii="宋体" w:hAnsi="宋体" w:eastAsia="宋体" w:cs="宋体"/>
          <w:color w:val="000000" w:themeColor="text1"/>
          <w:sz w:val="24"/>
          <w:szCs w:val="24"/>
          <w:lang w:eastAsia="zh-CN"/>
          <w14:textFill>
            <w14:solidFill>
              <w14:schemeClr w14:val="tx1"/>
            </w14:solidFill>
          </w14:textFill>
        </w:rPr>
        <w:t>服务期限</w:t>
      </w:r>
      <w:r>
        <w:rPr>
          <w:rFonts w:hint="eastAsia" w:ascii="宋体" w:hAnsi="宋体" w:eastAsia="宋体" w:cs="宋体"/>
          <w:color w:val="000000" w:themeColor="text1"/>
          <w:sz w:val="24"/>
          <w:szCs w:val="24"/>
          <w14:textFill>
            <w14:solidFill>
              <w14:schemeClr w14:val="tx1"/>
            </w14:solidFill>
          </w14:textFill>
        </w:rPr>
        <w:t>、投标价格、技术部分、商务部分等能否最大限度地满足招标文件的要求进行评审、赋分，向采购人推荐前三名中标候选投标人，标明排列顺序。</w:t>
      </w:r>
    </w:p>
    <w:p w14:paraId="4CE9F7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1.3在评标过程中，投标人对采购人和评标委员会施加影响的任何行为，都将导致其投标资格被取消。</w:t>
      </w:r>
    </w:p>
    <w:p w14:paraId="1B9ADDB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28" w:name="_Toc397410471"/>
      <w:bookmarkStart w:id="529" w:name="_Toc246996244"/>
      <w:bookmarkStart w:id="530" w:name="_Toc361406352"/>
      <w:bookmarkStart w:id="531" w:name="_Toc397585169"/>
      <w:bookmarkStart w:id="532" w:name="_Toc246996987"/>
      <w:bookmarkStart w:id="533" w:name="_Toc397410658"/>
      <w:bookmarkStart w:id="534" w:name="_Toc456197087"/>
      <w:bookmarkStart w:id="535" w:name="_Toc152042378"/>
      <w:bookmarkStart w:id="536" w:name="_Toc343511764"/>
      <w:bookmarkStart w:id="537" w:name="_Toc490171552"/>
      <w:bookmarkStart w:id="538" w:name="_Toc152045601"/>
      <w:bookmarkStart w:id="539" w:name="_Toc395711819"/>
      <w:bookmarkStart w:id="540" w:name="_Toc490171393"/>
      <w:bookmarkStart w:id="541" w:name="_Toc397585238"/>
      <w:bookmarkStart w:id="542" w:name="_Toc394320900"/>
      <w:bookmarkStart w:id="543" w:name="_Toc247085759"/>
      <w:bookmarkStart w:id="544" w:name="_Toc144974568"/>
      <w:bookmarkStart w:id="545" w:name="_Toc179632619"/>
      <w:bookmarkStart w:id="546" w:name="_Toc361406431"/>
      <w:r>
        <w:rPr>
          <w:rFonts w:hint="eastAsia" w:ascii="宋体" w:hAnsi="宋体" w:eastAsia="宋体" w:cs="宋体"/>
          <w:b/>
          <w:color w:val="000000" w:themeColor="text1"/>
          <w:sz w:val="24"/>
          <w:szCs w:val="24"/>
          <w14:textFill>
            <w14:solidFill>
              <w14:schemeClr w14:val="tx1"/>
            </w14:solidFill>
          </w14:textFill>
        </w:rPr>
        <w:t>2. 评审标准</w:t>
      </w:r>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p w14:paraId="1B80262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47" w:name="_Toc397410472"/>
      <w:bookmarkStart w:id="548" w:name="_Toc247085760"/>
      <w:bookmarkStart w:id="549" w:name="_Toc152042379"/>
      <w:bookmarkStart w:id="550" w:name="_Toc246996988"/>
      <w:bookmarkStart w:id="551" w:name="_Toc144974569"/>
      <w:bookmarkStart w:id="552" w:name="_Toc490171394"/>
      <w:bookmarkStart w:id="553" w:name="_Toc179632620"/>
      <w:bookmarkStart w:id="554" w:name="_Toc456197088"/>
      <w:bookmarkStart w:id="555" w:name="_Toc361406432"/>
      <w:bookmarkStart w:id="556" w:name="_Toc361406353"/>
      <w:bookmarkStart w:id="557" w:name="_Toc343511765"/>
      <w:bookmarkStart w:id="558" w:name="_Toc397585170"/>
      <w:bookmarkStart w:id="559" w:name="_Toc397585239"/>
      <w:bookmarkStart w:id="560" w:name="_Toc152045602"/>
      <w:bookmarkStart w:id="561" w:name="_Toc397410659"/>
      <w:bookmarkStart w:id="562" w:name="_Toc246996245"/>
      <w:bookmarkStart w:id="563" w:name="_Toc394320901"/>
      <w:bookmarkStart w:id="564" w:name="_Toc395711820"/>
      <w:bookmarkStart w:id="565" w:name="_Toc490171553"/>
      <w:r>
        <w:rPr>
          <w:rFonts w:hint="eastAsia" w:ascii="宋体" w:hAnsi="宋体" w:eastAsia="宋体" w:cs="宋体"/>
          <w:b/>
          <w:color w:val="000000" w:themeColor="text1"/>
          <w:sz w:val="24"/>
          <w:szCs w:val="24"/>
          <w14:textFill>
            <w14:solidFill>
              <w14:schemeClr w14:val="tx1"/>
            </w14:solidFill>
          </w14:textFill>
        </w:rPr>
        <w:t>2.1 初步评审标准</w:t>
      </w:r>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14:paraId="2CDEBE1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6" w:name="_Toc343511766"/>
      <w:r>
        <w:rPr>
          <w:rFonts w:hint="eastAsia" w:ascii="宋体" w:hAnsi="宋体" w:eastAsia="宋体" w:cs="宋体"/>
          <w:color w:val="000000" w:themeColor="text1"/>
          <w:sz w:val="24"/>
          <w:szCs w:val="24"/>
          <w14:textFill>
            <w14:solidFill>
              <w14:schemeClr w14:val="tx1"/>
            </w14:solidFill>
          </w14:textFill>
        </w:rPr>
        <w:t>2.1.1 形式评审标准：见评标办法前附表。</w:t>
      </w:r>
      <w:bookmarkEnd w:id="566"/>
    </w:p>
    <w:p w14:paraId="6FCFFBA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67" w:name="_Toc343511767"/>
      <w:r>
        <w:rPr>
          <w:rFonts w:hint="eastAsia" w:ascii="宋体" w:hAnsi="宋体" w:eastAsia="宋体" w:cs="宋体"/>
          <w:color w:val="000000" w:themeColor="text1"/>
          <w:sz w:val="24"/>
          <w:szCs w:val="24"/>
          <w14:textFill>
            <w14:solidFill>
              <w14:schemeClr w14:val="tx1"/>
            </w14:solidFill>
          </w14:textFill>
        </w:rPr>
        <w:t>2.1.2</w:t>
      </w:r>
      <w:bookmarkEnd w:id="567"/>
      <w:bookmarkStart w:id="568" w:name="_Toc343511768"/>
      <w:r>
        <w:rPr>
          <w:rFonts w:hint="eastAsia" w:ascii="宋体" w:hAnsi="宋体" w:eastAsia="宋体" w:cs="宋体"/>
          <w:color w:val="000000" w:themeColor="text1"/>
          <w:sz w:val="24"/>
          <w:szCs w:val="24"/>
          <w14:textFill>
            <w14:solidFill>
              <w14:schemeClr w14:val="tx1"/>
            </w14:solidFill>
          </w14:textFill>
        </w:rPr>
        <w:t>响应性评审标准：见评标办法前附表。</w:t>
      </w:r>
      <w:bookmarkEnd w:id="568"/>
    </w:p>
    <w:p w14:paraId="039CE43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69" w:name="_Toc152045603"/>
      <w:bookmarkStart w:id="570" w:name="_Toc394320902"/>
      <w:bookmarkStart w:id="571" w:name="_Toc397585240"/>
      <w:bookmarkStart w:id="572" w:name="_Toc397410473"/>
      <w:bookmarkStart w:id="573" w:name="_Toc490171395"/>
      <w:bookmarkStart w:id="574" w:name="_Toc397410660"/>
      <w:bookmarkStart w:id="575" w:name="_Toc144974570"/>
      <w:bookmarkStart w:id="576" w:name="_Toc246996989"/>
      <w:bookmarkStart w:id="577" w:name="_Toc246996246"/>
      <w:bookmarkStart w:id="578" w:name="_Toc361406433"/>
      <w:bookmarkStart w:id="579" w:name="_Toc456197089"/>
      <w:bookmarkStart w:id="580" w:name="_Toc247085761"/>
      <w:bookmarkStart w:id="581" w:name="_Toc397585171"/>
      <w:bookmarkStart w:id="582" w:name="_Toc490171554"/>
      <w:bookmarkStart w:id="583" w:name="_Toc343511769"/>
      <w:bookmarkStart w:id="584" w:name="_Toc152042380"/>
      <w:bookmarkStart w:id="585" w:name="_Toc361406354"/>
      <w:bookmarkStart w:id="586" w:name="_Toc395711821"/>
      <w:bookmarkStart w:id="587" w:name="_Toc179632621"/>
      <w:r>
        <w:rPr>
          <w:rFonts w:hint="eastAsia" w:ascii="宋体" w:hAnsi="宋体" w:eastAsia="宋体" w:cs="宋体"/>
          <w:b/>
          <w:color w:val="000000" w:themeColor="text1"/>
          <w:sz w:val="24"/>
          <w:szCs w:val="24"/>
          <w14:textFill>
            <w14:solidFill>
              <w14:schemeClr w14:val="tx1"/>
            </w14:solidFill>
          </w14:textFill>
        </w:rPr>
        <w:t>2.2 分值构成与评分标准</w:t>
      </w:r>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14:paraId="48E5546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588" w:name="_Toc343511770"/>
      <w:r>
        <w:rPr>
          <w:rFonts w:hint="eastAsia" w:ascii="宋体" w:hAnsi="宋体" w:eastAsia="宋体" w:cs="宋体"/>
          <w:color w:val="000000" w:themeColor="text1"/>
          <w:sz w:val="24"/>
          <w:szCs w:val="24"/>
          <w14:textFill>
            <w14:solidFill>
              <w14:schemeClr w14:val="tx1"/>
            </w14:solidFill>
          </w14:textFill>
        </w:rPr>
        <w:t>2.2.1 分值构成</w:t>
      </w:r>
      <w:bookmarkEnd w:id="588"/>
      <w:r>
        <w:rPr>
          <w:rFonts w:hint="eastAsia" w:ascii="宋体" w:hAnsi="宋体" w:eastAsia="宋体" w:cs="宋体"/>
          <w:color w:val="000000" w:themeColor="text1"/>
          <w:sz w:val="24"/>
          <w:szCs w:val="24"/>
          <w14:textFill>
            <w14:solidFill>
              <w14:schemeClr w14:val="tx1"/>
            </w14:solidFill>
          </w14:textFill>
        </w:rPr>
        <w:t>：见评标办法前附表。</w:t>
      </w:r>
    </w:p>
    <w:p w14:paraId="74D667D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589" w:name="_Toc397410474"/>
      <w:bookmarkStart w:id="590" w:name="_Toc394320903"/>
      <w:bookmarkStart w:id="591" w:name="_Toc152042381"/>
      <w:bookmarkStart w:id="592" w:name="_Toc361406434"/>
      <w:bookmarkStart w:id="593" w:name="_Toc343511776"/>
      <w:bookmarkStart w:id="594" w:name="_Toc152045604"/>
      <w:bookmarkStart w:id="595" w:name="_Toc395711822"/>
      <w:bookmarkStart w:id="596" w:name="_Toc397585172"/>
      <w:bookmarkStart w:id="597" w:name="_Toc246996990"/>
      <w:bookmarkStart w:id="598" w:name="_Toc456197090"/>
      <w:bookmarkStart w:id="599" w:name="_Toc490171396"/>
      <w:bookmarkStart w:id="600" w:name="_Toc179632622"/>
      <w:bookmarkStart w:id="601" w:name="_Toc397585241"/>
      <w:bookmarkStart w:id="602" w:name="_Toc144974571"/>
      <w:bookmarkStart w:id="603" w:name="_Toc246996247"/>
      <w:bookmarkStart w:id="604" w:name="_Toc247085762"/>
      <w:bookmarkStart w:id="605" w:name="_Toc397410661"/>
      <w:bookmarkStart w:id="606" w:name="_Toc490171555"/>
      <w:bookmarkStart w:id="607" w:name="_Toc361406355"/>
      <w:r>
        <w:rPr>
          <w:rFonts w:hint="eastAsia" w:ascii="宋体" w:hAnsi="宋体" w:eastAsia="宋体" w:cs="宋体"/>
          <w:b/>
          <w:color w:val="000000" w:themeColor="text1"/>
          <w:sz w:val="24"/>
          <w:szCs w:val="24"/>
          <w14:textFill>
            <w14:solidFill>
              <w14:schemeClr w14:val="tx1"/>
            </w14:solidFill>
          </w14:textFill>
        </w:rPr>
        <w:t>3. 评标程序</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5A3629E9">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08" w:name="_Toc394320904"/>
      <w:bookmarkStart w:id="609" w:name="_Toc152045605"/>
      <w:bookmarkStart w:id="610" w:name="_Toc397410475"/>
      <w:bookmarkStart w:id="611" w:name="_Toc397410662"/>
      <w:bookmarkStart w:id="612" w:name="_Toc395711823"/>
      <w:bookmarkStart w:id="613" w:name="_Toc247085763"/>
      <w:bookmarkStart w:id="614" w:name="_Toc397585242"/>
      <w:bookmarkStart w:id="615" w:name="_Toc152042382"/>
      <w:bookmarkStart w:id="616" w:name="_Toc397585173"/>
      <w:bookmarkStart w:id="617" w:name="_Toc179632623"/>
      <w:bookmarkStart w:id="618" w:name="_Toc246996991"/>
      <w:bookmarkStart w:id="619" w:name="_Toc490171556"/>
      <w:bookmarkStart w:id="620" w:name="_Toc361406435"/>
      <w:bookmarkStart w:id="621" w:name="_Toc343511777"/>
      <w:bookmarkStart w:id="622" w:name="_Toc361406356"/>
      <w:bookmarkStart w:id="623" w:name="_Toc490171397"/>
      <w:bookmarkStart w:id="624" w:name="_Toc246996248"/>
      <w:bookmarkStart w:id="625" w:name="_Toc456197091"/>
      <w:bookmarkStart w:id="626" w:name="_Toc144974572"/>
      <w:r>
        <w:rPr>
          <w:rFonts w:hint="eastAsia" w:ascii="宋体" w:hAnsi="宋体" w:eastAsia="宋体" w:cs="宋体"/>
          <w:b/>
          <w:color w:val="000000" w:themeColor="text1"/>
          <w:sz w:val="24"/>
          <w:szCs w:val="24"/>
          <w14:textFill>
            <w14:solidFill>
              <w14:schemeClr w14:val="tx1"/>
            </w14:solidFill>
          </w14:textFill>
        </w:rPr>
        <w:t>3.1 初步评审</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71F4C539">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7" w:name="_Toc343511778"/>
      <w:r>
        <w:rPr>
          <w:rFonts w:hint="eastAsia" w:ascii="宋体" w:hAnsi="宋体" w:eastAsia="宋体" w:cs="宋体"/>
          <w:color w:val="000000" w:themeColor="text1"/>
          <w:sz w:val="24"/>
          <w:szCs w:val="24"/>
          <w14:textFill>
            <w14:solidFill>
              <w14:schemeClr w14:val="tx1"/>
            </w14:solidFill>
          </w14:textFill>
        </w:rPr>
        <w:t>3.1.1评标委员会依据本章第2.1款规定的标准对投标文件进行初步评审。有一项不符合评审标准的，评标委员会应当否决其投标。</w:t>
      </w:r>
      <w:bookmarkEnd w:id="627"/>
    </w:p>
    <w:p w14:paraId="4C95F27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8" w:name="_Toc343511779"/>
      <w:r>
        <w:rPr>
          <w:rFonts w:hint="eastAsia" w:ascii="宋体" w:hAnsi="宋体" w:eastAsia="宋体" w:cs="宋体"/>
          <w:color w:val="000000" w:themeColor="text1"/>
          <w:sz w:val="24"/>
          <w:szCs w:val="24"/>
          <w14:textFill>
            <w14:solidFill>
              <w14:schemeClr w14:val="tx1"/>
            </w14:solidFill>
          </w14:textFill>
        </w:rPr>
        <w:t>3.1.2 投标人有以下情形之一的，评标委员会应当否决其投标：</w:t>
      </w:r>
      <w:bookmarkEnd w:id="628"/>
    </w:p>
    <w:p w14:paraId="0ECF0D7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29" w:name="_Toc343511780"/>
      <w:r>
        <w:rPr>
          <w:rFonts w:hint="eastAsia" w:ascii="宋体" w:hAnsi="宋体" w:eastAsia="宋体" w:cs="宋体"/>
          <w:color w:val="000000" w:themeColor="text1"/>
          <w:sz w:val="24"/>
          <w:szCs w:val="24"/>
          <w14:textFill>
            <w14:solidFill>
              <w14:schemeClr w14:val="tx1"/>
            </w14:solidFill>
          </w14:textFill>
        </w:rPr>
        <w:t>（1）第二章“投标人须知”第1.4.2项、第1.4.3项规定的任何一种情形的；</w:t>
      </w:r>
      <w:bookmarkEnd w:id="629"/>
    </w:p>
    <w:p w14:paraId="34CD6B88">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0" w:name="_Toc343511781"/>
      <w:r>
        <w:rPr>
          <w:rFonts w:hint="eastAsia" w:ascii="宋体" w:hAnsi="宋体" w:eastAsia="宋体" w:cs="宋体"/>
          <w:color w:val="000000" w:themeColor="text1"/>
          <w:sz w:val="24"/>
          <w:szCs w:val="24"/>
          <w14:textFill>
            <w14:solidFill>
              <w14:schemeClr w14:val="tx1"/>
            </w14:solidFill>
          </w14:textFill>
        </w:rPr>
        <w:t>（2）串通投标或弄虚作假或有其他违法行为的；</w:t>
      </w:r>
      <w:bookmarkEnd w:id="630"/>
    </w:p>
    <w:p w14:paraId="1675FEA3">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631" w:name="_Toc343511784"/>
      <w:r>
        <w:rPr>
          <w:rFonts w:hint="eastAsia" w:ascii="宋体" w:hAnsi="宋体" w:eastAsia="宋体" w:cs="宋体"/>
          <w:color w:val="000000" w:themeColor="text1"/>
          <w:sz w:val="24"/>
          <w:szCs w:val="24"/>
          <w14:textFill>
            <w14:solidFill>
              <w14:schemeClr w14:val="tx1"/>
            </w14:solidFill>
          </w14:textFill>
        </w:rPr>
        <w:t>（3）不按评标委员会要求澄清、说明或补正的。</w:t>
      </w:r>
      <w:bookmarkEnd w:id="631"/>
    </w:p>
    <w:p w14:paraId="224F5CEC">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3.1.3评标过程如需询标须有监管人员在场，询标不得改变投标文件的实质性内容，不得扣留和传播任何涉及投标人商业秘密的询标资料，询标结果以投标人确认的文字资料为准。</w:t>
      </w:r>
    </w:p>
    <w:p w14:paraId="2AFF5B40">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32" w:name="_Toc395711824"/>
      <w:bookmarkStart w:id="633" w:name="_Toc490171557"/>
      <w:bookmarkStart w:id="634" w:name="_Toc397585174"/>
      <w:bookmarkStart w:id="635" w:name="_Toc152045606"/>
      <w:bookmarkStart w:id="636" w:name="_Toc456197092"/>
      <w:bookmarkStart w:id="637" w:name="_Toc343511788"/>
      <w:bookmarkStart w:id="638" w:name="_Toc144974573"/>
      <w:bookmarkStart w:id="639" w:name="_Toc397410663"/>
      <w:bookmarkStart w:id="640" w:name="_Toc246996992"/>
      <w:bookmarkStart w:id="641" w:name="_Toc247085764"/>
      <w:bookmarkStart w:id="642" w:name="_Toc179632624"/>
      <w:bookmarkStart w:id="643" w:name="_Toc246996249"/>
      <w:bookmarkStart w:id="644" w:name="_Toc397410476"/>
      <w:bookmarkStart w:id="645" w:name="_Toc361406357"/>
      <w:bookmarkStart w:id="646" w:name="_Toc394320905"/>
      <w:bookmarkStart w:id="647" w:name="_Toc397585243"/>
      <w:bookmarkStart w:id="648" w:name="_Toc152042384"/>
      <w:bookmarkStart w:id="649" w:name="_Toc490171398"/>
      <w:bookmarkStart w:id="650" w:name="_Toc361406436"/>
      <w:r>
        <w:rPr>
          <w:rFonts w:hint="eastAsia" w:ascii="宋体" w:hAnsi="宋体" w:eastAsia="宋体" w:cs="宋体"/>
          <w:b/>
          <w:color w:val="000000" w:themeColor="text1"/>
          <w:sz w:val="24"/>
          <w:szCs w:val="24"/>
          <w14:textFill>
            <w14:solidFill>
              <w14:schemeClr w14:val="tx1"/>
            </w14:solidFill>
          </w14:textFill>
        </w:rPr>
        <w:t>3.2 详细评审</w:t>
      </w:r>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20268A1">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1" w:name="_Toc343511789"/>
      <w:r>
        <w:rPr>
          <w:rFonts w:hint="eastAsia" w:ascii="宋体" w:hAnsi="宋体" w:eastAsia="宋体" w:cs="宋体"/>
          <w:b/>
          <w:color w:val="000000" w:themeColor="text1"/>
          <w:sz w:val="24"/>
          <w:szCs w:val="24"/>
          <w14:textFill>
            <w14:solidFill>
              <w14:schemeClr w14:val="tx1"/>
            </w14:solidFill>
          </w14:textFill>
        </w:rPr>
        <w:t>3.2.1评审内容及步骤</w:t>
      </w:r>
      <w:bookmarkEnd w:id="651"/>
    </w:p>
    <w:p w14:paraId="5875ABFC">
      <w:pPr>
        <w:pStyle w:val="12"/>
        <w:keepNext w:val="0"/>
        <w:keepLines w:val="0"/>
        <w:pageBreakBefore w:val="0"/>
        <w:widowControl w:val="0"/>
        <w:kinsoku/>
        <w:wordWrap/>
        <w:overflowPunct/>
        <w:topLinePunct w:val="0"/>
        <w:autoSpaceDE/>
        <w:autoSpaceDN/>
        <w:bidi w:val="0"/>
        <w:adjustRightInd/>
        <w:snapToGrid/>
        <w:spacing w:line="600" w:lineRule="exact"/>
        <w:ind w:firstLine="480"/>
        <w:textAlignment w:val="auto"/>
        <w:rPr>
          <w:rFonts w:hint="eastAsia" w:ascii="宋体" w:hAnsi="宋体" w:eastAsia="宋体" w:cs="宋体"/>
          <w:color w:val="000000" w:themeColor="text1"/>
          <w:sz w:val="24"/>
          <w:szCs w:val="24"/>
          <w14:textFill>
            <w14:solidFill>
              <w14:schemeClr w14:val="tx1"/>
            </w14:solidFill>
          </w14:textFill>
        </w:rPr>
      </w:pPr>
      <w:bookmarkStart w:id="652" w:name="_Toc343511790"/>
      <w:r>
        <w:rPr>
          <w:rFonts w:hint="eastAsia" w:ascii="宋体" w:hAnsi="宋体" w:eastAsia="宋体" w:cs="宋体"/>
          <w:color w:val="000000" w:themeColor="text1"/>
          <w:sz w:val="24"/>
          <w:szCs w:val="24"/>
          <w14:textFill>
            <w14:solidFill>
              <w14:schemeClr w14:val="tx1"/>
            </w14:solidFill>
          </w14:textFill>
        </w:rPr>
        <w:t>评标前</w:t>
      </w:r>
      <w:r>
        <w:rPr>
          <w:rFonts w:hint="eastAsia" w:cs="宋体"/>
          <w:color w:val="000000" w:themeColor="text1"/>
          <w:sz w:val="24"/>
          <w:szCs w:val="24"/>
          <w:lang w:val="en-US" w:eastAsia="zh-CN"/>
          <w14:textFill>
            <w14:solidFill>
              <w14:schemeClr w14:val="tx1"/>
            </w14:solidFill>
          </w14:textFill>
        </w:rPr>
        <w:t>采购人</w:t>
      </w:r>
      <w:r>
        <w:rPr>
          <w:rFonts w:hint="eastAsia" w:ascii="宋体" w:hAnsi="宋体" w:eastAsia="宋体" w:cs="宋体"/>
          <w:color w:val="000000" w:themeColor="text1"/>
          <w:sz w:val="24"/>
          <w:szCs w:val="24"/>
          <w14:textFill>
            <w14:solidFill>
              <w14:schemeClr w14:val="tx1"/>
            </w14:solidFill>
          </w14:textFill>
        </w:rPr>
        <w:t>需先对投标人投标文件中的资格证明文件进行资格</w:t>
      </w:r>
      <w:r>
        <w:rPr>
          <w:rFonts w:hint="eastAsia" w:cs="宋体"/>
          <w:color w:val="000000" w:themeColor="text1"/>
          <w:sz w:val="24"/>
          <w:szCs w:val="24"/>
          <w:lang w:val="en-US" w:eastAsia="zh-CN"/>
          <w14:textFill>
            <w14:solidFill>
              <w14:schemeClr w14:val="tx1"/>
            </w14:solidFill>
          </w14:textFill>
        </w:rPr>
        <w:t>性</w:t>
      </w:r>
      <w:r>
        <w:rPr>
          <w:rFonts w:hint="eastAsia" w:ascii="宋体" w:hAnsi="宋体" w:eastAsia="宋体" w:cs="宋体"/>
          <w:color w:val="000000" w:themeColor="text1"/>
          <w:sz w:val="24"/>
          <w:szCs w:val="24"/>
          <w14:textFill>
            <w14:solidFill>
              <w14:schemeClr w14:val="tx1"/>
            </w14:solidFill>
          </w14:textFill>
        </w:rPr>
        <w:t>审查，然后</w:t>
      </w:r>
      <w:r>
        <w:rPr>
          <w:rFonts w:hint="eastAsia" w:cs="宋体"/>
          <w:color w:val="000000" w:themeColor="text1"/>
          <w:sz w:val="24"/>
          <w:szCs w:val="24"/>
          <w:lang w:val="en-US" w:eastAsia="zh-CN"/>
          <w14:textFill>
            <w14:solidFill>
              <w14:schemeClr w14:val="tx1"/>
            </w14:solidFill>
          </w14:textFill>
        </w:rPr>
        <w:t>评标委员会</w:t>
      </w:r>
      <w:r>
        <w:rPr>
          <w:rFonts w:hint="eastAsia" w:ascii="宋体" w:hAnsi="宋体" w:eastAsia="宋体" w:cs="宋体"/>
          <w:color w:val="000000" w:themeColor="text1"/>
          <w:sz w:val="24"/>
          <w:szCs w:val="24"/>
          <w14:textFill>
            <w14:solidFill>
              <w14:schemeClr w14:val="tx1"/>
            </w14:solidFill>
          </w14:textFill>
        </w:rPr>
        <w:t>再对通过资格审查复核和符合性评审的投标人进行技术、商务部分的进行量化打分。</w:t>
      </w:r>
      <w:bookmarkEnd w:id="652"/>
    </w:p>
    <w:p w14:paraId="4D9614A7">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bookmarkStart w:id="653" w:name="_Toc343511791"/>
      <w:r>
        <w:rPr>
          <w:rFonts w:hint="eastAsia" w:ascii="宋体" w:hAnsi="宋体" w:eastAsia="宋体" w:cs="宋体"/>
          <w:b/>
          <w:color w:val="000000" w:themeColor="text1"/>
          <w:sz w:val="24"/>
          <w:szCs w:val="24"/>
          <w14:textFill>
            <w14:solidFill>
              <w14:schemeClr w14:val="tx1"/>
            </w14:solidFill>
          </w14:textFill>
        </w:rPr>
        <w:t>3.2.2技术部分、商务部分的评审：</w:t>
      </w:r>
      <w:bookmarkEnd w:id="653"/>
    </w:p>
    <w:p w14:paraId="67763504">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bookmarkStart w:id="654" w:name="_Toc343511792"/>
      <w:r>
        <w:rPr>
          <w:rFonts w:hint="eastAsia" w:ascii="宋体" w:hAnsi="宋体" w:eastAsia="宋体" w:cs="宋体"/>
          <w:color w:val="000000" w:themeColor="text1"/>
          <w:sz w:val="24"/>
          <w:szCs w:val="24"/>
          <w14:textFill>
            <w14:solidFill>
              <w14:schemeClr w14:val="tx1"/>
            </w14:solidFill>
          </w14:textFill>
        </w:rPr>
        <w:t>评标委员会依据投标人提交的投标文件，对投标文件的技术部分和商务部分进行详细评审</w:t>
      </w:r>
      <w:bookmarkEnd w:id="654"/>
      <w:bookmarkStart w:id="655" w:name="_Toc343511793"/>
      <w:r>
        <w:rPr>
          <w:rFonts w:hint="eastAsia" w:ascii="宋体" w:hAnsi="宋体" w:eastAsia="宋体" w:cs="宋体"/>
          <w:color w:val="000000" w:themeColor="text1"/>
          <w:sz w:val="24"/>
          <w:szCs w:val="24"/>
          <w14:textFill>
            <w14:solidFill>
              <w14:schemeClr w14:val="tx1"/>
            </w14:solidFill>
          </w14:textFill>
        </w:rPr>
        <w:t>。与项目相关的一些要求任何一项有严重错误或漏项者，则视为不合格，不再参与评标，其他缺项漏项者得0分。</w:t>
      </w:r>
    </w:p>
    <w:p w14:paraId="6AFB5868">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评分细则如下：</w:t>
      </w:r>
    </w:p>
    <w:p w14:paraId="6AE5BA21">
      <w:pPr>
        <w:keepNext w:val="0"/>
        <w:keepLines w:val="0"/>
        <w:pageBreakBefore w:val="0"/>
        <w:widowControl w:val="0"/>
        <w:kinsoku/>
        <w:wordWrap/>
        <w:overflowPunct/>
        <w:topLinePunct w:val="0"/>
        <w:autoSpaceDE/>
        <w:autoSpaceDN/>
        <w:bidi w:val="0"/>
        <w:adjustRightInd/>
        <w:snapToGrid/>
        <w:spacing w:line="600" w:lineRule="exact"/>
        <w:ind w:firstLine="360" w:firstLineChars="15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评价和比较以投标文件为依据，从“投标价格”、“技术部分评审”、“商务部分评审”三个方面进行评审并按照百分制进行赋分。</w:t>
      </w:r>
    </w:p>
    <w:p w14:paraId="4017E982">
      <w:pPr>
        <w:rPr>
          <w:rFonts w:hint="eastAsia"/>
          <w:color w:val="000000" w:themeColor="text1"/>
          <w14:textFill>
            <w14:solidFill>
              <w14:schemeClr w14:val="tx1"/>
            </w14:solidFill>
          </w14:textFill>
        </w:rPr>
      </w:pPr>
    </w:p>
    <w:bookmarkEnd w:id="655"/>
    <w:tbl>
      <w:tblPr>
        <w:tblStyle w:val="35"/>
        <w:tblW w:w="0" w:type="auto"/>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1657"/>
        <w:gridCol w:w="1687"/>
        <w:gridCol w:w="5722"/>
      </w:tblGrid>
      <w:tr w14:paraId="42B7873E">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581" w:hRule="atLeast"/>
          <w:jc w:val="center"/>
        </w:trPr>
        <w:tc>
          <w:tcPr>
            <w:tcW w:w="1657" w:type="dxa"/>
            <w:tcBorders>
              <w:bottom w:val="single" w:color="auto" w:sz="4" w:space="0"/>
              <w:right w:val="single" w:color="auto" w:sz="4" w:space="0"/>
            </w:tcBorders>
            <w:noWrap w:val="0"/>
            <w:vAlign w:val="center"/>
          </w:tcPr>
          <w:p w14:paraId="182EEC3E">
            <w:pPr>
              <w:spacing w:line="480" w:lineRule="auto"/>
              <w:ind w:firstLine="420"/>
              <w:jc w:val="both"/>
              <w:rPr>
                <w:rFonts w:hint="eastAsia" w:ascii="宋体" w:hAnsi="宋体" w:eastAsia="宋体" w:cs="宋体"/>
                <w:color w:val="000000" w:themeColor="text1"/>
                <w:sz w:val="24"/>
                <w:szCs w:val="24"/>
                <w14:textFill>
                  <w14:solidFill>
                    <w14:schemeClr w14:val="tx1"/>
                  </w14:solidFill>
                </w14:textFill>
              </w:rPr>
            </w:pPr>
            <w:bookmarkStart w:id="656" w:name="_Toc343511818"/>
            <w:r>
              <w:rPr>
                <w:rFonts w:hint="eastAsia" w:ascii="宋体" w:hAnsi="宋体" w:eastAsia="宋体" w:cs="宋体"/>
                <w:color w:val="000000" w:themeColor="text1"/>
                <w:sz w:val="24"/>
                <w:szCs w:val="24"/>
                <w14:textFill>
                  <w14:solidFill>
                    <w14:schemeClr w14:val="tx1"/>
                  </w14:solidFill>
                </w14:textFill>
              </w:rPr>
              <w:t>类别</w:t>
            </w:r>
          </w:p>
        </w:tc>
        <w:tc>
          <w:tcPr>
            <w:tcW w:w="1687" w:type="dxa"/>
            <w:tcBorders>
              <w:left w:val="nil"/>
              <w:bottom w:val="single" w:color="auto" w:sz="4" w:space="0"/>
              <w:right w:val="single" w:color="auto" w:sz="4" w:space="0"/>
            </w:tcBorders>
            <w:noWrap w:val="0"/>
            <w:vAlign w:val="center"/>
          </w:tcPr>
          <w:p w14:paraId="6F7DE5FA">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评审因素及分值</w:t>
            </w:r>
          </w:p>
        </w:tc>
        <w:tc>
          <w:tcPr>
            <w:tcW w:w="5722" w:type="dxa"/>
            <w:tcBorders>
              <w:left w:val="nil"/>
              <w:bottom w:val="single" w:color="auto" w:sz="4" w:space="0"/>
            </w:tcBorders>
            <w:noWrap w:val="0"/>
            <w:vAlign w:val="center"/>
          </w:tcPr>
          <w:p w14:paraId="29F025CC">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评分细则</w:t>
            </w:r>
          </w:p>
        </w:tc>
      </w:tr>
      <w:tr w14:paraId="5D28CC27">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2576" w:hRule="atLeast"/>
          <w:jc w:val="center"/>
        </w:trPr>
        <w:tc>
          <w:tcPr>
            <w:tcW w:w="1657" w:type="dxa"/>
            <w:vMerge w:val="restart"/>
            <w:tcBorders>
              <w:right w:val="single" w:color="auto" w:sz="4" w:space="0"/>
            </w:tcBorders>
            <w:noWrap w:val="0"/>
            <w:vAlign w:val="center"/>
          </w:tcPr>
          <w:p w14:paraId="7C1907A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一、技术投标方案</w:t>
            </w:r>
          </w:p>
          <w:p w14:paraId="2B265DEF">
            <w:pPr>
              <w:numPr>
                <w:ilvl w:val="0"/>
                <w:numId w:val="0"/>
              </w:numPr>
              <w:spacing w:line="48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58</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16A5CFDA">
            <w:pPr>
              <w:spacing w:line="480" w:lineRule="auto"/>
              <w:ind w:firstLine="240" w:firstLineChars="100"/>
              <w:jc w:val="center"/>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实施方案</w:t>
            </w:r>
          </w:p>
          <w:p w14:paraId="43FC4193">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00F2F8A7">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4011FBC4">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根据本项目实际需求及特点，制定实施方案，内容包含①技术方案②实施流程及进度计划③人员管理方案④安装、调试、</w:t>
            </w:r>
            <w:r>
              <w:rPr>
                <w:rFonts w:hint="eastAsia" w:ascii="宋体" w:hAnsi="宋体" w:cs="宋体"/>
                <w:color w:val="000000" w:themeColor="text1"/>
                <w:sz w:val="24"/>
                <w:szCs w:val="24"/>
                <w:lang w:val="en-US" w:eastAsia="zh-CN"/>
                <w14:textFill>
                  <w14:solidFill>
                    <w14:schemeClr w14:val="tx1"/>
                  </w14:solidFill>
                </w14:textFill>
              </w:rPr>
              <w:t>培训、</w:t>
            </w:r>
            <w:r>
              <w:rPr>
                <w:rFonts w:hint="eastAsia" w:ascii="宋体" w:hAnsi="宋体" w:eastAsia="宋体" w:cs="宋体"/>
                <w:color w:val="000000" w:themeColor="text1"/>
                <w:sz w:val="24"/>
                <w:szCs w:val="24"/>
                <w:lang w:val="en-US" w:eastAsia="zh-CN"/>
                <w14:textFill>
                  <w14:solidFill>
                    <w14:schemeClr w14:val="tx1"/>
                  </w14:solidFill>
                </w14:textFill>
              </w:rPr>
              <w:t>验收方案⑤风险控制方案等内容。</w:t>
            </w:r>
          </w:p>
          <w:p w14:paraId="2C5BD7F3">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32FFEA6">
            <w:pPr>
              <w:pStyle w:val="95"/>
              <w:spacing w:before="72" w:line="480" w:lineRule="auto"/>
              <w:ind w:left="107" w:right="9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完整及针对性：切合本项目实际情况，方案内容齐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349071C">
            <w:pPr>
              <w:pStyle w:val="95"/>
              <w:spacing w:line="480" w:lineRule="auto"/>
              <w:ind w:left="107" w:right="-29" w:firstLine="472" w:firstLineChars="200"/>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合理及可实施性：方案内容符合项目实际特点，合理、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2C396CD6">
            <w:pPr>
              <w:spacing w:line="480" w:lineRule="auto"/>
              <w:jc w:val="lef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三、赋分标准（满分</w:t>
            </w:r>
            <w:r>
              <w:rPr>
                <w:rFonts w:hint="eastAsia" w:ascii="宋体" w:hAnsi="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w:t>
            </w:r>
          </w:p>
          <w:p w14:paraId="1EA4C640">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①技术方案：每完全满足一个评审标准得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32300E34">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②实施流程及进度计划：每完全满足一个评审标准得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6425FCD">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③人员管理方案：每完全满足一个评审标准得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BC70F21">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④安装、调试、培训、验收方案：每完全满足一个评审标准得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2D9B6C1B">
            <w:pPr>
              <w:spacing w:line="480" w:lineRule="auto"/>
              <w:ind w:firstLine="480" w:firstLineChars="20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⑤风险控制方案：每完全满足一个评审标准得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分，满分</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tc>
      </w:tr>
      <w:tr w14:paraId="0C0F1B20">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0AD64F3D">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0B92190F">
            <w:pPr>
              <w:pStyle w:val="34"/>
              <w:keepNext w:val="0"/>
              <w:keepLines w:val="0"/>
              <w:pageBreakBefore w:val="0"/>
              <w:kinsoku/>
              <w:wordWrap/>
              <w:overflowPunct/>
              <w:topLinePunct w:val="0"/>
              <w:bidi w:val="0"/>
              <w:adjustRightInd/>
              <w:snapToGrid/>
              <w:spacing w:line="480" w:lineRule="auto"/>
              <w:ind w:left="0" w:leftChars="0" w:firstLine="0" w:firstLineChars="0"/>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技术要求</w:t>
            </w:r>
          </w:p>
          <w:p w14:paraId="576E4D16">
            <w:pPr>
              <w:pStyle w:val="34"/>
              <w:keepNext w:val="0"/>
              <w:keepLines w:val="0"/>
              <w:pageBreakBefore w:val="0"/>
              <w:kinsoku/>
              <w:wordWrap/>
              <w:overflowPunct/>
              <w:topLinePunct w:val="0"/>
              <w:bidi w:val="0"/>
              <w:adjustRightInd/>
              <w:snapToGrid/>
              <w:spacing w:line="480" w:lineRule="auto"/>
              <w:ind w:left="0" w:leftChars="0"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（满分</w:t>
            </w:r>
            <w:r>
              <w:rPr>
                <w:rFonts w:hint="eastAsia" w:cs="宋体"/>
                <w:color w:val="000000" w:themeColor="text1"/>
                <w:kern w:val="2"/>
                <w:sz w:val="24"/>
                <w:szCs w:val="24"/>
                <w:highlight w:val="none"/>
                <w:lang w:val="en-US" w:eastAsia="zh-CN" w:bidi="ar-SA"/>
                <w14:textFill>
                  <w14:solidFill>
                    <w14:schemeClr w14:val="tx1"/>
                  </w14:solidFill>
                </w14:textFill>
              </w:rPr>
              <w:t>42</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1AFE22B1">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技术参数明确配置齐全、功能满足招标文件要求，投标产品技术参数清楚、详尽、明确，产品选型、配置、符合使用要求，数量准确无缺漏项，▲标参数须按招标文件要求必须提供相关证明材料</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未提供相关证明材料不得分。其中：技术指标响应全部满足得</w:t>
            </w:r>
            <w:r>
              <w:rPr>
                <w:rFonts w:hint="eastAsia" w:ascii="宋体" w:hAnsi="宋体" w:cs="宋体"/>
                <w:b w:val="0"/>
                <w:bCs w:val="0"/>
                <w:color w:val="000000" w:themeColor="text1"/>
                <w:sz w:val="24"/>
                <w:szCs w:val="24"/>
                <w:lang w:val="en-US" w:eastAsia="zh-CN"/>
                <w14:textFill>
                  <w14:solidFill>
                    <w14:schemeClr w14:val="tx1"/>
                  </w14:solidFill>
                </w14:textFill>
              </w:rPr>
              <w:t>42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分，▲标参数共计</w:t>
            </w:r>
            <w:r>
              <w:rPr>
                <w:rFonts w:hint="eastAsia" w:ascii="宋体" w:hAnsi="宋体" w:cs="宋体"/>
                <w:b w:val="0"/>
                <w:bCs w:val="0"/>
                <w:color w:val="000000" w:themeColor="text1"/>
                <w:sz w:val="24"/>
                <w:szCs w:val="24"/>
                <w:lang w:val="en-US" w:eastAsia="zh-CN"/>
                <w14:textFill>
                  <w14:solidFill>
                    <w14:schemeClr w14:val="tx1"/>
                  </w14:solidFill>
                </w14:textFill>
              </w:rPr>
              <w:t>22</w:t>
            </w:r>
            <w:r>
              <w:rPr>
                <w:rFonts w:hint="eastAsia" w:ascii="宋体" w:hAnsi="宋体" w:eastAsia="宋体" w:cs="宋体"/>
                <w:b w:val="0"/>
                <w:bCs w:val="0"/>
                <w:color w:val="000000" w:themeColor="text1"/>
                <w:sz w:val="24"/>
                <w:szCs w:val="24"/>
                <w:lang w:val="en-US" w:eastAsia="zh-CN"/>
                <w14:textFill>
                  <w14:solidFill>
                    <w14:schemeClr w14:val="tx1"/>
                  </w14:solidFill>
                </w14:textFill>
              </w:rPr>
              <w:t>条</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满分</w:t>
            </w:r>
            <w:r>
              <w:rPr>
                <w:rFonts w:hint="eastAsia" w:ascii="宋体" w:hAnsi="宋体" w:cs="宋体"/>
                <w:b w:val="0"/>
                <w:bCs w:val="0"/>
                <w:color w:val="000000" w:themeColor="text1"/>
                <w:sz w:val="24"/>
                <w:szCs w:val="24"/>
                <w:lang w:val="en-US" w:eastAsia="zh-CN"/>
                <w14:textFill>
                  <w14:solidFill>
                    <w14:schemeClr w14:val="tx1"/>
                  </w14:solidFill>
                </w14:textFill>
              </w:rPr>
              <w:t>33</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分，每出现一项负偏离扣1.5分，扣完为止；其他未标符号参</w:t>
            </w:r>
            <w:r>
              <w:rPr>
                <w:rFonts w:hint="eastAsia" w:ascii="宋体" w:hAnsi="宋体" w:cs="宋体"/>
                <w:b w:val="0"/>
                <w:bCs w:val="0"/>
                <w:color w:val="000000" w:themeColor="text1"/>
                <w:sz w:val="24"/>
                <w:szCs w:val="24"/>
                <w:lang w:val="en-US" w:eastAsia="zh-CN"/>
                <w14:textFill>
                  <w14:solidFill>
                    <w14:schemeClr w14:val="tx1"/>
                  </w14:solidFill>
                </w14:textFill>
              </w:rPr>
              <w:t>数，满分9分，</w:t>
            </w:r>
            <w:r>
              <w:rPr>
                <w:rFonts w:hint="eastAsia" w:ascii="宋体" w:hAnsi="宋体" w:eastAsia="宋体" w:cs="宋体"/>
                <w:b w:val="0"/>
                <w:bCs w:val="0"/>
                <w:color w:val="000000" w:themeColor="text1"/>
                <w:sz w:val="24"/>
                <w:szCs w:val="24"/>
                <w:lang w:val="en-US" w:eastAsia="zh-CN"/>
                <w14:textFill>
                  <w14:solidFill>
                    <w14:schemeClr w14:val="tx1"/>
                  </w14:solidFill>
                </w14:textFill>
              </w:rPr>
              <w:t>每出现一项负偏离扣0.</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分，扣完为止。</w:t>
            </w:r>
          </w:p>
        </w:tc>
      </w:tr>
      <w:tr w14:paraId="2E3A104A">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441" w:hRule="atLeast"/>
          <w:jc w:val="center"/>
        </w:trPr>
        <w:tc>
          <w:tcPr>
            <w:tcW w:w="1657" w:type="dxa"/>
            <w:vMerge w:val="continue"/>
            <w:tcBorders>
              <w:right w:val="single" w:color="auto" w:sz="4" w:space="0"/>
            </w:tcBorders>
            <w:noWrap w:val="0"/>
            <w:vAlign w:val="center"/>
          </w:tcPr>
          <w:p w14:paraId="4C5A59AE">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397BE9B5">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pacing w:val="3"/>
                <w:sz w:val="24"/>
                <w:szCs w:val="24"/>
                <w:lang w:val="en-US" w:eastAsia="zh-CN"/>
                <w14:textFill>
                  <w14:solidFill>
                    <w14:schemeClr w14:val="tx1"/>
                  </w14:solidFill>
                </w14:textFill>
              </w:rPr>
              <w:t>质量保证方案</w:t>
            </w:r>
          </w:p>
          <w:p w14:paraId="130DC6E6">
            <w:pPr>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仿宋" w:hAnsi="仿宋" w:eastAsia="仿宋" w:cs="仿宋"/>
                <w:color w:val="000000" w:themeColor="text1"/>
                <w:spacing w:val="3"/>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63700E2A">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1、投标人提供核心产品的合法来源渠道证明文件，不提供不得分。以下资料提供任意一种： </w:t>
            </w:r>
          </w:p>
          <w:p w14:paraId="0C170AA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如投标人为所投产品代理商：提供货物的合法来源渠道证明文件（例如：产品制造商授权、销售协议、代理协议等证明文件）及售后服务承诺函</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得 2分，满分2分。 </w:t>
            </w:r>
          </w:p>
          <w:p w14:paraId="77121F5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如投标人为所投产品的制造商：需提供情况说明(说明某一项产品为制造商自己生产)</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lang w:val="en-US" w:eastAsia="zh-CN"/>
                <w14:textFill>
                  <w14:solidFill>
                    <w14:schemeClr w14:val="tx1"/>
                  </w14:solidFill>
                </w14:textFill>
              </w:rPr>
              <w:t xml:space="preserve">得2分，满分2分。 </w:t>
            </w:r>
          </w:p>
          <w:p w14:paraId="73CB6179">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default"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备注：以加盖投标人公章的证明材料扫描件或复印件为计分依据</w:t>
            </w:r>
            <w:r>
              <w:rPr>
                <w:rFonts w:hint="eastAsia" w:ascii="宋体" w:hAnsi="宋体" w:eastAsia="宋体" w:cs="宋体"/>
                <w:b w:val="0"/>
                <w:bCs w:val="0"/>
                <w:color w:val="000000" w:themeColor="text1"/>
                <w:sz w:val="24"/>
                <w:szCs w:val="24"/>
                <w:lang w:val="en-US" w:eastAsia="zh-CN"/>
                <w14:textFill>
                  <w14:solidFill>
                    <w14:schemeClr w14:val="tx1"/>
                  </w14:solidFill>
                </w14:textFill>
              </w:rPr>
              <w:t>。</w:t>
            </w:r>
          </w:p>
          <w:p w14:paraId="1C8E1C7C">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2、根据项目实际需要，提供质量保证方案。</w:t>
            </w:r>
          </w:p>
          <w:p w14:paraId="16B60836">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5A14F10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方案内容包含①质量管理措施②质量保证方案（包括但不限于产品性能、使用寿命及效果）。</w:t>
            </w:r>
          </w:p>
          <w:p w14:paraId="63A247D1">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二、评审标准</w:t>
            </w:r>
          </w:p>
          <w:p w14:paraId="50E51175">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1.完整性：切合本项目实际情况，方案内容齐全，有详细描述及其他内容的补充；</w:t>
            </w:r>
          </w:p>
          <w:p w14:paraId="39AC47A6">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2.科学性：切合本项目实际情况，叙述清楚，符合客观实际情况；</w:t>
            </w:r>
          </w:p>
          <w:p w14:paraId="3FF681A7">
            <w:pPr>
              <w:keepNext w:val="0"/>
              <w:keepLines w:val="0"/>
              <w:pageBreakBefore w:val="0"/>
              <w:numPr>
                <w:ilvl w:val="0"/>
                <w:numId w:val="0"/>
              </w:numPr>
              <w:kinsoku/>
              <w:wordWrap/>
              <w:overflowPunct/>
              <w:topLinePunct w:val="0"/>
              <w:bidi w:val="0"/>
              <w:adjustRightInd/>
              <w:snapToGrid/>
              <w:spacing w:line="480" w:lineRule="auto"/>
              <w:ind w:left="0" w:leftChars="0" w:firstLine="482" w:firstLineChars="200"/>
              <w:jc w:val="left"/>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3FE5B463">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ascii="宋体" w:hAnsi="宋体" w:eastAsia="宋体" w:cs="宋体"/>
                <w:b w:val="0"/>
                <w:bCs w:val="0"/>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①质量管理措施：每完全满足一个评审标准得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p w14:paraId="6D0086CE">
            <w:pPr>
              <w:keepNext w:val="0"/>
              <w:keepLines w:val="0"/>
              <w:pageBreakBefore w:val="0"/>
              <w:numPr>
                <w:ilvl w:val="0"/>
                <w:numId w:val="0"/>
              </w:numPr>
              <w:kinsoku/>
              <w:wordWrap/>
              <w:overflowPunct/>
              <w:topLinePunct w:val="0"/>
              <w:bidi w:val="0"/>
              <w:adjustRightInd/>
              <w:snapToGrid/>
              <w:spacing w:line="480" w:lineRule="auto"/>
              <w:ind w:left="0" w:leftChars="0" w:firstLine="480" w:firstLineChars="200"/>
              <w:jc w:val="left"/>
              <w:textAlignment w:val="auto"/>
              <w:rPr>
                <w:rFonts w:hint="eastAsia" w:eastAsia="宋体" w:cs="Times New Roman"/>
                <w:color w:val="000000" w:themeColor="text1"/>
                <w:lang w:val="en-US" w:eastAsia="zh-CN"/>
                <w14:textFill>
                  <w14:solidFill>
                    <w14:schemeClr w14:val="tx1"/>
                  </w14:solidFill>
                </w14:textFill>
              </w:rPr>
            </w:pPr>
            <w:r>
              <w:rPr>
                <w:rFonts w:hint="eastAsia" w:ascii="宋体" w:hAnsi="宋体" w:eastAsia="宋体" w:cs="宋体"/>
                <w:b w:val="0"/>
                <w:bCs w:val="0"/>
                <w:color w:val="000000" w:themeColor="text1"/>
                <w:sz w:val="24"/>
                <w:szCs w:val="24"/>
                <w:lang w:val="en-US" w:eastAsia="zh-CN"/>
                <w14:textFill>
                  <w14:solidFill>
                    <w14:schemeClr w14:val="tx1"/>
                  </w14:solidFill>
                </w14:textFill>
              </w:rPr>
              <w:t>②质量保证方案：每完全满足一个评审标准得</w:t>
            </w:r>
            <w:r>
              <w:rPr>
                <w:rFonts w:hint="eastAsia" w:ascii="宋体" w:hAnsi="宋体" w:cs="宋体"/>
                <w:b w:val="0"/>
                <w:bCs w:val="0"/>
                <w:color w:val="000000" w:themeColor="text1"/>
                <w:sz w:val="24"/>
                <w:szCs w:val="24"/>
                <w:lang w:val="en-US" w:eastAsia="zh-CN"/>
                <w14:textFill>
                  <w14:solidFill>
                    <w14:schemeClr w14:val="tx1"/>
                  </w14:solidFill>
                </w14:textFill>
              </w:rPr>
              <w:t>1</w:t>
            </w:r>
            <w:r>
              <w:rPr>
                <w:rFonts w:hint="eastAsia" w:ascii="宋体" w:hAnsi="宋体" w:eastAsia="宋体" w:cs="宋体"/>
                <w:b w:val="0"/>
                <w:bCs w:val="0"/>
                <w:color w:val="000000" w:themeColor="text1"/>
                <w:sz w:val="24"/>
                <w:szCs w:val="24"/>
                <w:lang w:val="en-US" w:eastAsia="zh-CN"/>
                <w14:textFill>
                  <w14:solidFill>
                    <w14:schemeClr w14:val="tx1"/>
                  </w14:solidFill>
                </w14:textFill>
              </w:rPr>
              <w:t>分，满分</w:t>
            </w:r>
            <w:r>
              <w:rPr>
                <w:rFonts w:hint="eastAsia" w:ascii="宋体" w:hAnsi="宋体" w:cs="宋体"/>
                <w:b w:val="0"/>
                <w:bCs w:val="0"/>
                <w:color w:val="000000" w:themeColor="text1"/>
                <w:sz w:val="24"/>
                <w:szCs w:val="24"/>
                <w:lang w:val="en-US" w:eastAsia="zh-CN"/>
                <w14:textFill>
                  <w14:solidFill>
                    <w14:schemeClr w14:val="tx1"/>
                  </w14:solidFill>
                </w14:textFill>
              </w:rPr>
              <w:t>2</w:t>
            </w:r>
            <w:r>
              <w:rPr>
                <w:rFonts w:hint="eastAsia" w:ascii="宋体" w:hAnsi="宋体" w:eastAsia="宋体" w:cs="宋体"/>
                <w:b w:val="0"/>
                <w:bCs w:val="0"/>
                <w:color w:val="000000" w:themeColor="text1"/>
                <w:sz w:val="24"/>
                <w:szCs w:val="24"/>
                <w:lang w:val="en-US" w:eastAsia="zh-CN"/>
                <w14:textFill>
                  <w14:solidFill>
                    <w14:schemeClr w14:val="tx1"/>
                  </w14:solidFill>
                </w14:textFill>
              </w:rPr>
              <w:t>分；</w:t>
            </w:r>
          </w:p>
        </w:tc>
      </w:tr>
      <w:tr w14:paraId="63E7F7C5">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90" w:hRule="atLeast"/>
          <w:jc w:val="center"/>
        </w:trPr>
        <w:tc>
          <w:tcPr>
            <w:tcW w:w="1657" w:type="dxa"/>
            <w:vMerge w:val="restart"/>
            <w:tcBorders>
              <w:top w:val="single" w:color="auto" w:sz="4" w:space="0"/>
              <w:right w:val="single" w:color="auto" w:sz="4" w:space="0"/>
            </w:tcBorders>
            <w:noWrap w:val="0"/>
            <w:vAlign w:val="center"/>
          </w:tcPr>
          <w:p w14:paraId="4E60D2BA">
            <w:pPr>
              <w:numPr>
                <w:ilvl w:val="0"/>
                <w:numId w:val="5"/>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商务投标方案</w:t>
            </w:r>
          </w:p>
          <w:p w14:paraId="7063920C">
            <w:pPr>
              <w:numPr>
                <w:ilvl w:val="0"/>
                <w:numId w:val="0"/>
              </w:num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bottom w:val="single" w:color="auto" w:sz="4" w:space="0"/>
              <w:right w:val="single" w:color="auto" w:sz="4" w:space="0"/>
            </w:tcBorders>
            <w:noWrap w:val="0"/>
            <w:vAlign w:val="center"/>
          </w:tcPr>
          <w:p w14:paraId="0996801B">
            <w:p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业绩证明</w:t>
            </w:r>
          </w:p>
          <w:p w14:paraId="6AB3393E">
            <w:pPr>
              <w:spacing w:line="48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5F0ABF2A">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投标人提供202</w:t>
            </w: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年</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月1日及以后具有类似项目的业绩，投标文件中附有说明其业绩证明材料（以合同或中标通知书为准），每个业绩计</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分，最高</w:t>
            </w:r>
            <w:r>
              <w:rPr>
                <w:rFonts w:hint="eastAsia" w:ascii="宋体" w:hAnsi="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629EBB28">
            <w:pPr>
              <w:spacing w:line="480" w:lineRule="auto"/>
              <w:ind w:firstLine="42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上述业绩的合同或中标通知书复印件加盖单位公章附在投标文件中。</w:t>
            </w:r>
          </w:p>
        </w:tc>
      </w:tr>
      <w:tr w14:paraId="6D144456">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324" w:hRule="atLeast"/>
          <w:jc w:val="center"/>
        </w:trPr>
        <w:tc>
          <w:tcPr>
            <w:tcW w:w="1657" w:type="dxa"/>
            <w:vMerge w:val="continue"/>
            <w:tcBorders>
              <w:right w:val="single" w:color="auto" w:sz="4" w:space="0"/>
            </w:tcBorders>
            <w:noWrap w:val="0"/>
            <w:vAlign w:val="center"/>
          </w:tcPr>
          <w:p w14:paraId="4682F8EA">
            <w:pPr>
              <w:spacing w:line="480" w:lineRule="auto"/>
              <w:ind w:firstLine="420"/>
              <w:jc w:val="center"/>
              <w:rPr>
                <w:rFonts w:hint="eastAsia" w:ascii="宋体" w:hAnsi="宋体" w:eastAsia="宋体" w:cs="宋体"/>
                <w:color w:val="000000" w:themeColor="text1"/>
                <w:sz w:val="24"/>
                <w:szCs w:val="24"/>
                <w14:textFill>
                  <w14:solidFill>
                    <w14:schemeClr w14:val="tx1"/>
                  </w14:solidFill>
                </w14:textFill>
              </w:rPr>
            </w:pPr>
          </w:p>
        </w:tc>
        <w:tc>
          <w:tcPr>
            <w:tcW w:w="1687" w:type="dxa"/>
            <w:tcBorders>
              <w:top w:val="single" w:color="auto" w:sz="4" w:space="0"/>
              <w:left w:val="nil"/>
              <w:bottom w:val="single" w:color="auto" w:sz="4" w:space="0"/>
              <w:right w:val="single" w:color="auto" w:sz="4" w:space="0"/>
            </w:tcBorders>
            <w:noWrap w:val="0"/>
            <w:vAlign w:val="center"/>
          </w:tcPr>
          <w:p w14:paraId="45596549">
            <w:pPr>
              <w:pStyle w:val="34"/>
              <w:spacing w:line="480" w:lineRule="auto"/>
              <w:ind w:left="0" w:leftChars="0" w:firstLine="0" w:firstLineChars="0"/>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0370906D">
            <w:pPr>
              <w:pStyle w:val="34"/>
              <w:spacing w:line="480" w:lineRule="auto"/>
              <w:ind w:left="0" w:leftChars="0" w:firstLine="0" w:firstLineChars="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（满分</w:t>
            </w:r>
            <w:r>
              <w:rPr>
                <w:rFonts w:hint="eastAsia"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lang w:val="en-US" w:eastAsia="zh-CN"/>
                <w14:textFill>
                  <w14:solidFill>
                    <w14:schemeClr w14:val="tx1"/>
                  </w14:solidFill>
                </w14:textFill>
              </w:rPr>
              <w:t>分）</w:t>
            </w:r>
          </w:p>
        </w:tc>
        <w:tc>
          <w:tcPr>
            <w:tcW w:w="5722" w:type="dxa"/>
            <w:tcBorders>
              <w:top w:val="single" w:color="auto" w:sz="4" w:space="0"/>
              <w:left w:val="nil"/>
              <w:bottom w:val="single" w:color="auto" w:sz="4" w:space="0"/>
            </w:tcBorders>
            <w:noWrap w:val="0"/>
            <w:vAlign w:val="center"/>
          </w:tcPr>
          <w:p w14:paraId="3F430EEB">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jc w:val="both"/>
              <w:textAlignment w:val="auto"/>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一、评审内容</w:t>
            </w:r>
          </w:p>
          <w:p w14:paraId="33C35439">
            <w:pPr>
              <w:pStyle w:val="95"/>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snapToGrid w:val="0"/>
                <w:color w:val="000000" w:themeColor="text1"/>
                <w:kern w:val="0"/>
                <w:sz w:val="24"/>
                <w:szCs w:val="24"/>
                <w14:textFill>
                  <w14:solidFill>
                    <w14:schemeClr w14:val="tx1"/>
                  </w14:solidFill>
                </w14:textFill>
              </w:rPr>
              <w:t>根据项目实际需求</w:t>
            </w:r>
            <w:r>
              <w:rPr>
                <w:rFonts w:hint="eastAsia" w:ascii="宋体" w:hAnsi="宋体" w:eastAsia="宋体" w:cs="宋体"/>
                <w:b w:val="0"/>
                <w:bCs w:val="0"/>
                <w:snapToGrid w:val="0"/>
                <w:color w:val="000000" w:themeColor="text1"/>
                <w:kern w:val="0"/>
                <w:sz w:val="24"/>
                <w:szCs w:val="24"/>
                <w:lang w:eastAsia="zh-CN"/>
                <w14:textFill>
                  <w14:solidFill>
                    <w14:schemeClr w14:val="tx1"/>
                  </w14:solidFill>
                </w14:textFill>
              </w:rPr>
              <w:t>，</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提供</w:t>
            </w:r>
            <w:r>
              <w:rPr>
                <w:rFonts w:hint="eastAsia" w:ascii="宋体" w:hAnsi="宋体" w:eastAsia="宋体" w:cs="宋体"/>
                <w:b w:val="0"/>
                <w:bCs w:val="0"/>
                <w:snapToGrid w:val="0"/>
                <w:color w:val="000000" w:themeColor="text1"/>
                <w:kern w:val="0"/>
                <w:sz w:val="24"/>
                <w:szCs w:val="24"/>
                <w14:textFill>
                  <w14:solidFill>
                    <w14:schemeClr w14:val="tx1"/>
                  </w14:solidFill>
                </w14:textFill>
              </w:rPr>
              <w:t>针对本项目</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的</w:t>
            </w:r>
            <w:r>
              <w:rPr>
                <w:rFonts w:hint="eastAsia" w:ascii="宋体" w:hAnsi="宋体" w:eastAsia="宋体" w:cs="宋体"/>
                <w:b w:val="0"/>
                <w:bCs w:val="0"/>
                <w:snapToGrid w:val="0"/>
                <w:color w:val="000000" w:themeColor="text1"/>
                <w:kern w:val="0"/>
                <w:sz w:val="24"/>
                <w:szCs w:val="24"/>
                <w14:textFill>
                  <w14:solidFill>
                    <w14:schemeClr w14:val="tx1"/>
                  </w14:solidFill>
                </w14:textFill>
              </w:rPr>
              <w:t>售后服务方案，</w:t>
            </w:r>
            <w:r>
              <w:rPr>
                <w:rFonts w:hint="eastAsia" w:ascii="宋体" w:hAnsi="宋体" w:eastAsia="宋体" w:cs="宋体"/>
                <w:b w:val="0"/>
                <w:bCs w:val="0"/>
                <w:snapToGrid w:val="0"/>
                <w:color w:val="000000" w:themeColor="text1"/>
                <w:kern w:val="0"/>
                <w:sz w:val="24"/>
                <w:szCs w:val="24"/>
                <w:lang w:val="en-US" w:eastAsia="zh-CN"/>
                <w14:textFill>
                  <w14:solidFill>
                    <w14:schemeClr w14:val="tx1"/>
                  </w14:solidFill>
                </w14:textFill>
              </w:rPr>
              <w:t>内容包括①售后服务保障方案②紧急响应方案。</w:t>
            </w:r>
          </w:p>
          <w:p w14:paraId="1E20DBAE">
            <w:pPr>
              <w:keepNext w:val="0"/>
              <w:keepLines w:val="0"/>
              <w:pageBreakBefore w:val="0"/>
              <w:widowControl w:val="0"/>
              <w:kinsoku/>
              <w:wordWrap/>
              <w:overflowPunct/>
              <w:topLinePunct w:val="0"/>
              <w:bidi w:val="0"/>
              <w:adjustRightInd/>
              <w:snapToGrid/>
              <w:spacing w:line="480" w:lineRule="auto"/>
              <w:jc w:val="both"/>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二、评审标准</w:t>
            </w:r>
          </w:p>
          <w:p w14:paraId="671543AA">
            <w:pPr>
              <w:pStyle w:val="95"/>
              <w:keepNext w:val="0"/>
              <w:keepLines w:val="0"/>
              <w:pageBreakBefore w:val="0"/>
              <w:widowControl w:val="0"/>
              <w:kinsoku/>
              <w:wordWrap/>
              <w:overflowPunct/>
              <w:topLinePunct w:val="0"/>
              <w:autoSpaceDE/>
              <w:autoSpaceDN/>
              <w:bidi w:val="0"/>
              <w:adjustRightInd/>
              <w:snapToGrid/>
              <w:spacing w:before="72" w:line="480" w:lineRule="auto"/>
              <w:ind w:left="107" w:right="9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1</w:t>
            </w:r>
            <w:r>
              <w:rPr>
                <w:rFonts w:hint="eastAsia" w:ascii="宋体" w:hAnsi="宋体" w:eastAsia="宋体" w:cs="宋体"/>
                <w:color w:val="000000" w:themeColor="text1"/>
                <w:spacing w:val="-2"/>
                <w:sz w:val="24"/>
                <w:szCs w:val="24"/>
                <w:lang w:val="en-US" w:eastAsia="zh-CN"/>
                <w14:textFill>
                  <w14:solidFill>
                    <w14:schemeClr w14:val="tx1"/>
                  </w14:solidFill>
                </w14:textFill>
              </w:rPr>
              <w:t>.</w:t>
            </w:r>
            <w:r>
              <w:rPr>
                <w:rFonts w:hint="eastAsia" w:ascii="宋体" w:hAnsi="宋体" w:eastAsia="宋体" w:cs="宋体"/>
                <w:color w:val="000000" w:themeColor="text1"/>
                <w:spacing w:val="-2"/>
                <w:sz w:val="24"/>
                <w:szCs w:val="24"/>
                <w14:textFill>
                  <w14:solidFill>
                    <w14:schemeClr w14:val="tx1"/>
                  </w14:solidFill>
                </w14:textFill>
              </w:rPr>
              <w:t>完整</w:t>
            </w:r>
            <w:r>
              <w:rPr>
                <w:rFonts w:hint="eastAsia" w:ascii="宋体" w:hAnsi="宋体" w:eastAsia="宋体" w:cs="宋体"/>
                <w:color w:val="000000" w:themeColor="text1"/>
                <w:spacing w:val="-2"/>
                <w:sz w:val="24"/>
                <w:szCs w:val="24"/>
                <w:lang w:eastAsia="zh-CN"/>
                <w14:textFill>
                  <w14:solidFill>
                    <w14:schemeClr w14:val="tx1"/>
                  </w14:solidFill>
                </w14:textFill>
              </w:rPr>
              <w:t>及针对</w:t>
            </w:r>
            <w:r>
              <w:rPr>
                <w:rFonts w:hint="eastAsia" w:ascii="宋体" w:hAnsi="宋体" w:eastAsia="宋体" w:cs="宋体"/>
                <w:color w:val="000000" w:themeColor="text1"/>
                <w:spacing w:val="-2"/>
                <w:sz w:val="24"/>
                <w:szCs w:val="24"/>
                <w14:textFill>
                  <w14:solidFill>
                    <w14:schemeClr w14:val="tx1"/>
                  </w14:solidFill>
                </w14:textFill>
              </w:rPr>
              <w:t>性：切合本项目实际情况，方案内容齐</w:t>
            </w:r>
            <w:r>
              <w:rPr>
                <w:rFonts w:hint="eastAsia" w:ascii="宋体" w:hAnsi="宋体" w:eastAsia="宋体" w:cs="宋体"/>
                <w:color w:val="000000" w:themeColor="text1"/>
                <w:spacing w:val="-10"/>
                <w:sz w:val="24"/>
                <w:szCs w:val="24"/>
                <w14:textFill>
                  <w14:solidFill>
                    <w14:schemeClr w14:val="tx1"/>
                  </w14:solidFill>
                </w14:textFill>
              </w:rPr>
              <w:t>全，对招标文件中各项要求有详细描述及其他内</w:t>
            </w:r>
            <w:r>
              <w:rPr>
                <w:rFonts w:hint="eastAsia" w:ascii="宋体" w:hAnsi="宋体" w:eastAsia="宋体" w:cs="宋体"/>
                <w:color w:val="000000" w:themeColor="text1"/>
                <w:spacing w:val="-2"/>
                <w:sz w:val="24"/>
                <w:szCs w:val="24"/>
                <w14:textFill>
                  <w14:solidFill>
                    <w14:schemeClr w14:val="tx1"/>
                  </w14:solidFill>
                </w14:textFill>
              </w:rPr>
              <w:t>容的补充；</w:t>
            </w:r>
          </w:p>
          <w:p w14:paraId="7F780A1E">
            <w:pPr>
              <w:pStyle w:val="95"/>
              <w:keepNext w:val="0"/>
              <w:keepLines w:val="0"/>
              <w:pageBreakBefore w:val="0"/>
              <w:widowControl w:val="0"/>
              <w:kinsoku/>
              <w:wordWrap/>
              <w:overflowPunct/>
              <w:topLinePunct w:val="0"/>
              <w:autoSpaceDE/>
              <w:autoSpaceDN/>
              <w:bidi w:val="0"/>
              <w:adjustRightInd/>
              <w:snapToGrid/>
              <w:spacing w:line="480" w:lineRule="auto"/>
              <w:ind w:left="107" w:right="-29" w:firstLine="472"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lang w:val="en-US" w:eastAsia="zh-CN"/>
                <w14:textFill>
                  <w14:solidFill>
                    <w14:schemeClr w14:val="tx1"/>
                  </w14:solidFill>
                </w14:textFill>
              </w:rPr>
              <w:t>2.</w:t>
            </w:r>
            <w:r>
              <w:rPr>
                <w:rFonts w:hint="eastAsia" w:ascii="宋体" w:hAnsi="宋体" w:eastAsia="宋体" w:cs="宋体"/>
                <w:color w:val="000000" w:themeColor="text1"/>
                <w:spacing w:val="-2"/>
                <w:sz w:val="24"/>
                <w:szCs w:val="24"/>
                <w14:textFill>
                  <w14:solidFill>
                    <w14:schemeClr w14:val="tx1"/>
                  </w14:solidFill>
                </w14:textFill>
              </w:rPr>
              <w:t>合理</w:t>
            </w:r>
            <w:r>
              <w:rPr>
                <w:rFonts w:hint="eastAsia" w:ascii="宋体" w:hAnsi="宋体" w:eastAsia="宋体" w:cs="宋体"/>
                <w:color w:val="000000" w:themeColor="text1"/>
                <w:spacing w:val="-2"/>
                <w:sz w:val="24"/>
                <w:szCs w:val="24"/>
                <w:lang w:eastAsia="zh-CN"/>
                <w14:textFill>
                  <w14:solidFill>
                    <w14:schemeClr w14:val="tx1"/>
                  </w14:solidFill>
                </w14:textFill>
              </w:rPr>
              <w:t>及可实施</w:t>
            </w:r>
            <w:r>
              <w:rPr>
                <w:rFonts w:hint="eastAsia" w:ascii="宋体" w:hAnsi="宋体" w:eastAsia="宋体" w:cs="宋体"/>
                <w:color w:val="000000" w:themeColor="text1"/>
                <w:spacing w:val="-2"/>
                <w:sz w:val="24"/>
                <w:szCs w:val="24"/>
                <w14:textFill>
                  <w14:solidFill>
                    <w14:schemeClr w14:val="tx1"/>
                  </w14:solidFill>
                </w14:textFill>
              </w:rPr>
              <w:t>性：方案内容符合项目实际特点，合理、</w:t>
            </w:r>
            <w:r>
              <w:rPr>
                <w:rFonts w:hint="eastAsia" w:ascii="宋体" w:hAnsi="宋体" w:eastAsia="宋体" w:cs="宋体"/>
                <w:color w:val="000000" w:themeColor="text1"/>
                <w:spacing w:val="-4"/>
                <w:sz w:val="24"/>
                <w:szCs w:val="24"/>
                <w14:textFill>
                  <w14:solidFill>
                    <w14:schemeClr w14:val="tx1"/>
                  </w14:solidFill>
                </w14:textFill>
              </w:rPr>
              <w:t>恰当；</w:t>
            </w:r>
          </w:p>
          <w:p w14:paraId="368114BE">
            <w:pPr>
              <w:spacing w:line="480" w:lineRule="auto"/>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三、赋分标准（满分</w:t>
            </w:r>
            <w:r>
              <w:rPr>
                <w:rFonts w:hint="eastAsia" w:ascii="宋体" w:hAnsi="宋体" w:cs="宋体"/>
                <w:b/>
                <w:bCs/>
                <w:color w:val="000000" w:themeColor="text1"/>
                <w:sz w:val="24"/>
                <w:szCs w:val="24"/>
                <w:lang w:val="en-US" w:eastAsia="zh-CN"/>
                <w14:textFill>
                  <w14:solidFill>
                    <w14:schemeClr w14:val="tx1"/>
                  </w14:solidFill>
                </w14:textFill>
              </w:rPr>
              <w:t>4</w:t>
            </w:r>
            <w:r>
              <w:rPr>
                <w:rFonts w:hint="eastAsia" w:ascii="宋体" w:hAnsi="宋体" w:eastAsia="宋体" w:cs="宋体"/>
                <w:b/>
                <w:bCs/>
                <w:color w:val="000000" w:themeColor="text1"/>
                <w:sz w:val="24"/>
                <w:szCs w:val="24"/>
                <w:lang w:val="en-US" w:eastAsia="zh-CN"/>
                <w14:textFill>
                  <w14:solidFill>
                    <w14:schemeClr w14:val="tx1"/>
                  </w14:solidFill>
                </w14:textFill>
              </w:rPr>
              <w:t>分）</w:t>
            </w:r>
          </w:p>
          <w:p w14:paraId="6EE1C78A">
            <w:pPr>
              <w:spacing w:line="480" w:lineRule="auto"/>
              <w:ind w:firstLine="480" w:firstLineChars="200"/>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①售后服务保障方案：每完全满足一个评审标准得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p w14:paraId="323B3845">
            <w:pPr>
              <w:spacing w:line="480" w:lineRule="auto"/>
              <w:ind w:firstLine="480" w:firstLineChars="200"/>
              <w:jc w:val="left"/>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②紧急响应方案：每完全满足一个评审标准得</w:t>
            </w:r>
            <w:r>
              <w:rPr>
                <w:rFonts w:hint="eastAsia" w:ascii="宋体" w:hAnsi="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分，满分</w:t>
            </w: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分；</w:t>
            </w:r>
          </w:p>
        </w:tc>
      </w:tr>
      <w:tr w14:paraId="67F71F54">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rPr>
          <w:trHeight w:val="617" w:hRule="atLeast"/>
          <w:jc w:val="center"/>
        </w:trPr>
        <w:tc>
          <w:tcPr>
            <w:tcW w:w="1657" w:type="dxa"/>
            <w:tcBorders>
              <w:top w:val="single" w:color="auto" w:sz="4" w:space="0"/>
              <w:right w:val="single" w:color="auto" w:sz="4" w:space="0"/>
            </w:tcBorders>
            <w:noWrap w:val="0"/>
            <w:vAlign w:val="center"/>
          </w:tcPr>
          <w:p w14:paraId="44A9F45B">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三、</w:t>
            </w:r>
            <w:r>
              <w:rPr>
                <w:rFonts w:hint="eastAsia" w:ascii="宋体" w:hAnsi="宋体" w:eastAsia="宋体" w:cs="宋体"/>
                <w:color w:val="000000" w:themeColor="text1"/>
                <w:sz w:val="24"/>
                <w:szCs w:val="24"/>
                <w14:textFill>
                  <w14:solidFill>
                    <w14:schemeClr w14:val="tx1"/>
                  </w14:solidFill>
                </w14:textFill>
              </w:rPr>
              <w:t>投标报价</w:t>
            </w:r>
          </w:p>
          <w:p w14:paraId="276BE639">
            <w:pPr>
              <w:numPr>
                <w:ilvl w:val="0"/>
                <w:numId w:val="0"/>
              </w:numPr>
              <w:spacing w:line="48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（满分</w:t>
            </w:r>
            <w:r>
              <w:rPr>
                <w:rFonts w:hint="eastAsia" w:ascii="宋体" w:hAnsi="宋体" w:eastAsia="宋体" w:cs="宋体"/>
                <w:color w:val="000000" w:themeColor="text1"/>
                <w:sz w:val="24"/>
                <w:szCs w:val="24"/>
                <w:lang w:val="en-US" w:eastAsia="zh-CN"/>
                <w14:textFill>
                  <w14:solidFill>
                    <w14:schemeClr w14:val="tx1"/>
                  </w14:solidFill>
                </w14:textFill>
              </w:rPr>
              <w:t>30</w:t>
            </w:r>
            <w:r>
              <w:rPr>
                <w:rFonts w:hint="eastAsia" w:ascii="宋体" w:hAnsi="宋体" w:eastAsia="宋体" w:cs="宋体"/>
                <w:color w:val="000000" w:themeColor="text1"/>
                <w:sz w:val="24"/>
                <w:szCs w:val="24"/>
                <w14:textFill>
                  <w14:solidFill>
                    <w14:schemeClr w14:val="tx1"/>
                  </w14:solidFill>
                </w14:textFill>
              </w:rPr>
              <w:t>分）</w:t>
            </w:r>
          </w:p>
        </w:tc>
        <w:tc>
          <w:tcPr>
            <w:tcW w:w="1687" w:type="dxa"/>
            <w:tcBorders>
              <w:top w:val="single" w:color="auto" w:sz="4" w:space="0"/>
              <w:left w:val="nil"/>
              <w:right w:val="single" w:color="auto" w:sz="4" w:space="0"/>
            </w:tcBorders>
            <w:noWrap w:val="0"/>
            <w:vAlign w:val="center"/>
          </w:tcPr>
          <w:p w14:paraId="12947E91">
            <w:pPr>
              <w:spacing w:line="48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hint="eastAsia" w:ascii="宋体" w:hAnsi="宋体" w:cs="宋体"/>
                <w:color w:val="000000" w:themeColor="text1"/>
                <w:sz w:val="24"/>
                <w:szCs w:val="24"/>
                <w:lang w:val="en-US" w:eastAsia="zh-CN"/>
                <w14:textFill>
                  <w14:solidFill>
                    <w14:schemeClr w14:val="tx1"/>
                  </w14:solidFill>
                </w14:textFill>
              </w:rPr>
              <w:t>报价</w:t>
            </w:r>
          </w:p>
          <w:p w14:paraId="362C1C60">
            <w:pPr>
              <w:spacing w:line="480" w:lineRule="auto"/>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（满分30分）</w:t>
            </w:r>
          </w:p>
        </w:tc>
        <w:tc>
          <w:tcPr>
            <w:tcW w:w="5722" w:type="dxa"/>
            <w:tcBorders>
              <w:top w:val="single" w:color="auto" w:sz="4" w:space="0"/>
              <w:left w:val="nil"/>
            </w:tcBorders>
            <w:noWrap w:val="0"/>
            <w:vAlign w:val="center"/>
          </w:tcPr>
          <w:p w14:paraId="48ED8CE2">
            <w:pPr>
              <w:spacing w:line="480" w:lineRule="auto"/>
              <w:ind w:firstLine="480" w:firstLineChars="2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1、满足招标文件要求且投标报价最低的投标报价为评标基准价，其价格分为满分。但最低报价并非唯一的中标评判因素。</w:t>
            </w:r>
          </w:p>
          <w:p w14:paraId="23BA296B">
            <w:pPr>
              <w:spacing w:line="480" w:lineRule="auto"/>
              <w:ind w:firstLine="480" w:firstLineChars="200"/>
              <w:jc w:val="left"/>
              <w:rPr>
                <w:rFonts w:hint="default"/>
                <w:lang w:val="en-US" w:eastAsia="zh-CN"/>
              </w:rPr>
            </w:pPr>
            <w:r>
              <w:rPr>
                <w:rFonts w:hint="eastAsia" w:ascii="宋体" w:hAnsi="宋体" w:eastAsia="宋体" w:cs="宋体"/>
                <w:color w:val="000000" w:themeColor="text1"/>
                <w:sz w:val="24"/>
                <w:szCs w:val="24"/>
                <w:lang w:val="en-US" w:eastAsia="zh-CN"/>
                <w14:textFill>
                  <w14:solidFill>
                    <w14:schemeClr w14:val="tx1"/>
                  </w14:solidFill>
                </w14:textFill>
              </w:rPr>
              <w:t>2、其他投标人的价格分统一按照下列公式计算：投标报价得分＝（评标基准价/投标报价）×30。</w:t>
            </w:r>
          </w:p>
        </w:tc>
      </w:tr>
    </w:tbl>
    <w:p w14:paraId="3EFDBC02">
      <w:pPr>
        <w:pStyle w:val="118"/>
        <w:jc w:val="left"/>
        <w:outlineLvl w:val="3"/>
        <w:rPr>
          <w:rFonts w:hint="eastAsia" w:asciiTheme="minorEastAsia" w:hAnsiTheme="minorEastAsia" w:eastAsiaTheme="minorEastAsia" w:cstheme="minorEastAsia"/>
          <w:b/>
          <w:sz w:val="24"/>
          <w:szCs w:val="24"/>
        </w:rPr>
      </w:pPr>
    </w:p>
    <w:p w14:paraId="23387B3D">
      <w:pPr>
        <w:pStyle w:val="118"/>
        <w:jc w:val="left"/>
        <w:outlineLvl w:val="3"/>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价格扣除</w:t>
      </w:r>
    </w:p>
    <w:tbl>
      <w:tblPr>
        <w:tblStyle w:val="35"/>
        <w:tblW w:w="0" w:type="auto"/>
        <w:tblInd w:w="-135"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16"/>
        <w:gridCol w:w="1191"/>
        <w:gridCol w:w="2005"/>
        <w:gridCol w:w="1115"/>
        <w:gridCol w:w="2750"/>
        <w:gridCol w:w="1485"/>
      </w:tblGrid>
      <w:tr w14:paraId="7485BEA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11" w:hRule="atLeast"/>
        </w:trPr>
        <w:tc>
          <w:tcPr>
            <w:tcW w:w="716" w:type="dxa"/>
            <w:vAlign w:val="center"/>
          </w:tcPr>
          <w:p w14:paraId="7241FA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1191" w:type="dxa"/>
            <w:vAlign w:val="center"/>
          </w:tcPr>
          <w:p w14:paraId="2F07CD28">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2005" w:type="dxa"/>
            <w:vAlign w:val="center"/>
          </w:tcPr>
          <w:p w14:paraId="5164743D">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适用情形</w:t>
            </w:r>
          </w:p>
        </w:tc>
        <w:tc>
          <w:tcPr>
            <w:tcW w:w="1115" w:type="dxa"/>
            <w:vAlign w:val="center"/>
          </w:tcPr>
          <w:p w14:paraId="1495771A">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扣除比例</w:t>
            </w:r>
          </w:p>
        </w:tc>
        <w:tc>
          <w:tcPr>
            <w:tcW w:w="2750" w:type="dxa"/>
            <w:vAlign w:val="center"/>
          </w:tcPr>
          <w:p w14:paraId="7F9FABD9">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1485" w:type="dxa"/>
            <w:vAlign w:val="center"/>
          </w:tcPr>
          <w:p w14:paraId="7094111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A8DD3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5A8A57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1191" w:type="dxa"/>
          </w:tcPr>
          <w:p w14:paraId="5AFAD7E5">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实施本国产品标准</w:t>
            </w:r>
          </w:p>
        </w:tc>
        <w:tc>
          <w:tcPr>
            <w:tcW w:w="2005" w:type="dxa"/>
          </w:tcPr>
          <w:p w14:paraId="52689081">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eastAsia="zh-CN"/>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themeColor="text1"/>
                <w:spacing w:val="-2"/>
                <w:sz w:val="22"/>
                <w:szCs w:val="22"/>
                <w:lang w:eastAsia="zh-CN"/>
                <w14:textFill>
                  <w14:solidFill>
                    <w14:schemeClr w14:val="tx1"/>
                  </w14:solidFill>
                </w14:textFill>
              </w:rPr>
              <w:t>。</w:t>
            </w:r>
          </w:p>
        </w:tc>
        <w:tc>
          <w:tcPr>
            <w:tcW w:w="1115" w:type="dxa"/>
          </w:tcPr>
          <w:p w14:paraId="54684168">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20.00%</w:t>
            </w:r>
          </w:p>
        </w:tc>
        <w:tc>
          <w:tcPr>
            <w:tcW w:w="2750" w:type="dxa"/>
          </w:tcPr>
          <w:p w14:paraId="7660F56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全部产品是指货物或服务采购项目或采购包中包含的全部货物、服务产品。</w:t>
            </w:r>
          </w:p>
        </w:tc>
        <w:tc>
          <w:tcPr>
            <w:tcW w:w="1485" w:type="dxa"/>
          </w:tcPr>
          <w:p w14:paraId="04392E3A">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提供《关于符合本国产品标准的声明函》或财政部会同有关部门规定的有关证明文件，该产品视为本国产品。</w:t>
            </w:r>
          </w:p>
        </w:tc>
      </w:tr>
      <w:tr w14:paraId="06B1EE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16" w:type="dxa"/>
          </w:tcPr>
          <w:p w14:paraId="1634722C">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1191" w:type="dxa"/>
          </w:tcPr>
          <w:p w14:paraId="10D46626">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落实支持中小企业发展政策</w:t>
            </w:r>
          </w:p>
        </w:tc>
        <w:tc>
          <w:tcPr>
            <w:tcW w:w="2005" w:type="dxa"/>
          </w:tcPr>
          <w:p w14:paraId="131FF62C">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根据《政府采购促进中小企业发展管理办法》的通知（财库〔2020〕46号）、《财政部关于进一步加大政府采购支持中小企业力度的通知》（财库〔2022〕19号）规定的小微企业报价给予扣除，用扣除后的价格参加评审。</w:t>
            </w:r>
          </w:p>
        </w:tc>
        <w:tc>
          <w:tcPr>
            <w:tcW w:w="1115" w:type="dxa"/>
          </w:tcPr>
          <w:p w14:paraId="1613EAA0">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default"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10%</w:t>
            </w:r>
          </w:p>
        </w:tc>
        <w:tc>
          <w:tcPr>
            <w:tcW w:w="2750" w:type="dxa"/>
          </w:tcPr>
          <w:p w14:paraId="06E40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监狱企业与残疾人福利性单位视同小型、微型企业，享受同等价格扣除，当企业属性重复时，不重复价格扣除。</w:t>
            </w:r>
          </w:p>
        </w:tc>
        <w:tc>
          <w:tcPr>
            <w:tcW w:w="1485" w:type="dxa"/>
          </w:tcPr>
          <w:p w14:paraId="6D268013">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中小企业声明函，残疾人福利性单位声明函，监狱企业的证明文件。</w:t>
            </w:r>
          </w:p>
        </w:tc>
      </w:tr>
    </w:tbl>
    <w:p w14:paraId="1799DEE8">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注：根据相关规定，对适用本国产品标准的采购包，既有本国产品又有非本国产品参与竞争的，依法对本国产品给予价格评审优惠；仅有本国产品参与竞争的政府采购项目，本国产品不享受价格扣除评审优惠。</w:t>
      </w:r>
    </w:p>
    <w:p w14:paraId="39A0B557">
      <w:pPr>
        <w:pStyle w:val="95"/>
        <w:keepNext w:val="0"/>
        <w:keepLines w:val="0"/>
        <w:pageBreakBefore w:val="0"/>
        <w:widowControl w:val="0"/>
        <w:kinsoku/>
        <w:wordWrap/>
        <w:overflowPunct/>
        <w:topLinePunct w:val="0"/>
        <w:autoSpaceDE/>
        <w:autoSpaceDN/>
        <w:bidi w:val="0"/>
        <w:adjustRightInd/>
        <w:snapToGrid/>
        <w:spacing w:line="600" w:lineRule="exact"/>
        <w:ind w:left="0" w:right="0" w:firstLine="480" w:firstLineChars="200"/>
        <w:jc w:val="both"/>
        <w:textAlignment w:val="auto"/>
        <w:rPr>
          <w:rFonts w:hint="eastAsia" w:ascii="宋体" w:hAnsi="宋体" w:eastAsia="宋体" w:cs="宋体"/>
          <w:color w:val="000000" w:themeColor="text1"/>
          <w:spacing w:val="0"/>
          <w:sz w:val="24"/>
          <w:szCs w:val="24"/>
          <w14:textFill>
            <w14:solidFill>
              <w14:schemeClr w14:val="tx1"/>
            </w14:solidFill>
          </w14:textFill>
        </w:rPr>
      </w:pPr>
      <w:r>
        <w:rPr>
          <w:rFonts w:hint="eastAsia" w:ascii="宋体" w:hAnsi="宋体" w:eastAsia="宋体" w:cs="宋体"/>
          <w:color w:val="000000" w:themeColor="text1"/>
          <w:spacing w:val="0"/>
          <w:sz w:val="24"/>
          <w:szCs w:val="24"/>
          <w14:textFill>
            <w14:solidFill>
              <w14:schemeClr w14:val="tx1"/>
            </w14:solidFill>
          </w14:textFill>
        </w:rPr>
        <w:t>投标人可同时享受落实支持中小企业发展政策和实施本国产品标准价格评审优惠，相关价格评审扣除均应在投标人原始报价基础上计算，用扣除后的价格参与评审。</w:t>
      </w:r>
    </w:p>
    <w:p w14:paraId="33E325FA">
      <w:pPr>
        <w:pStyle w:val="95"/>
        <w:keepNext w:val="0"/>
        <w:keepLines w:val="0"/>
        <w:pageBreakBefore w:val="0"/>
        <w:widowControl w:val="0"/>
        <w:kinsoku/>
        <w:wordWrap/>
        <w:overflowPunct/>
        <w:topLinePunct w:val="0"/>
        <w:autoSpaceDE/>
        <w:autoSpaceDN/>
        <w:bidi w:val="0"/>
        <w:adjustRightInd/>
        <w:snapToGrid/>
        <w:spacing w:line="360" w:lineRule="auto"/>
        <w:ind w:right="0" w:firstLine="474" w:firstLineChars="200"/>
        <w:jc w:val="both"/>
        <w:textAlignment w:val="auto"/>
        <w:rPr>
          <w:rFonts w:hint="eastAsia" w:ascii="宋体" w:hAnsi="宋体" w:eastAsia="宋体" w:cs="宋体"/>
          <w:b/>
          <w:bCs/>
          <w:color w:val="000000" w:themeColor="text1"/>
          <w:spacing w:val="-2"/>
          <w:sz w:val="24"/>
          <w:szCs w:val="24"/>
          <w14:textFill>
            <w14:solidFill>
              <w14:schemeClr w14:val="tx1"/>
            </w14:solidFill>
          </w14:textFill>
        </w:rPr>
      </w:pPr>
      <w:r>
        <w:rPr>
          <w:rFonts w:hint="eastAsia" w:ascii="宋体" w:hAnsi="宋体" w:eastAsia="宋体" w:cs="宋体"/>
          <w:b/>
          <w:bCs/>
          <w:color w:val="000000" w:themeColor="text1"/>
          <w:spacing w:val="-2"/>
          <w:sz w:val="24"/>
          <w:szCs w:val="24"/>
          <w14:textFill>
            <w14:solidFill>
              <w14:schemeClr w14:val="tx1"/>
            </w14:solidFill>
          </w14:textFill>
        </w:rPr>
        <w:t>优先采购产品评审细则</w:t>
      </w:r>
    </w:p>
    <w:tbl>
      <w:tblPr>
        <w:tblStyle w:val="3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22"/>
        <w:gridCol w:w="2396"/>
        <w:gridCol w:w="3066"/>
        <w:gridCol w:w="2451"/>
      </w:tblGrid>
      <w:tr w14:paraId="624D91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2" w:hRule="atLeast"/>
        </w:trPr>
        <w:tc>
          <w:tcPr>
            <w:tcW w:w="822" w:type="dxa"/>
            <w:vAlign w:val="center"/>
          </w:tcPr>
          <w:p w14:paraId="7442B53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序号</w:t>
            </w:r>
          </w:p>
        </w:tc>
        <w:tc>
          <w:tcPr>
            <w:tcW w:w="2396" w:type="dxa"/>
            <w:vAlign w:val="center"/>
          </w:tcPr>
          <w:p w14:paraId="7E9FEBB8">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center"/>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评审内容</w:t>
            </w:r>
          </w:p>
        </w:tc>
        <w:tc>
          <w:tcPr>
            <w:tcW w:w="3066" w:type="dxa"/>
            <w:vAlign w:val="center"/>
          </w:tcPr>
          <w:p w14:paraId="4174B68E">
            <w:pPr>
              <w:pStyle w:val="95"/>
              <w:keepNext w:val="0"/>
              <w:keepLines w:val="0"/>
              <w:pageBreakBefore w:val="0"/>
              <w:widowControl w:val="0"/>
              <w:kinsoku/>
              <w:wordWrap/>
              <w:overflowPunct/>
              <w:topLinePunct w:val="0"/>
              <w:autoSpaceDE/>
              <w:autoSpaceDN/>
              <w:bidi w:val="0"/>
              <w:adjustRightInd/>
              <w:snapToGrid/>
              <w:spacing w:line="240" w:lineRule="auto"/>
              <w:ind w:left="107" w:right="-29" w:firstLine="434" w:firstLineChars="200"/>
              <w:jc w:val="both"/>
              <w:textAlignment w:val="auto"/>
              <w:rPr>
                <w:rFonts w:hint="eastAsia" w:ascii="宋体" w:hAnsi="宋体" w:eastAsia="宋体" w:cs="宋体"/>
                <w:b/>
                <w:bCs/>
                <w:color w:val="000000" w:themeColor="text1"/>
                <w:spacing w:val="-2"/>
                <w:sz w:val="22"/>
                <w:szCs w:val="22"/>
                <w14:textFill>
                  <w14:solidFill>
                    <w14:schemeClr w14:val="tx1"/>
                  </w14:solidFill>
                </w14:textFill>
              </w:rPr>
            </w:pPr>
            <w:r>
              <w:rPr>
                <w:rFonts w:hint="eastAsia" w:ascii="宋体" w:hAnsi="宋体" w:eastAsia="宋体" w:cs="宋体"/>
                <w:b/>
                <w:bCs/>
                <w:color w:val="000000" w:themeColor="text1"/>
                <w:spacing w:val="-2"/>
                <w:sz w:val="22"/>
                <w:szCs w:val="22"/>
                <w14:textFill>
                  <w14:solidFill>
                    <w14:schemeClr w14:val="tx1"/>
                  </w14:solidFill>
                </w14:textFill>
              </w:rPr>
              <w:t>具体标准和要求</w:t>
            </w:r>
          </w:p>
        </w:tc>
        <w:tc>
          <w:tcPr>
            <w:tcW w:w="2451" w:type="dxa"/>
            <w:vAlign w:val="center"/>
          </w:tcPr>
          <w:p w14:paraId="0A410FDB">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b/>
                <w:bCs/>
                <w:color w:val="000000" w:themeColor="text1"/>
                <w:spacing w:val="-2"/>
                <w:sz w:val="22"/>
                <w:szCs w:val="22"/>
                <w:lang w:eastAsia="zh-CN"/>
                <w14:textFill>
                  <w14:solidFill>
                    <w14:schemeClr w14:val="tx1"/>
                  </w14:solidFill>
                </w14:textFill>
              </w:rPr>
            </w:pPr>
            <w:r>
              <w:rPr>
                <w:rFonts w:hint="eastAsia" w:ascii="宋体" w:hAnsi="宋体" w:eastAsia="宋体" w:cs="宋体"/>
                <w:b/>
                <w:bCs/>
                <w:color w:val="000000" w:themeColor="text1"/>
                <w:spacing w:val="-2"/>
                <w:sz w:val="22"/>
                <w:szCs w:val="22"/>
                <w:lang w:val="en-US" w:eastAsia="zh-CN"/>
                <w14:textFill>
                  <w14:solidFill>
                    <w14:schemeClr w14:val="tx1"/>
                  </w14:solidFill>
                </w14:textFill>
              </w:rPr>
              <w:t>备注</w:t>
            </w:r>
          </w:p>
        </w:tc>
      </w:tr>
      <w:tr w14:paraId="7C3BC6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41FD7ADF">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1</w:t>
            </w:r>
          </w:p>
        </w:tc>
        <w:tc>
          <w:tcPr>
            <w:tcW w:w="2396" w:type="dxa"/>
            <w:vAlign w:val="center"/>
          </w:tcPr>
          <w:p w14:paraId="678EA1E5">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优先采购环境标志产品</w:t>
            </w:r>
          </w:p>
        </w:tc>
        <w:tc>
          <w:tcPr>
            <w:tcW w:w="3066" w:type="dxa"/>
          </w:tcPr>
          <w:p w14:paraId="597FFF17">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w:t>
            </w:r>
          </w:p>
        </w:tc>
        <w:tc>
          <w:tcPr>
            <w:tcW w:w="2451" w:type="dxa"/>
            <w:vAlign w:val="center"/>
          </w:tcPr>
          <w:p w14:paraId="1FFE2EEE">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r w14:paraId="7AF822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22" w:type="dxa"/>
            <w:vAlign w:val="center"/>
          </w:tcPr>
          <w:p w14:paraId="033B9356">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lang w:val="en-US" w:eastAsia="zh-CN"/>
                <w14:textFill>
                  <w14:solidFill>
                    <w14:schemeClr w14:val="tx1"/>
                  </w14:solidFill>
                </w14:textFill>
              </w:rPr>
            </w:pPr>
            <w:r>
              <w:rPr>
                <w:rFonts w:hint="eastAsia" w:ascii="宋体" w:hAnsi="宋体" w:eastAsia="宋体" w:cs="宋体"/>
                <w:color w:val="000000" w:themeColor="text1"/>
                <w:spacing w:val="-2"/>
                <w:sz w:val="22"/>
                <w:szCs w:val="22"/>
                <w:lang w:val="en-US" w:eastAsia="zh-CN"/>
                <w14:textFill>
                  <w14:solidFill>
                    <w14:schemeClr w14:val="tx1"/>
                  </w14:solidFill>
                </w14:textFill>
              </w:rPr>
              <w:t>2</w:t>
            </w:r>
          </w:p>
        </w:tc>
        <w:tc>
          <w:tcPr>
            <w:tcW w:w="2396" w:type="dxa"/>
            <w:vAlign w:val="center"/>
          </w:tcPr>
          <w:p w14:paraId="5484BDA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优先采购节能产品</w:t>
            </w:r>
          </w:p>
        </w:tc>
        <w:tc>
          <w:tcPr>
            <w:tcW w:w="3066" w:type="dxa"/>
          </w:tcPr>
          <w:p w14:paraId="74FB647E">
            <w:pPr>
              <w:pStyle w:val="95"/>
              <w:keepNext w:val="0"/>
              <w:keepLines w:val="0"/>
              <w:pageBreakBefore w:val="0"/>
              <w:widowControl w:val="0"/>
              <w:kinsoku/>
              <w:wordWrap/>
              <w:overflowPunct/>
              <w:topLinePunct w:val="0"/>
              <w:autoSpaceDE/>
              <w:autoSpaceDN/>
              <w:bidi w:val="0"/>
              <w:adjustRightInd/>
              <w:snapToGrid/>
              <w:spacing w:line="240" w:lineRule="auto"/>
              <w:ind w:right="-29"/>
              <w:jc w:val="both"/>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响应产品属于《</w:t>
            </w:r>
            <w:r>
              <w:rPr>
                <w:rFonts w:hint="eastAsia" w:ascii="宋体" w:hAnsi="宋体" w:eastAsia="宋体" w:cs="宋体"/>
                <w:color w:val="000000" w:themeColor="text1"/>
                <w:spacing w:val="-2"/>
                <w:sz w:val="22"/>
                <w:szCs w:val="22"/>
                <w:lang w:val="en-US" w:eastAsia="zh-CN"/>
                <w14:textFill>
                  <w14:solidFill>
                    <w14:schemeClr w14:val="tx1"/>
                  </w14:solidFill>
                </w14:textFill>
              </w:rPr>
              <w:t>节能产品政府采购品目清单</w:t>
            </w:r>
            <w:r>
              <w:rPr>
                <w:rFonts w:hint="eastAsia" w:ascii="宋体" w:hAnsi="宋体" w:eastAsia="宋体" w:cs="宋体"/>
                <w:color w:val="000000" w:themeColor="text1"/>
                <w:spacing w:val="-2"/>
                <w:sz w:val="22"/>
                <w:szCs w:val="22"/>
                <w14:textFill>
                  <w14:solidFill>
                    <w14:schemeClr w14:val="tx1"/>
                  </w14:solidFill>
                </w14:textFill>
              </w:rPr>
              <w:t>》中的产品，投标人提供由国家确定的认证机构出具的、处于有效期之内的</w:t>
            </w:r>
            <w:r>
              <w:rPr>
                <w:rFonts w:hint="eastAsia" w:ascii="宋体" w:hAnsi="宋体" w:eastAsia="宋体" w:cs="宋体"/>
                <w:color w:val="000000" w:themeColor="text1"/>
                <w:spacing w:val="-2"/>
                <w:sz w:val="22"/>
                <w:szCs w:val="22"/>
                <w:lang w:val="en-US" w:eastAsia="zh-CN"/>
                <w14:textFill>
                  <w14:solidFill>
                    <w14:schemeClr w14:val="tx1"/>
                  </w14:solidFill>
                </w14:textFill>
              </w:rPr>
              <w:t>节能</w:t>
            </w:r>
            <w:r>
              <w:rPr>
                <w:rFonts w:hint="eastAsia" w:ascii="宋体" w:hAnsi="宋体" w:eastAsia="宋体" w:cs="宋体"/>
                <w:color w:val="000000" w:themeColor="text1"/>
                <w:spacing w:val="-2"/>
                <w:sz w:val="22"/>
                <w:szCs w:val="22"/>
                <w14:textFill>
                  <w14:solidFill>
                    <w14:schemeClr w14:val="tx1"/>
                  </w14:solidFill>
                </w14:textFill>
              </w:rPr>
              <w:t>产品认证证书的原件扫描件或“全国认证认可信息公共服务平台”（http://cx.cnca.cn）的认证信息截图，可以享受优先采购政策。</w:t>
            </w:r>
          </w:p>
        </w:tc>
        <w:tc>
          <w:tcPr>
            <w:tcW w:w="2451" w:type="dxa"/>
            <w:vAlign w:val="center"/>
          </w:tcPr>
          <w:p w14:paraId="6431A242">
            <w:pPr>
              <w:pStyle w:val="95"/>
              <w:keepNext w:val="0"/>
              <w:keepLines w:val="0"/>
              <w:pageBreakBefore w:val="0"/>
              <w:widowControl w:val="0"/>
              <w:kinsoku/>
              <w:wordWrap/>
              <w:overflowPunct/>
              <w:topLinePunct w:val="0"/>
              <w:autoSpaceDE/>
              <w:autoSpaceDN/>
              <w:bidi w:val="0"/>
              <w:adjustRightInd/>
              <w:snapToGrid/>
              <w:spacing w:line="240" w:lineRule="auto"/>
              <w:ind w:right="-29"/>
              <w:jc w:val="center"/>
              <w:textAlignment w:val="auto"/>
              <w:rPr>
                <w:rFonts w:hint="eastAsia" w:ascii="宋体" w:hAnsi="宋体" w:eastAsia="宋体" w:cs="宋体"/>
                <w:color w:val="000000" w:themeColor="text1"/>
                <w:spacing w:val="-2"/>
                <w:sz w:val="22"/>
                <w:szCs w:val="22"/>
                <w14:textFill>
                  <w14:solidFill>
                    <w14:schemeClr w14:val="tx1"/>
                  </w14:solidFill>
                </w14:textFill>
              </w:rPr>
            </w:pPr>
            <w:r>
              <w:rPr>
                <w:rFonts w:hint="eastAsia" w:ascii="宋体" w:hAnsi="宋体" w:eastAsia="宋体" w:cs="宋体"/>
                <w:color w:val="000000" w:themeColor="text1"/>
                <w:spacing w:val="-2"/>
                <w:sz w:val="22"/>
                <w:szCs w:val="22"/>
                <w14:textFill>
                  <w14:solidFill>
                    <w14:schemeClr w14:val="tx1"/>
                  </w14:solidFill>
                </w14:textFill>
              </w:rPr>
              <w:t>提供</w:t>
            </w:r>
            <w:r>
              <w:rPr>
                <w:rFonts w:hint="eastAsia" w:ascii="宋体" w:hAnsi="宋体" w:eastAsia="宋体" w:cs="宋体"/>
                <w:color w:val="000000" w:themeColor="text1"/>
                <w:spacing w:val="-2"/>
                <w:sz w:val="22"/>
                <w:szCs w:val="22"/>
                <w:lang w:val="en-US" w:eastAsia="zh-CN"/>
                <w14:textFill>
                  <w14:solidFill>
                    <w14:schemeClr w14:val="tx1"/>
                  </w14:solidFill>
                </w14:textFill>
              </w:rPr>
              <w:t>相关</w:t>
            </w:r>
            <w:r>
              <w:rPr>
                <w:rFonts w:hint="eastAsia" w:ascii="宋体" w:hAnsi="宋体" w:eastAsia="宋体" w:cs="宋体"/>
                <w:color w:val="000000" w:themeColor="text1"/>
                <w:spacing w:val="-2"/>
                <w:sz w:val="22"/>
                <w:szCs w:val="22"/>
                <w14:textFill>
                  <w14:solidFill>
                    <w14:schemeClr w14:val="tx1"/>
                  </w14:solidFill>
                </w14:textFill>
              </w:rPr>
              <w:t>有效证明材料</w:t>
            </w:r>
          </w:p>
        </w:tc>
      </w:tr>
    </w:tbl>
    <w:p w14:paraId="5C6B358C">
      <w:pPr>
        <w:spacing w:line="360" w:lineRule="auto"/>
        <w:rPr>
          <w:rFonts w:hint="eastAsia" w:ascii="宋体" w:hAnsi="宋体" w:eastAsia="宋体" w:cs="宋体"/>
          <w:b/>
          <w:color w:val="000000" w:themeColor="text1"/>
          <w:sz w:val="24"/>
          <w:szCs w:val="24"/>
          <w14:textFill>
            <w14:solidFill>
              <w14:schemeClr w14:val="tx1"/>
            </w14:solidFill>
          </w14:textFill>
        </w:rPr>
      </w:pPr>
    </w:p>
    <w:p w14:paraId="06F8CA1A">
      <w:pPr>
        <w:keepNext w:val="0"/>
        <w:keepLines w:val="0"/>
        <w:pageBreakBefore w:val="0"/>
        <w:widowControl w:val="0"/>
        <w:kinsoku/>
        <w:wordWrap/>
        <w:topLinePunct w:val="0"/>
        <w:autoSpaceDE/>
        <w:autoSpaceDN/>
        <w:bidi w:val="0"/>
        <w:adjustRightInd/>
        <w:spacing w:line="6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3.2.3确定投标人的有效报价：</w:t>
      </w:r>
    </w:p>
    <w:p w14:paraId="4336FF8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经初审合格的投标文件，其投标报价为有效投标报价。</w:t>
      </w:r>
    </w:p>
    <w:p w14:paraId="46B1AA7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3.2.4确定评标基准价：</w:t>
      </w:r>
    </w:p>
    <w:p w14:paraId="1F6421F1">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满足招标文件要求且报价最低的为评标基准价。</w:t>
      </w:r>
    </w:p>
    <w:p w14:paraId="7C9E9D6F">
      <w:pPr>
        <w:keepNext w:val="0"/>
        <w:keepLines w:val="0"/>
        <w:pageBreakBefore w:val="0"/>
        <w:widowControl w:val="0"/>
        <w:tabs>
          <w:tab w:val="left" w:pos="6060"/>
        </w:tabs>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7" w:name="_Toc343511794"/>
      <w:r>
        <w:rPr>
          <w:rFonts w:hint="eastAsia" w:ascii="宋体" w:hAnsi="宋体" w:eastAsia="宋体" w:cs="宋体"/>
          <w:b/>
          <w:color w:val="000000" w:themeColor="text1"/>
          <w:sz w:val="24"/>
          <w:szCs w:val="24"/>
          <w14:textFill>
            <w14:solidFill>
              <w14:schemeClr w14:val="tx1"/>
            </w14:solidFill>
          </w14:textFill>
        </w:rPr>
        <w:t>3.2.5投标报价评审：</w:t>
      </w:r>
      <w:bookmarkEnd w:id="657"/>
      <w:r>
        <w:rPr>
          <w:rFonts w:hint="eastAsia" w:ascii="宋体" w:hAnsi="宋体" w:eastAsia="宋体" w:cs="宋体"/>
          <w:b/>
          <w:color w:val="000000" w:themeColor="text1"/>
          <w:sz w:val="24"/>
          <w:szCs w:val="24"/>
          <w14:textFill>
            <w14:solidFill>
              <w14:schemeClr w14:val="tx1"/>
            </w14:solidFill>
          </w14:textFill>
        </w:rPr>
        <w:t>（总分为</w:t>
      </w:r>
      <w:r>
        <w:rPr>
          <w:rFonts w:hint="eastAsia" w:ascii="宋体" w:hAnsi="宋体" w:eastAsia="宋体" w:cs="宋体"/>
          <w:b/>
          <w:color w:val="000000" w:themeColor="text1"/>
          <w:sz w:val="24"/>
          <w:szCs w:val="24"/>
          <w:lang w:val="en-US" w:eastAsia="zh-CN"/>
          <w14:textFill>
            <w14:solidFill>
              <w14:schemeClr w14:val="tx1"/>
            </w14:solidFill>
          </w14:textFill>
        </w:rPr>
        <w:t>30</w:t>
      </w:r>
      <w:r>
        <w:rPr>
          <w:rFonts w:hint="eastAsia" w:ascii="宋体" w:hAnsi="宋体" w:eastAsia="宋体" w:cs="宋体"/>
          <w:b/>
          <w:color w:val="000000" w:themeColor="text1"/>
          <w:sz w:val="24"/>
          <w:szCs w:val="24"/>
          <w14:textFill>
            <w14:solidFill>
              <w14:schemeClr w14:val="tx1"/>
            </w14:solidFill>
          </w14:textFill>
        </w:rPr>
        <w:t>分）</w:t>
      </w:r>
    </w:p>
    <w:p w14:paraId="21E81982">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8" w:name="_Toc343511804"/>
      <w:r>
        <w:rPr>
          <w:rFonts w:hint="eastAsia" w:ascii="宋体" w:hAnsi="宋体" w:eastAsia="宋体" w:cs="宋体"/>
          <w:b/>
          <w:color w:val="000000" w:themeColor="text1"/>
          <w:sz w:val="24"/>
          <w:szCs w:val="24"/>
          <w14:textFill>
            <w14:solidFill>
              <w14:schemeClr w14:val="tx1"/>
            </w14:solidFill>
          </w14:textFill>
        </w:rPr>
        <w:t>3.2.6汇总上述技术部分和商务部分及投标报价得分，按综合得分由高到低的顺序排序。</w:t>
      </w:r>
      <w:bookmarkEnd w:id="658"/>
    </w:p>
    <w:p w14:paraId="63898E7A">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59" w:name="_Toc343511805"/>
      <w:r>
        <w:rPr>
          <w:rFonts w:hint="eastAsia" w:ascii="宋体" w:hAnsi="宋体" w:eastAsia="宋体" w:cs="宋体"/>
          <w:b/>
          <w:color w:val="000000" w:themeColor="text1"/>
          <w:sz w:val="24"/>
          <w:szCs w:val="24"/>
          <w14:textFill>
            <w14:solidFill>
              <w14:schemeClr w14:val="tx1"/>
            </w14:solidFill>
          </w14:textFill>
        </w:rPr>
        <w:t>3.2.7确定中标投标人：</w:t>
      </w:r>
      <w:bookmarkEnd w:id="659"/>
    </w:p>
    <w:p w14:paraId="2913D726">
      <w:pPr>
        <w:keepNext w:val="0"/>
        <w:keepLines w:val="0"/>
        <w:pageBreakBefore w:val="0"/>
        <w:widowControl w:val="0"/>
        <w:kinsoku/>
        <w:wordWrap/>
        <w:topLinePunct w:val="0"/>
        <w:autoSpaceDE/>
        <w:autoSpaceDN/>
        <w:bidi w:val="0"/>
        <w:adjustRightInd/>
        <w:spacing w:line="600" w:lineRule="exact"/>
        <w:ind w:firstLine="472" w:firstLineChars="196"/>
        <w:rPr>
          <w:rFonts w:hint="eastAsia" w:ascii="宋体" w:hAnsi="宋体" w:eastAsia="宋体" w:cs="宋体"/>
          <w:color w:val="000000" w:themeColor="text1"/>
          <w:sz w:val="24"/>
          <w:szCs w:val="24"/>
          <w14:textFill>
            <w14:solidFill>
              <w14:schemeClr w14:val="tx1"/>
            </w14:solidFill>
          </w14:textFill>
        </w:rPr>
      </w:pPr>
      <w:bookmarkStart w:id="660" w:name="_Toc343511806"/>
      <w:bookmarkStart w:id="661" w:name="_Toc343511807"/>
      <w:r>
        <w:rPr>
          <w:rFonts w:hint="eastAsia" w:ascii="宋体" w:hAnsi="宋体" w:eastAsia="宋体" w:cs="宋体"/>
          <w:b/>
          <w:bCs/>
          <w:color w:val="000000" w:themeColor="text1"/>
          <w:sz w:val="24"/>
          <w:szCs w:val="24"/>
          <w:u w:val="single"/>
          <w14:textFill>
            <w14:solidFill>
              <w14:schemeClr w14:val="tx1"/>
            </w14:solidFill>
          </w14:textFill>
        </w:rPr>
        <w:t>综合得分</w:t>
      </w:r>
      <w:r>
        <w:rPr>
          <w:rFonts w:hint="eastAsia" w:ascii="宋体" w:hAnsi="宋体" w:eastAsia="宋体" w:cs="宋体"/>
          <w:b/>
          <w:color w:val="000000" w:themeColor="text1"/>
          <w:sz w:val="24"/>
          <w:szCs w:val="24"/>
          <w:u w:val="single"/>
          <w14:textFill>
            <w14:solidFill>
              <w14:schemeClr w14:val="tx1"/>
            </w14:solidFill>
          </w14:textFill>
        </w:rPr>
        <w:t>排序第一的投标人为中标候选投标人即为中标投标人。中标投标人投标报价为中标价即为合同价</w:t>
      </w:r>
      <w:r>
        <w:rPr>
          <w:rFonts w:hint="eastAsia" w:ascii="宋体" w:hAnsi="宋体" w:eastAsia="宋体" w:cs="宋体"/>
          <w:color w:val="000000" w:themeColor="text1"/>
          <w:sz w:val="24"/>
          <w:szCs w:val="24"/>
          <w14:textFill>
            <w14:solidFill>
              <w14:schemeClr w14:val="tx1"/>
            </w14:solidFill>
          </w14:textFill>
        </w:rPr>
        <w:t>。</w:t>
      </w:r>
      <w:bookmarkEnd w:id="660"/>
    </w:p>
    <w:p w14:paraId="0DA258D4">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当确定的中标投标人放弃中标或不能够履行投标文件承诺的条款，中标投标人按排名顺序依次递补。</w:t>
      </w:r>
      <w:bookmarkEnd w:id="661"/>
    </w:p>
    <w:p w14:paraId="56C384A0">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2" w:name="_Toc343511808"/>
      <w:r>
        <w:rPr>
          <w:rFonts w:hint="eastAsia" w:ascii="宋体" w:hAnsi="宋体" w:eastAsia="宋体" w:cs="宋体"/>
          <w:b/>
          <w:color w:val="000000" w:themeColor="text1"/>
          <w:sz w:val="24"/>
          <w:szCs w:val="24"/>
          <w14:textFill>
            <w14:solidFill>
              <w14:schemeClr w14:val="tx1"/>
            </w14:solidFill>
          </w14:textFill>
        </w:rPr>
        <w:t>3.2.8其他情况：</w:t>
      </w:r>
      <w:bookmarkEnd w:id="662"/>
    </w:p>
    <w:p w14:paraId="022D47C9">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bookmarkStart w:id="663" w:name="_Toc343511810"/>
      <w:r>
        <w:rPr>
          <w:rFonts w:hint="eastAsia" w:ascii="宋体" w:hAnsi="宋体" w:eastAsia="宋体" w:cs="宋体"/>
          <w:bCs/>
          <w:color w:val="000000" w:themeColor="text1"/>
          <w:sz w:val="24"/>
          <w:szCs w:val="24"/>
          <w14:textFill>
            <w14:solidFill>
              <w14:schemeClr w14:val="tx1"/>
            </w14:solidFill>
          </w14:textFill>
        </w:rPr>
        <w:t>综合得分并列时，比较投标报价，此分项得分高者排序靠前；若投标报价得分仍相同，比较投标人技术标得分；如仍相同，则由评委无记名投票，以得票高低确定排序先后。</w:t>
      </w:r>
    </w:p>
    <w:p w14:paraId="70780F57">
      <w:pPr>
        <w:keepNext w:val="0"/>
        <w:keepLines w:val="0"/>
        <w:pageBreakBefore w:val="0"/>
        <w:widowControl w:val="0"/>
        <w:tabs>
          <w:tab w:val="left" w:pos="6060"/>
        </w:tabs>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评标中采用插入法计算保留小数点后两位，第三位四舍五入。</w:t>
      </w:r>
      <w:bookmarkEnd w:id="663"/>
    </w:p>
    <w:p w14:paraId="24A02CB5">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Cs/>
          <w:color w:val="000000" w:themeColor="text1"/>
          <w:sz w:val="24"/>
          <w:szCs w:val="24"/>
          <w:lang w:eastAsia="zh-CN"/>
          <w14:textFill>
            <w14:solidFill>
              <w14:schemeClr w14:val="tx1"/>
            </w14:solidFill>
          </w14:textFill>
        </w:rPr>
      </w:pPr>
      <w:bookmarkStart w:id="664" w:name="_Toc343511811"/>
      <w:r>
        <w:rPr>
          <w:rFonts w:hint="eastAsia" w:ascii="宋体" w:hAnsi="宋体" w:eastAsia="宋体" w:cs="宋体"/>
          <w:bCs/>
          <w:color w:val="000000" w:themeColor="text1"/>
          <w:sz w:val="24"/>
          <w:szCs w:val="24"/>
          <w14:textFill>
            <w14:solidFill>
              <w14:schemeClr w14:val="tx1"/>
            </w14:solidFill>
          </w14:textFill>
        </w:rPr>
        <w:t>本办法由采购人负责解释，未尽事宜执行有关规定</w:t>
      </w:r>
      <w:bookmarkEnd w:id="664"/>
      <w:r>
        <w:rPr>
          <w:rFonts w:hint="eastAsia" w:ascii="宋体" w:hAnsi="宋体" w:cs="宋体"/>
          <w:bCs/>
          <w:color w:val="000000" w:themeColor="text1"/>
          <w:sz w:val="24"/>
          <w:szCs w:val="24"/>
          <w:lang w:eastAsia="zh-CN"/>
          <w14:textFill>
            <w14:solidFill>
              <w14:schemeClr w14:val="tx1"/>
            </w14:solidFill>
          </w14:textFill>
        </w:rPr>
        <w:t>。</w:t>
      </w:r>
    </w:p>
    <w:p w14:paraId="31A01664">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65" w:name="_Toc144974575"/>
      <w:bookmarkStart w:id="666" w:name="_Toc394320906"/>
      <w:bookmarkStart w:id="667" w:name="_Toc395711825"/>
      <w:bookmarkStart w:id="668" w:name="_Toc152045607"/>
      <w:bookmarkStart w:id="669" w:name="_Toc490171399"/>
      <w:bookmarkStart w:id="670" w:name="_Toc397410477"/>
      <w:bookmarkStart w:id="671" w:name="_Toc456197093"/>
      <w:bookmarkStart w:id="672" w:name="_Toc246996250"/>
      <w:bookmarkStart w:id="673" w:name="_Toc343511812"/>
      <w:bookmarkStart w:id="674" w:name="_Toc397410664"/>
      <w:bookmarkStart w:id="675" w:name="_Toc490171558"/>
      <w:bookmarkStart w:id="676" w:name="_Toc246996993"/>
      <w:bookmarkStart w:id="677" w:name="_Toc397585175"/>
      <w:bookmarkStart w:id="678" w:name="_Toc179632625"/>
      <w:bookmarkStart w:id="679" w:name="_Toc247085765"/>
      <w:bookmarkStart w:id="680" w:name="_Toc361406437"/>
      <w:bookmarkStart w:id="681" w:name="_Toc397585244"/>
      <w:bookmarkStart w:id="682" w:name="_Toc361406358"/>
      <w:bookmarkStart w:id="683" w:name="_Toc152042385"/>
      <w:r>
        <w:rPr>
          <w:rFonts w:hint="eastAsia" w:ascii="宋体" w:hAnsi="宋体" w:eastAsia="宋体" w:cs="宋体"/>
          <w:b/>
          <w:color w:val="000000" w:themeColor="text1"/>
          <w:sz w:val="24"/>
          <w:szCs w:val="24"/>
          <w14:textFill>
            <w14:solidFill>
              <w14:schemeClr w14:val="tx1"/>
            </w14:solidFill>
          </w14:textFill>
        </w:rPr>
        <w:t>3.3 投标文件的澄清</w:t>
      </w:r>
      <w:bookmarkEnd w:id="665"/>
      <w:r>
        <w:rPr>
          <w:rFonts w:hint="eastAsia" w:ascii="宋体" w:hAnsi="宋体" w:eastAsia="宋体" w:cs="宋体"/>
          <w:b/>
          <w:color w:val="000000" w:themeColor="text1"/>
          <w:sz w:val="24"/>
          <w:szCs w:val="24"/>
          <w14:textFill>
            <w14:solidFill>
              <w14:schemeClr w14:val="tx1"/>
            </w14:solidFill>
          </w14:textFill>
        </w:rPr>
        <w:t>和补正</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14:paraId="4589DE1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4" w:name="_Toc343511813"/>
      <w:r>
        <w:rPr>
          <w:rFonts w:hint="eastAsia" w:ascii="宋体" w:hAnsi="宋体" w:eastAsia="宋体" w:cs="宋体"/>
          <w:color w:val="000000" w:themeColor="text1"/>
          <w:sz w:val="24"/>
          <w:szCs w:val="24"/>
          <w14:textFill>
            <w14:solidFill>
              <w14:schemeClr w14:val="tx1"/>
            </w14:solidFill>
          </w14:textFill>
        </w:rPr>
        <w:t>3.3.1在评标过程中，评标委员会可以书面形式要求投标人对所提交投标文件中不明确的内容进行书面澄清或说明，或者对细微偏差进行补正。评标委员会不接受投标人主动提出的澄清、说明或补正。</w:t>
      </w:r>
      <w:bookmarkEnd w:id="684"/>
    </w:p>
    <w:p w14:paraId="7FB8CA7A">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5" w:name="_Toc343511814"/>
      <w:r>
        <w:rPr>
          <w:rFonts w:hint="eastAsia" w:ascii="宋体" w:hAnsi="宋体" w:eastAsia="宋体" w:cs="宋体"/>
          <w:color w:val="000000" w:themeColor="text1"/>
          <w:sz w:val="24"/>
          <w:szCs w:val="24"/>
          <w14:textFill>
            <w14:solidFill>
              <w14:schemeClr w14:val="tx1"/>
            </w14:solidFill>
          </w14:textFill>
        </w:rPr>
        <w:t>3.3.2 澄清、说明和补正不得改变投标文件的实质性内容（算术性错误修正的除外）。投标人的书面澄清、说明和补正属于投标文件的组成部分。</w:t>
      </w:r>
      <w:bookmarkEnd w:id="685"/>
    </w:p>
    <w:p w14:paraId="7C5574BD">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686" w:name="_Toc343511815"/>
      <w:r>
        <w:rPr>
          <w:rFonts w:hint="eastAsia" w:ascii="宋体" w:hAnsi="宋体" w:eastAsia="宋体" w:cs="宋体"/>
          <w:color w:val="000000" w:themeColor="text1"/>
          <w:sz w:val="24"/>
          <w:szCs w:val="24"/>
          <w14:textFill>
            <w14:solidFill>
              <w14:schemeClr w14:val="tx1"/>
            </w14:solidFill>
          </w14:textFill>
        </w:rPr>
        <w:t>3.3.3 评标委员会对投标人提交的澄清、说明或补正有疑问的，可以要求投标人进一步澄清、说明或补正，直至满足评标委员会的要求。</w:t>
      </w:r>
      <w:bookmarkEnd w:id="686"/>
    </w:p>
    <w:p w14:paraId="38468A08">
      <w:pPr>
        <w:keepNext w:val="0"/>
        <w:keepLines w:val="0"/>
        <w:pageBreakBefore w:val="0"/>
        <w:widowControl w:val="0"/>
        <w:kinsoku/>
        <w:wordWrap/>
        <w:topLinePunct w:val="0"/>
        <w:autoSpaceDE/>
        <w:autoSpaceDN/>
        <w:bidi w:val="0"/>
        <w:adjustRightInd/>
        <w:spacing w:line="600" w:lineRule="exact"/>
        <w:ind w:firstLine="482" w:firstLineChars="200"/>
        <w:rPr>
          <w:rFonts w:hint="eastAsia" w:ascii="宋体" w:hAnsi="宋体" w:eastAsia="宋体" w:cs="宋体"/>
          <w:b/>
          <w:color w:val="000000" w:themeColor="text1"/>
          <w:sz w:val="24"/>
          <w:szCs w:val="24"/>
          <w14:textFill>
            <w14:solidFill>
              <w14:schemeClr w14:val="tx1"/>
            </w14:solidFill>
          </w14:textFill>
        </w:rPr>
      </w:pPr>
      <w:bookmarkStart w:id="687" w:name="_Toc361406359"/>
      <w:bookmarkStart w:id="688" w:name="_Toc246996251"/>
      <w:bookmarkStart w:id="689" w:name="_Toc144974576"/>
      <w:bookmarkStart w:id="690" w:name="_Toc397410665"/>
      <w:bookmarkStart w:id="691" w:name="_Toc152045608"/>
      <w:bookmarkStart w:id="692" w:name="_Toc397410478"/>
      <w:bookmarkStart w:id="693" w:name="_Toc247085766"/>
      <w:bookmarkStart w:id="694" w:name="_Toc179632626"/>
      <w:bookmarkStart w:id="695" w:name="_Toc343511816"/>
      <w:bookmarkStart w:id="696" w:name="_Toc397585245"/>
      <w:bookmarkStart w:id="697" w:name="_Toc490171559"/>
      <w:bookmarkStart w:id="698" w:name="_Toc397585176"/>
      <w:bookmarkStart w:id="699" w:name="_Toc152042386"/>
      <w:bookmarkStart w:id="700" w:name="_Toc456197094"/>
      <w:bookmarkStart w:id="701" w:name="_Toc361406438"/>
      <w:bookmarkStart w:id="702" w:name="_Toc394320907"/>
      <w:bookmarkStart w:id="703" w:name="_Toc246996994"/>
      <w:bookmarkStart w:id="704" w:name="_Toc490171400"/>
      <w:bookmarkStart w:id="705" w:name="_Toc395711826"/>
      <w:r>
        <w:rPr>
          <w:rFonts w:hint="eastAsia" w:ascii="宋体" w:hAnsi="宋体" w:eastAsia="宋体" w:cs="宋体"/>
          <w:b/>
          <w:color w:val="000000" w:themeColor="text1"/>
          <w:sz w:val="24"/>
          <w:szCs w:val="24"/>
          <w14:textFill>
            <w14:solidFill>
              <w14:schemeClr w14:val="tx1"/>
            </w14:solidFill>
          </w14:textFill>
        </w:rPr>
        <w:t>3.4 评标结果</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p>
    <w:p w14:paraId="1229D06F">
      <w:pPr>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color w:val="000000" w:themeColor="text1"/>
          <w:sz w:val="24"/>
          <w:szCs w:val="24"/>
          <w14:textFill>
            <w14:solidFill>
              <w14:schemeClr w14:val="tx1"/>
            </w14:solidFill>
          </w14:textFill>
        </w:rPr>
      </w:pPr>
      <w:bookmarkStart w:id="706" w:name="_Toc343511817"/>
      <w:r>
        <w:rPr>
          <w:rFonts w:hint="eastAsia" w:ascii="宋体" w:hAnsi="宋体" w:eastAsia="宋体" w:cs="宋体"/>
          <w:color w:val="000000" w:themeColor="text1"/>
          <w:sz w:val="24"/>
          <w:szCs w:val="24"/>
          <w14:textFill>
            <w14:solidFill>
              <w14:schemeClr w14:val="tx1"/>
            </w14:solidFill>
          </w14:textFill>
        </w:rPr>
        <w:t>3.4.1评标委员会按照得分由高到低的顺序推荐前三名为</w:t>
      </w:r>
      <w:bookmarkEnd w:id="706"/>
      <w:r>
        <w:rPr>
          <w:rFonts w:hint="eastAsia" w:ascii="宋体" w:hAnsi="宋体" w:eastAsia="宋体" w:cs="宋体"/>
          <w:color w:val="000000" w:themeColor="text1"/>
          <w:sz w:val="24"/>
          <w:szCs w:val="24"/>
          <w14:textFill>
            <w14:solidFill>
              <w14:schemeClr w14:val="tx1"/>
            </w14:solidFill>
          </w14:textFill>
        </w:rPr>
        <w:t>中标候选投标人。</w:t>
      </w:r>
    </w:p>
    <w:p w14:paraId="3C951E1B">
      <w:pPr>
        <w:keepNext w:val="0"/>
        <w:keepLines w:val="0"/>
        <w:pageBreakBefore w:val="0"/>
        <w:widowControl w:val="0"/>
        <w:kinsoku/>
        <w:wordWrap/>
        <w:topLinePunct w:val="0"/>
        <w:autoSpaceDE/>
        <w:autoSpaceDN/>
        <w:bidi w:val="0"/>
        <w:adjustRightInd/>
        <w:spacing w:line="600" w:lineRule="exact"/>
        <w:ind w:firstLine="4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3.4.2 评标委员会完成评标后，应当向采购人提交书面评标报告。</w:t>
      </w:r>
      <w:bookmarkEnd w:id="486"/>
      <w:bookmarkEnd w:id="487"/>
      <w:bookmarkEnd w:id="488"/>
      <w:bookmarkEnd w:id="489"/>
      <w:bookmarkEnd w:id="490"/>
      <w:bookmarkEnd w:id="491"/>
      <w:bookmarkEnd w:id="492"/>
      <w:bookmarkEnd w:id="656"/>
      <w:bookmarkStart w:id="707" w:name="_Toc1441"/>
      <w:bookmarkStart w:id="708" w:name="_Toc24896"/>
      <w:bookmarkStart w:id="709" w:name="_Toc22517"/>
      <w:bookmarkStart w:id="710" w:name="_Toc30173"/>
      <w:bookmarkStart w:id="711" w:name="_Toc526842116"/>
    </w:p>
    <w:p w14:paraId="17C6DCFF">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4.需要落实的政府采购政策</w:t>
      </w:r>
      <w:bookmarkEnd w:id="707"/>
      <w:bookmarkEnd w:id="708"/>
      <w:bookmarkEnd w:id="709"/>
      <w:bookmarkEnd w:id="710"/>
    </w:p>
    <w:p w14:paraId="1B337CF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12" w:name="_Toc6400"/>
      <w:bookmarkStart w:id="713" w:name="_Toc27288"/>
      <w:bookmarkStart w:id="714" w:name="_Toc5624"/>
      <w:bookmarkStart w:id="715" w:name="_Toc18527"/>
      <w:bookmarkStart w:id="716" w:name="_Toc2330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1.《政府采购促进中小企业发展管理办法》的通知（财库〔2020〕46号）</w:t>
      </w:r>
      <w:bookmarkEnd w:id="712"/>
      <w:bookmarkEnd w:id="71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14"/>
      <w:bookmarkEnd w:id="715"/>
      <w:bookmarkEnd w:id="716"/>
    </w:p>
    <w:p w14:paraId="02DE075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17" w:name="_Toc2618"/>
      <w:bookmarkStart w:id="718" w:name="_Toc26075"/>
      <w:bookmarkStart w:id="719" w:name="_Toc28308"/>
      <w:bookmarkStart w:id="720" w:name="_Toc10056"/>
      <w:bookmarkStart w:id="721" w:name="_Toc15061"/>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在政府采购活动中，供应商提供的货物、工程或者服务符合下列情形的，享受《办法》规定的中小企业扶持政策:</w:t>
      </w:r>
      <w:bookmarkEnd w:id="717"/>
      <w:bookmarkEnd w:id="718"/>
      <w:bookmarkEnd w:id="719"/>
      <w:bookmarkEnd w:id="720"/>
      <w:bookmarkEnd w:id="721"/>
    </w:p>
    <w:p w14:paraId="03C015B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2" w:name="_Toc3750"/>
      <w:bookmarkStart w:id="723" w:name="_Toc13553"/>
      <w:bookmarkStart w:id="724" w:name="_Toc12926"/>
      <w:bookmarkStart w:id="725" w:name="_Toc29610"/>
      <w:bookmarkStart w:id="726" w:name="_Toc13145"/>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(一)在货物采购项目中，货物由中小企业制造，即货物由中小企业生产且使用该中小企业商号或者注册商标；</w:t>
      </w:r>
      <w:bookmarkEnd w:id="722"/>
      <w:bookmarkEnd w:id="723"/>
      <w:bookmarkEnd w:id="724"/>
      <w:bookmarkEnd w:id="725"/>
      <w:bookmarkEnd w:id="726"/>
    </w:p>
    <w:p w14:paraId="34FF4CA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27" w:name="_Toc98"/>
      <w:bookmarkStart w:id="728" w:name="_Toc2212"/>
      <w:bookmarkStart w:id="729" w:name="_Toc10777"/>
      <w:bookmarkStart w:id="730" w:name="_Toc27737"/>
      <w:bookmarkStart w:id="731" w:name="_Toc597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(二)在工程采购项目中，工程由中小企业承建，即工程施工单位为中小企业；</w:t>
      </w:r>
      <w:bookmarkEnd w:id="727"/>
      <w:bookmarkEnd w:id="728"/>
      <w:bookmarkEnd w:id="729"/>
      <w:bookmarkEnd w:id="730"/>
      <w:bookmarkEnd w:id="731"/>
    </w:p>
    <w:p w14:paraId="06D0FCE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2" w:name="_Toc14952"/>
      <w:bookmarkStart w:id="733" w:name="_Toc13181"/>
      <w:bookmarkStart w:id="734" w:name="_Toc31732"/>
      <w:bookmarkStart w:id="735" w:name="_Toc2676"/>
      <w:bookmarkStart w:id="736" w:name="_Toc30603"/>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(三)在服务采购项目中，服务由中小企业承接，即提供服务的人员为中小企业依照《中华人民共和国劳动合同法》订立劳动合同的从业人员。</w:t>
      </w:r>
      <w:bookmarkEnd w:id="732"/>
      <w:bookmarkEnd w:id="733"/>
      <w:bookmarkEnd w:id="734"/>
      <w:bookmarkEnd w:id="735"/>
      <w:bookmarkEnd w:id="736"/>
    </w:p>
    <w:p w14:paraId="262DFDC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37" w:name="_Toc21217"/>
      <w:bookmarkStart w:id="738" w:name="_Toc31982"/>
      <w:bookmarkStart w:id="739" w:name="_Toc9186"/>
      <w:bookmarkStart w:id="740" w:name="_Toc28280"/>
      <w:bookmarkStart w:id="741" w:name="_Toc3111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在货物采购项目中，供应商提供的货物既有中小企业制造货物，也有大型企业制造货物的，不享受《办法》规定的中小企业扶持政策。</w:t>
      </w:r>
      <w:bookmarkEnd w:id="737"/>
      <w:bookmarkEnd w:id="738"/>
      <w:bookmarkEnd w:id="739"/>
      <w:bookmarkEnd w:id="740"/>
      <w:bookmarkEnd w:id="741"/>
    </w:p>
    <w:p w14:paraId="33CDB6D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2" w:name="_Toc6020"/>
      <w:bookmarkStart w:id="743" w:name="_Toc23925"/>
      <w:bookmarkStart w:id="744" w:name="_Toc12766"/>
      <w:bookmarkStart w:id="745" w:name="_Toc28678"/>
      <w:bookmarkStart w:id="746" w:name="_Toc1843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以联合体形式参加政府采购活动，联合体各方均为中小企业的，联合体视同中小企业。其中，联合体各方均为小微企业的，联合体视同小微企业。</w:t>
      </w:r>
      <w:bookmarkEnd w:id="742"/>
      <w:bookmarkEnd w:id="743"/>
      <w:bookmarkEnd w:id="744"/>
      <w:bookmarkEnd w:id="745"/>
      <w:bookmarkEnd w:id="746"/>
    </w:p>
    <w:p w14:paraId="7C11615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47" w:name="_Toc9423"/>
      <w:bookmarkStart w:id="748" w:name="_Toc17492"/>
      <w:bookmarkStart w:id="749" w:name="_Toc24099"/>
      <w:bookmarkStart w:id="750" w:name="_Toc28971"/>
      <w:bookmarkStart w:id="751" w:name="_Toc184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依据《办法》规定享受扶持政策获得政府采购合同的，小微企业不得将合同分包给大中型企业，中型企业不得将合同分包给大型企业。</w:t>
      </w:r>
      <w:bookmarkEnd w:id="747"/>
      <w:bookmarkEnd w:id="748"/>
      <w:bookmarkEnd w:id="749"/>
      <w:bookmarkEnd w:id="750"/>
      <w:bookmarkEnd w:id="751"/>
    </w:p>
    <w:p w14:paraId="6229CFE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2" w:name="_Toc7194"/>
      <w:bookmarkStart w:id="753" w:name="_Toc4775"/>
      <w:bookmarkStart w:id="754" w:name="_Toc26091"/>
      <w:bookmarkStart w:id="755" w:name="_Toc26502"/>
      <w:bookmarkStart w:id="756" w:name="_Toc1281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752"/>
      <w:bookmarkEnd w:id="753"/>
      <w:bookmarkEnd w:id="754"/>
      <w:bookmarkEnd w:id="755"/>
      <w:bookmarkEnd w:id="756"/>
    </w:p>
    <w:p w14:paraId="491FF75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57" w:name="_Toc4731"/>
      <w:bookmarkStart w:id="758" w:name="_Toc29579"/>
      <w:bookmarkStart w:id="759" w:name="_Toc2963"/>
      <w:bookmarkStart w:id="760" w:name="_Toc10392"/>
      <w:bookmarkStart w:id="761" w:name="_Toc2849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评标委员会根据《政府采购促进中小企业发展管理办法》的通知（财库〔2020〕46号）、《财政部关于进一步加大政府采购支持中小企业力度的通知》（财库〔2022〕19号）的相关规定，小微企业报价给予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757"/>
      <w:bookmarkEnd w:id="758"/>
      <w:bookmarkEnd w:id="759"/>
      <w:bookmarkEnd w:id="760"/>
      <w:bookmarkEnd w:id="761"/>
    </w:p>
    <w:p w14:paraId="624CBE1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62" w:name="_Toc2434"/>
      <w:bookmarkStart w:id="763" w:name="_Toc11983"/>
      <w:bookmarkStart w:id="764" w:name="_Toc12101"/>
      <w:bookmarkStart w:id="765" w:name="_Toc10033"/>
      <w:bookmarkStart w:id="766" w:name="_Toc2555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762"/>
      <w:bookmarkEnd w:id="763"/>
      <w:bookmarkEnd w:id="764"/>
      <w:bookmarkEnd w:id="765"/>
      <w:bookmarkEnd w:id="766"/>
    </w:p>
    <w:p w14:paraId="475D05DD">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在政府采购活动中，残疾人福利性单位、监狱企业视同小型、微型企业，不重复享受政策。</w:t>
      </w:r>
    </w:p>
    <w:p w14:paraId="648BC5C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67" w:name="_Toc12159"/>
      <w:bookmarkStart w:id="768" w:name="_Toc10110"/>
      <w:bookmarkStart w:id="769" w:name="_Toc22642"/>
      <w:bookmarkStart w:id="770" w:name="_Toc12743"/>
      <w:bookmarkStart w:id="771" w:name="_Toc5526"/>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2.财政部司法部关于政府采购支持监狱企业发展有关问题的通知—财库〔2014〕68号</w:t>
      </w:r>
      <w:bookmarkEnd w:id="767"/>
      <w:bookmarkEnd w:id="768"/>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 xml:space="preserve"> 。</w:t>
      </w:r>
      <w:bookmarkEnd w:id="769"/>
      <w:bookmarkEnd w:id="770"/>
      <w:bookmarkEnd w:id="771"/>
    </w:p>
    <w:p w14:paraId="5728EE0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2" w:name="_Toc11710"/>
      <w:bookmarkStart w:id="773" w:name="_Toc13779"/>
      <w:bookmarkStart w:id="774" w:name="_Toc11892"/>
      <w:bookmarkStart w:id="775" w:name="_Toc4382"/>
      <w:bookmarkStart w:id="776" w:name="_Toc14358"/>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772"/>
      <w:bookmarkEnd w:id="773"/>
      <w:bookmarkEnd w:id="774"/>
      <w:bookmarkEnd w:id="775"/>
      <w:bookmarkEnd w:id="776"/>
    </w:p>
    <w:p w14:paraId="1B22045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77" w:name="_Toc10867"/>
      <w:bookmarkStart w:id="778" w:name="_Toc14231"/>
      <w:bookmarkStart w:id="779" w:name="_Toc5219"/>
      <w:bookmarkStart w:id="780" w:name="_Toc32315"/>
      <w:bookmarkStart w:id="781" w:name="_Toc30736"/>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评标委员会对监狱企业的价格给予</w:t>
      </w:r>
      <w:r>
        <w:rPr>
          <w:rFonts w:hint="eastAsia" w:ascii="宋体" w:hAnsi="宋体" w:cs="宋体"/>
          <w:b w:val="0"/>
          <w:bCs/>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0%的扣除，用扣除后的价格参与评审。</w:t>
      </w:r>
      <w:bookmarkEnd w:id="777"/>
      <w:bookmarkEnd w:id="778"/>
      <w:bookmarkEnd w:id="779"/>
      <w:bookmarkEnd w:id="780"/>
      <w:bookmarkEnd w:id="781"/>
    </w:p>
    <w:p w14:paraId="5BFE852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82" w:name="_Toc15904"/>
      <w:bookmarkStart w:id="783" w:name="_Toc14589"/>
      <w:bookmarkStart w:id="784" w:name="_Toc30515"/>
      <w:bookmarkStart w:id="785" w:name="_Toc20450"/>
      <w:bookmarkStart w:id="786" w:name="_Toc1859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3.《国务院办公厅关于建立政府强制采购节能产品制度的通知》—国办发〔2007〕51号</w:t>
      </w:r>
      <w:bookmarkEnd w:id="782"/>
      <w:bookmarkEnd w:id="783"/>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84"/>
      <w:bookmarkEnd w:id="785"/>
      <w:bookmarkEnd w:id="786"/>
    </w:p>
    <w:p w14:paraId="7EC4C90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87" w:name="_Toc11339"/>
      <w:bookmarkStart w:id="788" w:name="_Toc16954"/>
      <w:bookmarkStart w:id="789" w:name="_Toc19432"/>
      <w:bookmarkStart w:id="790" w:name="_Toc2076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各级政府机构使用财政性资金进行政府采购活动时，在技术、服务等指标满足采购需求的前提下，要优先采购节能产品，对部分节能效果、性能等达到要求的产品，实行强制采购。</w:t>
      </w:r>
      <w:bookmarkEnd w:id="787"/>
      <w:bookmarkEnd w:id="788"/>
      <w:bookmarkEnd w:id="789"/>
      <w:bookmarkEnd w:id="790"/>
    </w:p>
    <w:p w14:paraId="3C210018">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4.《关于印发环境标志产品政府采购品目清单的通知》（财库〔2019〕18号）</w:t>
      </w:r>
    </w:p>
    <w:p w14:paraId="3DFCA3F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根据</w:t>
      </w:r>
      <w:r>
        <w:rPr>
          <w:rFonts w:hint="eastAsia" w:ascii="宋体" w:hAnsi="宋体" w:eastAsia="宋体" w:cs="宋体"/>
          <w:bCs/>
          <w:color w:val="000000" w:themeColor="text1"/>
          <w:sz w:val="24"/>
          <w:szCs w:val="24"/>
          <w:lang w:val="en-US" w:eastAsia="zh-CN"/>
          <w14:textFill>
            <w14:solidFill>
              <w14:schemeClr w14:val="tx1"/>
            </w14:solidFill>
          </w14:textFill>
        </w:rPr>
        <w:t>《关于印发环境标志产品政府采购品目清单的通知》（财库〔2019〕18号）、《财政部发展改革委 生态环境部 市场监管总局关于调整优化节能产品 环境标志产品政府采购执行机制的通知》（财库〔2019〕9号）</w:t>
      </w:r>
      <w:r>
        <w:rPr>
          <w:rFonts w:hint="eastAsia" w:ascii="宋体" w:hAnsi="宋体" w:eastAsia="宋体" w:cs="宋体"/>
          <w:bCs/>
          <w:color w:val="000000" w:themeColor="text1"/>
          <w:sz w:val="24"/>
          <w:szCs w:val="24"/>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宋体" w:hAnsi="宋体" w:eastAsia="宋体" w:cs="宋体"/>
          <w:bCs/>
          <w:color w:val="000000" w:themeColor="text1"/>
          <w:sz w:val="24"/>
          <w:szCs w:val="24"/>
          <w:lang w:eastAsia="zh-CN"/>
          <w14:textFill>
            <w14:solidFill>
              <w14:schemeClr w14:val="tx1"/>
            </w14:solidFill>
          </w14:textFill>
        </w:rPr>
        <w:t>。</w:t>
      </w:r>
    </w:p>
    <w:p w14:paraId="592DAAE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sz w:val="24"/>
          <w:szCs w:val="24"/>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5.《关于印发节能产品政府采购品目清单的通知》（财库〔2019〕19号）</w:t>
      </w:r>
      <w:r>
        <w:rPr>
          <w:rFonts w:hint="eastAsia" w:ascii="宋体" w:hAnsi="宋体" w:eastAsia="宋体" w:cs="宋体"/>
          <w:b/>
          <w:bCs w:val="0"/>
          <w:color w:val="000000" w:themeColor="text1"/>
          <w:sz w:val="24"/>
          <w:szCs w:val="24"/>
          <w14:textFill>
            <w14:solidFill>
              <w14:schemeClr w14:val="tx1"/>
            </w14:solidFill>
          </w14:textFill>
        </w:rPr>
        <w:t xml:space="preserve"> </w:t>
      </w:r>
    </w:p>
    <w:p w14:paraId="1491BAA6">
      <w:pPr>
        <w:pStyle w:val="93"/>
        <w:keepNext w:val="0"/>
        <w:keepLines w:val="0"/>
        <w:pageBreakBefore w:val="0"/>
        <w:widowControl w:val="0"/>
        <w:kinsoku/>
        <w:wordWrap/>
        <w:topLinePunct w:val="0"/>
        <w:autoSpaceDE/>
        <w:autoSpaceDN/>
        <w:bidi w:val="0"/>
        <w:adjustRightInd/>
        <w:spacing w:line="600" w:lineRule="exact"/>
        <w:ind w:firstLine="480" w:firstLineChars="200"/>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val="0"/>
          <w:bCs/>
          <w:color w:val="000000" w:themeColor="text1"/>
          <w:sz w:val="24"/>
          <w:szCs w:val="24"/>
          <w:lang w:eastAsia="zh-CN"/>
          <w14:textFill>
            <w14:solidFill>
              <w14:schemeClr w14:val="tx1"/>
            </w14:solidFill>
          </w14:textFill>
        </w:rPr>
        <w:t>根据</w:t>
      </w:r>
      <w:r>
        <w:rPr>
          <w:rFonts w:hint="eastAsia" w:ascii="宋体" w:hAnsi="宋体" w:eastAsia="宋体" w:cs="宋体"/>
          <w:b w:val="0"/>
          <w:bCs/>
          <w:color w:val="000000" w:themeColor="text1"/>
          <w:sz w:val="24"/>
          <w:szCs w:val="24"/>
          <w:lang w:val="en-US" w:eastAsia="zh-CN"/>
          <w14:textFill>
            <w14:solidFill>
              <w14:schemeClr w14:val="tx1"/>
            </w14:solidFill>
          </w14:textFill>
        </w:rPr>
        <w:t>《关于印发节能产品政府采购品目清单的通知》（财库〔2019〕19号）、《财政部发展改革委 生态环境部 市场监管总局关于调整优化节能产品 环境标志产品政府采购执行机制的通知》（财库〔2019〕9号）</w:t>
      </w:r>
      <w:r>
        <w:rPr>
          <w:rFonts w:hint="eastAsia" w:ascii="宋体" w:hAnsi="宋体" w:eastAsia="宋体" w:cs="宋体"/>
          <w:b w:val="0"/>
          <w:bCs/>
          <w:color w:val="000000" w:themeColor="text1"/>
          <w:sz w:val="24"/>
          <w:szCs w:val="24"/>
          <w:lang w:eastAsia="zh-CN"/>
          <w14:textFill>
            <w14:solidFill>
              <w14:schemeClr w14:val="tx1"/>
            </w14:solidFill>
          </w14:textFill>
        </w:rPr>
        <w:t>规定，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603CDE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bookmarkStart w:id="791" w:name="_Toc17122"/>
      <w:bookmarkStart w:id="792" w:name="_Toc5700"/>
      <w:bookmarkStart w:id="793" w:name="_Toc24583"/>
      <w:bookmarkStart w:id="794" w:name="_Toc18923"/>
      <w:bookmarkStart w:id="795" w:name="_Toc27955"/>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6.《关于促进残疾人就业政府采购政策的通知》财库〔2017〕141号</w:t>
      </w:r>
      <w:bookmarkEnd w:id="791"/>
      <w:bookmarkEnd w:id="79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793"/>
      <w:bookmarkEnd w:id="794"/>
      <w:bookmarkEnd w:id="795"/>
    </w:p>
    <w:p w14:paraId="2004381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796" w:name="_Toc22172"/>
      <w:bookmarkStart w:id="797" w:name="_Toc28713"/>
      <w:bookmarkStart w:id="798" w:name="_Toc30234"/>
      <w:bookmarkStart w:id="799" w:name="_Toc1750"/>
      <w:bookmarkStart w:id="800" w:name="_Toc24922"/>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福利企业参加政府采购活动时，应当提供市级以上民政局、财政局、残联部门出具的福利性企业的证明文件。</w:t>
      </w:r>
      <w:bookmarkEnd w:id="796"/>
      <w:bookmarkEnd w:id="797"/>
      <w:bookmarkEnd w:id="798"/>
      <w:bookmarkEnd w:id="799"/>
      <w:bookmarkEnd w:id="800"/>
    </w:p>
    <w:p w14:paraId="542802B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1" w:name="_Toc14226"/>
      <w:bookmarkStart w:id="802" w:name="_Toc20174"/>
      <w:bookmarkStart w:id="803" w:name="_Toc24373"/>
      <w:bookmarkStart w:id="804" w:name="_Toc8691"/>
      <w:bookmarkStart w:id="805" w:name="_Toc27107"/>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7.陕西省财政厅关于印发《陕西省中小企业政府采购信用融资办法》（陕财办采〔2018〕23号）</w:t>
      </w:r>
      <w:bookmarkEnd w:id="801"/>
      <w:bookmarkEnd w:id="802"/>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w:t>
      </w:r>
      <w:bookmarkEnd w:id="803"/>
      <w:bookmarkEnd w:id="804"/>
      <w:bookmarkEnd w:id="805"/>
    </w:p>
    <w:p w14:paraId="08A7A56A">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bookmarkStart w:id="806" w:name="_Toc1696"/>
      <w:bookmarkStart w:id="807" w:name="_Toc802"/>
      <w:bookmarkStart w:id="808" w:name="_Toc2902"/>
      <w:bookmarkStart w:id="809" w:name="_Toc2203"/>
      <w:bookmarkStart w:id="810" w:name="_Toc26044"/>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806"/>
      <w:bookmarkEnd w:id="807"/>
      <w:bookmarkEnd w:id="808"/>
      <w:bookmarkEnd w:id="809"/>
      <w:bookmarkEnd w:id="810"/>
    </w:p>
    <w:p w14:paraId="405E158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ascii="宋体" w:hAnsi="宋体" w:cs="宋体"/>
          <w:b/>
          <w:color w:val="000000" w:themeColor="text1"/>
          <w:sz w:val="24"/>
          <w:szCs w:val="24"/>
          <w14:textFill>
            <w14:solidFill>
              <w14:schemeClr w14:val="tx1"/>
            </w14:solidFill>
          </w14:textFill>
        </w:rPr>
      </w:pPr>
      <w:bookmarkStart w:id="811" w:name="_Toc4872"/>
      <w:bookmarkStart w:id="812" w:name="_Toc30311"/>
      <w:bookmarkStart w:id="813" w:name="_Toc29619"/>
      <w:bookmarkStart w:id="814" w:name="_Toc6798"/>
      <w:bookmarkStart w:id="815" w:name="_Toc31707"/>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网址：http://www.ccgp-shaanxi.gov.cn/zcdservice/zcd/shanxi/</w:t>
      </w:r>
      <w:bookmarkEnd w:id="811"/>
      <w:bookmarkEnd w:id="812"/>
      <w:bookmarkEnd w:id="813"/>
      <w:bookmarkEnd w:id="814"/>
      <w:bookmarkEnd w:id="815"/>
    </w:p>
    <w:p w14:paraId="48DD9B6F">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2" w:firstLineChars="200"/>
        <w:jc w:val="both"/>
        <w:textAlignment w:val="auto"/>
        <w:outlineLvl w:val="9"/>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8.国务院办公厅印发《关于在政府采购中实施本国产品标准及相关政策的通知》国办发〔2025〕34号。</w:t>
      </w:r>
    </w:p>
    <w:p w14:paraId="602E2090">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本国产品应当符合以下条件：</w:t>
      </w:r>
    </w:p>
    <w:p w14:paraId="4FFD39B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（一）在中国境内生产</w:t>
      </w:r>
    </w:p>
    <w:p w14:paraId="28E4E34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应当在中国境内生产，即在中华人民共和国关境内实现从原材料、组件到产品的属性改变。属性改变是指经过制造、加工或者组装等工序，产生完全不同于原材料、组件的新产品，并具有新的名称和特征（用途）。属性改变不包括以下细微操作：</w:t>
      </w:r>
    </w:p>
    <w:p w14:paraId="563F2D93">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1.为确保产品在运输或者储存期间保持某种状态而进行的操作；</w:t>
      </w:r>
    </w:p>
    <w:p w14:paraId="5BFC5F4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2.为产品运输或者销售进行的包装或者展示；</w:t>
      </w:r>
    </w:p>
    <w:p w14:paraId="7D5E88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3.在产品或者其包装上粘贴或者印刷品牌、标志、标识以及其他用于区别的标记；</w:t>
      </w:r>
    </w:p>
    <w:p w14:paraId="61A7D0F4">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4.简单的上漆、磨光和分装；</w:t>
      </w:r>
    </w:p>
    <w:p w14:paraId="33427092">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5.其他不属于属性改变的情形。</w:t>
      </w:r>
    </w:p>
    <w:p w14:paraId="2D2E88B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（二）在中国境内生产的组件成本占比达到规定比例</w:t>
      </w:r>
    </w:p>
    <w:p w14:paraId="68439D7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产品在中国境内生产的组件成本占比应当达到规定比例，计算公式为：</w:t>
      </w:r>
    </w:p>
    <w:p w14:paraId="34550700">
      <w:pPr>
        <w:pStyle w:val="113"/>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drawing>
          <wp:anchor distT="0" distB="0" distL="114300" distR="114300" simplePos="0" relativeHeight="251659264" behindDoc="0" locked="0" layoutInCell="1" allowOverlap="1">
            <wp:simplePos x="0" y="0"/>
            <wp:positionH relativeFrom="column">
              <wp:posOffset>47625</wp:posOffset>
            </wp:positionH>
            <wp:positionV relativeFrom="paragraph">
              <wp:posOffset>274320</wp:posOffset>
            </wp:positionV>
            <wp:extent cx="5528310" cy="611505"/>
            <wp:effectExtent l="0" t="0" r="15240" b="17145"/>
            <wp:wrapSquare wrapText="bothSides"/>
            <wp:docPr id="3" name="图片 3" descr="W020250930645245947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W020250930645245947614"/>
                    <pic:cNvPicPr>
                      <a:picLocks noChangeAspect="1"/>
                    </pic:cNvPicPr>
                  </pic:nvPicPr>
                  <pic:blipFill>
                    <a:blip r:embed="rId19"/>
                    <a:stretch>
                      <a:fillRect/>
                    </a:stretch>
                  </pic:blipFill>
                  <pic:spPr>
                    <a:xfrm>
                      <a:off x="0" y="0"/>
                      <a:ext cx="5528310" cy="611505"/>
                    </a:xfrm>
                    <a:prstGeom prst="rect">
                      <a:avLst/>
                    </a:prstGeom>
                    <a:noFill/>
                    <a:ln>
                      <a:noFill/>
                    </a:ln>
                  </pic:spPr>
                </pic:pic>
              </a:graphicData>
            </a:graphic>
          </wp:anchor>
        </w:drawing>
      </w:r>
    </w:p>
    <w:p w14:paraId="187B51A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212E982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（三）特定产品的关键组件、关键工序符合相关要求</w:t>
      </w:r>
    </w:p>
    <w:p w14:paraId="2F4B9EE7">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对特定产品，在符合本通知第一条第（一）项和第（二）项条件的基础上，应当符合财政部会同有关行业主管部门确定的其关键组件、关键工序在中国境内生产、完成等要求。</w:t>
      </w:r>
    </w:p>
    <w:p w14:paraId="24E4D08C">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 xml:space="preserve"> 本国产品标准的适用范围</w:t>
      </w:r>
    </w:p>
    <w:p w14:paraId="518ADE3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CEFFB19">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对本国产品的支持政策</w:t>
      </w:r>
    </w:p>
    <w:p w14:paraId="2BBA7AF5">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政府采购活动中既有本国产品又有非本国产品参与竞争的，依法对本国产品给予价格评审优惠，对本国产品的报价给予20%的价格扣除，用扣除后的价格参与评审。</w:t>
      </w:r>
    </w:p>
    <w:p w14:paraId="42CDCC86">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ABE63EB">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有关证明文件</w:t>
      </w:r>
    </w:p>
    <w:p w14:paraId="7564B831">
      <w:pPr>
        <w:keepNext w:val="0"/>
        <w:keepLines w:val="0"/>
        <w:pageBreakBefore w:val="0"/>
        <w:widowControl w:val="0"/>
        <w:tabs>
          <w:tab w:val="left" w:pos="1575"/>
        </w:tabs>
        <w:kinsoku/>
        <w:wordWrap/>
        <w:overflowPunct w:val="0"/>
        <w:topLinePunct w:val="0"/>
        <w:autoSpaceDE/>
        <w:autoSpaceDN/>
        <w:bidi w:val="0"/>
        <w:adjustRightInd/>
        <w:snapToGrid/>
        <w:spacing w:beforeAutospacing="0" w:afterAutospacing="0" w:line="600" w:lineRule="exact"/>
        <w:ind w:firstLine="480" w:firstLineChars="200"/>
        <w:jc w:val="both"/>
        <w:textAlignment w:val="auto"/>
        <w:outlineLvl w:val="9"/>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供应商提供产品符合《国务院办公厅关于在政府采购中实施本国产品标准及相关政策的通知》（国办发〔2025〕34号）本国产品相关规定的，提供《关于符合本国产品标准的声明函》（格式见本招标文件第七章，以下简称《声明函》）或财政部会同有关部门规定的有关证明文件，该产品视为本国产品。供应商提供虚假《声明函》、虚假证明文件谋取中标、成交的，依照《中华人民共和国政府采购法》等法律法规规定追究相应责任。</w:t>
      </w:r>
    </w:p>
    <w:p w14:paraId="0EF830D7">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3858A872">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5BBA1EBC">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45D4581C">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709E3286">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C324024">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3B2EFDD">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06CF363">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p>
    <w:p w14:paraId="21919191">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附件A:废标条件</w:t>
      </w:r>
      <w:bookmarkEnd w:id="711"/>
    </w:p>
    <w:p w14:paraId="4CF0DB62">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废 标 条 件</w:t>
      </w:r>
    </w:p>
    <w:p w14:paraId="07D8A891">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A0. 总  则</w:t>
      </w:r>
    </w:p>
    <w:p w14:paraId="6BDC87C5">
      <w:pPr>
        <w:pageBreakBefore w:val="0"/>
        <w:widowControl w:val="0"/>
        <w:wordWrap/>
        <w:overflowPunct/>
        <w:topLinePunct w:val="0"/>
        <w:autoSpaceDE/>
        <w:autoSpaceDN/>
        <w:bidi w:val="0"/>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3E4BFFD2">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A1. 否决投标条件</w:t>
      </w:r>
    </w:p>
    <w:p w14:paraId="7E8639A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供应商或其投标文件有下列情形之一的，否决其投标：</w:t>
      </w:r>
    </w:p>
    <w:p w14:paraId="65CE2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（1）投标单位未经过正常渠道领取招标文件，或投标单位名称与领取招标文件时登记的投标单位名称不符的；</w:t>
      </w:r>
    </w:p>
    <w:p w14:paraId="50DB8B0D">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（2）未按招标文件规定要求签署、盖章的；无响应有效期或有效期达不到招标文件要求的；</w:t>
      </w:r>
    </w:p>
    <w:p w14:paraId="66A226DA">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（3）投标文件未按照投标文件格式及内容要求填写的；</w:t>
      </w:r>
    </w:p>
    <w:p w14:paraId="78C7250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（4）投标单位针对同一项目递交两份或多份内容不同的投标文件，未书面声明哪一份是有效的或出现选择性报价的；</w:t>
      </w:r>
    </w:p>
    <w:p w14:paraId="64C01D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（5）未按招标文件要求提供资格证明文件原件或提供的原件缺项；</w:t>
      </w:r>
    </w:p>
    <w:p w14:paraId="4780FA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（6）提供虚假资质、虚假证明（包括第三方提供的虚假证明）的，除按无效文件处理外，还将按照有关规定进行处罚；</w:t>
      </w:r>
    </w:p>
    <w:p w14:paraId="0115667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（7）附有采购人、采购代理机构不能接受的条款和商务响应方面（付款条件、</w:t>
      </w:r>
      <w:r>
        <w:rPr>
          <w:rFonts w:hint="eastAsia" w:ascii="宋体" w:hAnsi="宋体" w:eastAsia="宋体" w:cs="宋体"/>
          <w:color w:val="000000" w:themeColor="text1"/>
          <w:spacing w:val="4"/>
          <w:sz w:val="24"/>
          <w:szCs w:val="24"/>
          <w:lang w:eastAsia="zh-CN"/>
          <w14:textFill>
            <w14:solidFill>
              <w14:schemeClr w14:val="tx1"/>
            </w14:solidFill>
          </w14:textFill>
        </w:rPr>
        <w:t>服务期限</w:t>
      </w:r>
      <w:r>
        <w:rPr>
          <w:rFonts w:hint="eastAsia" w:ascii="宋体" w:hAnsi="宋体" w:eastAsia="宋体" w:cs="宋体"/>
          <w:color w:val="000000" w:themeColor="text1"/>
          <w:spacing w:val="4"/>
          <w:sz w:val="24"/>
          <w:szCs w:val="24"/>
          <w14:textFill>
            <w14:solidFill>
              <w14:schemeClr w14:val="tx1"/>
            </w14:solidFill>
          </w14:textFill>
        </w:rPr>
        <w:t>）与招标文件要求不一致的；</w:t>
      </w:r>
    </w:p>
    <w:p w14:paraId="42A20212">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（8）在政府采购或其它重大项目履约过程中有不良记录，不能按期履约的；</w:t>
      </w:r>
    </w:p>
    <w:p w14:paraId="0A82307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（9）投标报价与市场价偏离较大，低于成本，形成不正当竞争的；</w:t>
      </w:r>
    </w:p>
    <w:p w14:paraId="5274A8F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（10）有重大缺漏项的；</w:t>
      </w:r>
    </w:p>
    <w:p w14:paraId="18F56A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（11）以他人名义进行投标的；</w:t>
      </w:r>
    </w:p>
    <w:p w14:paraId="057CDDE7">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（12）供应商无法定代表人授权书或其授权书的有效性不符合招标文件规定的；</w:t>
      </w:r>
    </w:p>
    <w:p w14:paraId="5778FA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（13）供应商有串通投标、弄虚作假、行贿等违法行为的。</w:t>
      </w:r>
    </w:p>
    <w:p w14:paraId="4977ADD3">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（14）投标内容不完整；</w:t>
      </w:r>
    </w:p>
    <w:p w14:paraId="04B9961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（15）供应商的商务响应达不到招标文件要求；</w:t>
      </w:r>
    </w:p>
    <w:p w14:paraId="26DFE12F">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（16）不按评标委员会要求澄清、说明或补正的。</w:t>
      </w:r>
    </w:p>
    <w:p w14:paraId="24947FC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（17）评标委员会认定供应商以低于成本报价竞标的。</w:t>
      </w:r>
    </w:p>
    <w:p w14:paraId="2E07FE6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（18）提供的投标文件电子版不能正常参与评标的。</w:t>
      </w:r>
    </w:p>
    <w:p w14:paraId="1CB86F7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（19）其他经评标委员会确认的未能实质性响应招标文件要求的。</w:t>
      </w:r>
    </w:p>
    <w:p w14:paraId="4A1A688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（20）投标文件电子版无法打开或主要内容无法显示，影响正常评标。</w:t>
      </w:r>
    </w:p>
    <w:p w14:paraId="6F87A5D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（21）未按时缴纳投标保证金的。</w:t>
      </w:r>
    </w:p>
    <w:p w14:paraId="32D4EF66">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A2 . 串通投标</w:t>
      </w:r>
    </w:p>
    <w:p w14:paraId="2BB81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有下列情形之一的，属于投标人相互串通投标：</w:t>
      </w:r>
    </w:p>
    <w:p w14:paraId="09B8609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（1）投标人之间协商投标报价等投标文件的实质性内容；</w:t>
      </w:r>
    </w:p>
    <w:p w14:paraId="2BB6456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（2）投标人之间约定</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投标人；</w:t>
      </w:r>
    </w:p>
    <w:p w14:paraId="69F62F3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（3）投标人之间约定部分投标人放弃投标或者</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w:t>
      </w:r>
    </w:p>
    <w:p w14:paraId="3E70942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（4）属于同一集团、协会、商会等组织成员的投标人按照该组织要求协同投标；</w:t>
      </w:r>
    </w:p>
    <w:p w14:paraId="6144B2B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（5）投标人之间为谋</w:t>
      </w:r>
      <w:r>
        <w:rPr>
          <w:rFonts w:hint="eastAsia" w:ascii="宋体" w:hAnsi="宋体" w:eastAsia="宋体" w:cs="宋体"/>
          <w:color w:val="000000" w:themeColor="text1"/>
          <w:spacing w:val="4"/>
          <w:sz w:val="24"/>
          <w:szCs w:val="24"/>
          <w:lang w:eastAsia="zh-CN"/>
          <w14:textFill>
            <w14:solidFill>
              <w14:schemeClr w14:val="tx1"/>
            </w14:solidFill>
          </w14:textFill>
        </w:rPr>
        <w:t>中标</w:t>
      </w:r>
      <w:r>
        <w:rPr>
          <w:rFonts w:hint="eastAsia" w:ascii="宋体" w:hAnsi="宋体" w:eastAsia="宋体" w:cs="宋体"/>
          <w:color w:val="000000" w:themeColor="text1"/>
          <w:spacing w:val="4"/>
          <w:sz w:val="24"/>
          <w:szCs w:val="24"/>
          <w14:textFill>
            <w14:solidFill>
              <w14:schemeClr w14:val="tx1"/>
            </w14:solidFill>
          </w14:textFill>
        </w:rPr>
        <w:t>或者排斥特定投标人而采取的其他联合行动。</w:t>
      </w:r>
    </w:p>
    <w:p w14:paraId="75322C58">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有下列情形之一的，视为投标人相互串通投标：</w:t>
      </w:r>
    </w:p>
    <w:p w14:paraId="6FC9A271">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（1）不同投标人的投标文件由同一单位或者个人编制；</w:t>
      </w:r>
    </w:p>
    <w:p w14:paraId="3A6FFE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（2）不同投标人委托同一单位或者个人办理投标事宜；</w:t>
      </w:r>
    </w:p>
    <w:p w14:paraId="6E45B506">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（3）不同投标人的投标文件载明的项目管理成员为同一人；</w:t>
      </w:r>
    </w:p>
    <w:p w14:paraId="5C520E0B">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（4）不同投标人的投标文件异常一致或者投标报价呈规律性差异；</w:t>
      </w:r>
    </w:p>
    <w:p w14:paraId="5F34A2C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（5）不同投标人的投标文件相互混装；</w:t>
      </w:r>
    </w:p>
    <w:p w14:paraId="42B97FE9">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（6）不同投标人的投标保证金从同一单位或者个人的账户转出。</w:t>
      </w:r>
    </w:p>
    <w:p w14:paraId="7901F4C3">
      <w:pPr>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A3. 弄虚作假</w:t>
      </w:r>
    </w:p>
    <w:p w14:paraId="0E22EE3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投标人有下列情形之一的，属于弄虚作假的行为：</w:t>
      </w:r>
    </w:p>
    <w:p w14:paraId="5E59E8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1</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使用伪造、变造的许可证件；</w:t>
      </w:r>
    </w:p>
    <w:p w14:paraId="71C0A8DC">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2</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提供虚假的财务状况或者业绩；</w:t>
      </w:r>
    </w:p>
    <w:p w14:paraId="7B455015">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3</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提供虚假的项目负责人或者技术人员简历、劳动关系证明；</w:t>
      </w:r>
    </w:p>
    <w:p w14:paraId="28923050">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4</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提供虚假的信用状况；</w:t>
      </w:r>
    </w:p>
    <w:p w14:paraId="304B124E">
      <w:pPr>
        <w:keepNext w:val="0"/>
        <w:keepLines w:val="0"/>
        <w:pageBreakBefore w:val="0"/>
        <w:widowControl w:val="0"/>
        <w:kinsoku/>
        <w:wordWrap/>
        <w:overflowPunct/>
        <w:topLinePunct w:val="0"/>
        <w:autoSpaceDE/>
        <w:autoSpaceDN/>
        <w:bidi w:val="0"/>
        <w:adjustRightInd/>
        <w:snapToGrid/>
        <w:spacing w:line="600" w:lineRule="exact"/>
        <w:ind w:firstLine="496" w:firstLineChars="200"/>
        <w:textAlignment w:val="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lang w:val="en-US" w:eastAsia="zh-CN"/>
          <w14:textFill>
            <w14:solidFill>
              <w14:schemeClr w14:val="tx1"/>
            </w14:solidFill>
          </w14:textFill>
        </w:rPr>
        <w:t>5</w:t>
      </w:r>
      <w:r>
        <w:rPr>
          <w:rFonts w:hint="eastAsia" w:ascii="宋体" w:hAnsi="宋体" w:eastAsia="宋体" w:cs="宋体"/>
          <w:color w:val="000000" w:themeColor="text1"/>
          <w:spacing w:val="4"/>
          <w:sz w:val="24"/>
          <w:szCs w:val="24"/>
          <w:lang w:eastAsia="zh-CN"/>
          <w14:textFill>
            <w14:solidFill>
              <w14:schemeClr w14:val="tx1"/>
            </w14:solidFill>
          </w14:textFill>
        </w:rPr>
        <w:t>）</w:t>
      </w:r>
      <w:r>
        <w:rPr>
          <w:rFonts w:hint="eastAsia" w:ascii="宋体" w:hAnsi="宋体" w:eastAsia="宋体" w:cs="宋体"/>
          <w:color w:val="000000" w:themeColor="text1"/>
          <w:spacing w:val="4"/>
          <w:sz w:val="24"/>
          <w:szCs w:val="24"/>
          <w14:textFill>
            <w14:solidFill>
              <w14:schemeClr w14:val="tx1"/>
            </w14:solidFill>
          </w14:textFill>
        </w:rPr>
        <w:t xml:space="preserve"> 其他弄虚作假的行为。</w:t>
      </w:r>
    </w:p>
    <w:p w14:paraId="267991E3">
      <w:pPr>
        <w:pStyle w:val="5"/>
        <w:pageBreakBefore w:val="0"/>
        <w:widowControl w:val="0"/>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493"/>
    <w:bookmarkEnd w:id="494"/>
    <w:bookmarkEnd w:id="495"/>
    <w:p w14:paraId="2981D78C">
      <w:pPr>
        <w:pStyle w:val="2"/>
        <w:pageBreakBefore w:val="0"/>
        <w:widowControl w:val="0"/>
        <w:numPr>
          <w:ilvl w:val="0"/>
          <w:numId w:val="0"/>
        </w:numPr>
        <w:wordWrap/>
        <w:overflowPunct/>
        <w:topLinePunct w:val="0"/>
        <w:autoSpaceDE/>
        <w:autoSpaceDN/>
        <w:bidi w:val="0"/>
        <w:spacing w:before="0" w:after="0" w:line="600" w:lineRule="exact"/>
        <w:jc w:val="center"/>
        <w:textAlignment w:val="auto"/>
        <w:rPr>
          <w:rFonts w:hint="eastAsia" w:ascii="宋体" w:hAnsi="宋体" w:eastAsia="宋体" w:cs="宋体"/>
          <w:color w:val="000000" w:themeColor="text1"/>
          <w:sz w:val="30"/>
          <w:szCs w:val="30"/>
          <w14:textFill>
            <w14:solidFill>
              <w14:schemeClr w14:val="tx1"/>
            </w14:solidFill>
          </w14:textFill>
        </w:rPr>
      </w:pPr>
      <w:bookmarkStart w:id="816" w:name="_Toc3834"/>
      <w:bookmarkStart w:id="817" w:name="_Toc31421"/>
      <w:bookmarkStart w:id="818" w:name="_Toc132"/>
      <w:bookmarkStart w:id="819" w:name="_Toc13863"/>
      <w:bookmarkStart w:id="820" w:name="_Toc5347"/>
      <w:r>
        <w:rPr>
          <w:rFonts w:hint="eastAsia" w:ascii="宋体" w:hAnsi="宋体" w:eastAsia="宋体" w:cs="宋体"/>
          <w:b/>
          <w:bCs/>
          <w:color w:val="000000" w:themeColor="text1"/>
          <w:kern w:val="44"/>
          <w:sz w:val="30"/>
          <w:szCs w:val="30"/>
          <w:lang w:val="en-US" w:eastAsia="zh-CN" w:bidi="ar-SA"/>
          <w14:textFill>
            <w14:solidFill>
              <w14:schemeClr w14:val="tx1"/>
            </w14:solidFill>
          </w14:textFill>
        </w:rPr>
        <w:t>第五章</w:t>
      </w:r>
      <w:r>
        <w:rPr>
          <w:rFonts w:hint="eastAsia" w:ascii="宋体" w:hAnsi="宋体" w:cs="宋体"/>
          <w:b/>
          <w:bCs/>
          <w:color w:val="000000" w:themeColor="text1"/>
          <w:kern w:val="44"/>
          <w:sz w:val="30"/>
          <w:szCs w:val="30"/>
          <w:lang w:val="en-US" w:eastAsia="zh-CN" w:bidi="ar-SA"/>
          <w14:textFill>
            <w14:solidFill>
              <w14:schemeClr w14:val="tx1"/>
            </w14:solidFill>
          </w14:textFill>
        </w:rPr>
        <w:t xml:space="preserve"> </w:t>
      </w:r>
      <w:r>
        <w:rPr>
          <w:rFonts w:hint="eastAsia" w:ascii="宋体" w:hAnsi="宋体" w:eastAsia="宋体" w:cs="宋体"/>
          <w:color w:val="000000" w:themeColor="text1"/>
          <w:sz w:val="30"/>
          <w:szCs w:val="30"/>
          <w14:textFill>
            <w14:solidFill>
              <w14:schemeClr w14:val="tx1"/>
            </w14:solidFill>
          </w14:textFill>
        </w:rPr>
        <w:t>合同（拟签订</w:t>
      </w:r>
      <w:r>
        <w:rPr>
          <w:rFonts w:hint="eastAsia" w:ascii="宋体" w:hAnsi="宋体" w:cs="宋体"/>
          <w:color w:val="000000" w:themeColor="text1"/>
          <w:sz w:val="30"/>
          <w:szCs w:val="30"/>
          <w:lang w:val="en-US" w:eastAsia="zh-CN"/>
          <w14:textFill>
            <w14:solidFill>
              <w14:schemeClr w14:val="tx1"/>
            </w14:solidFill>
          </w14:textFill>
        </w:rPr>
        <w:t>合同</w:t>
      </w:r>
      <w:r>
        <w:rPr>
          <w:rFonts w:hint="eastAsia" w:ascii="宋体" w:hAnsi="宋体" w:eastAsia="宋体" w:cs="宋体"/>
          <w:color w:val="000000" w:themeColor="text1"/>
          <w:sz w:val="30"/>
          <w:szCs w:val="30"/>
          <w14:textFill>
            <w14:solidFill>
              <w14:schemeClr w14:val="tx1"/>
            </w14:solidFill>
          </w14:textFill>
        </w:rPr>
        <w:t>文本）</w:t>
      </w:r>
      <w:bookmarkEnd w:id="816"/>
      <w:bookmarkEnd w:id="817"/>
      <w:bookmarkEnd w:id="818"/>
    </w:p>
    <w:p w14:paraId="4348C052">
      <w:pPr>
        <w:rPr>
          <w:rFonts w:hint="eastAsia"/>
          <w:color w:val="000000" w:themeColor="text1"/>
          <w14:textFill>
            <w14:solidFill>
              <w14:schemeClr w14:val="tx1"/>
            </w14:solidFill>
          </w14:textFill>
        </w:rPr>
      </w:pPr>
    </w:p>
    <w:p w14:paraId="7B05D77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281078C1">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5BA0242A">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p w14:paraId="6DA3E8E6">
      <w:pPr>
        <w:pStyle w:val="11"/>
        <w:pageBreakBefore w:val="0"/>
        <w:kinsoku/>
        <w:wordWrap/>
        <w:overflowPunct/>
        <w:topLinePunct w:val="0"/>
        <w:bidi w:val="0"/>
        <w:spacing w:after="0" w:line="560" w:lineRule="exact"/>
        <w:jc w:val="center"/>
        <w:textAlignment w:val="auto"/>
        <w:rPr>
          <w:rFonts w:hint="eastAsia" w:ascii="宋体" w:hAnsi="宋体" w:eastAsia="宋体" w:cs="宋体"/>
          <w:b/>
          <w:bCs/>
          <w:color w:val="000000" w:themeColor="text1"/>
          <w:spacing w:val="0"/>
          <w:kern w:val="44"/>
          <w:sz w:val="28"/>
          <w:szCs w:val="28"/>
          <w14:textFill>
            <w14:solidFill>
              <w14:schemeClr w14:val="tx1"/>
            </w14:solidFill>
          </w14:textFill>
        </w:rPr>
      </w:pPr>
      <w:r>
        <w:rPr>
          <w:rFonts w:hint="eastAsia" w:ascii="宋体" w:hAnsi="宋体" w:eastAsia="宋体" w:cs="宋体"/>
          <w:b/>
          <w:bCs/>
          <w:color w:val="000000" w:themeColor="text1"/>
          <w:spacing w:val="0"/>
          <w:kern w:val="44"/>
          <w:sz w:val="28"/>
          <w:szCs w:val="28"/>
          <w14:textFill>
            <w14:solidFill>
              <w14:schemeClr w14:val="tx1"/>
            </w14:solidFill>
          </w14:textFill>
        </w:rPr>
        <w:t>政府采购</w:t>
      </w:r>
      <w:r>
        <w:rPr>
          <w:rFonts w:hint="eastAsia" w:ascii="宋体" w:hAnsi="宋体" w:eastAsia="宋体" w:cs="宋体"/>
          <w:b/>
          <w:bCs/>
          <w:color w:val="000000" w:themeColor="text1"/>
          <w:spacing w:val="0"/>
          <w:kern w:val="44"/>
          <w:sz w:val="28"/>
          <w:szCs w:val="28"/>
          <w:lang w:eastAsia="zh-CN"/>
          <w14:textFill>
            <w14:solidFill>
              <w14:schemeClr w14:val="tx1"/>
            </w14:solidFill>
          </w14:textFill>
        </w:rPr>
        <w:t>货物买卖</w:t>
      </w:r>
      <w:r>
        <w:rPr>
          <w:rFonts w:hint="eastAsia" w:ascii="宋体" w:hAnsi="宋体" w:eastAsia="宋体" w:cs="宋体"/>
          <w:b/>
          <w:bCs/>
          <w:color w:val="000000" w:themeColor="text1"/>
          <w:spacing w:val="0"/>
          <w:kern w:val="44"/>
          <w:sz w:val="28"/>
          <w:szCs w:val="28"/>
          <w14:textFill>
            <w14:solidFill>
              <w14:schemeClr w14:val="tx1"/>
            </w14:solidFill>
          </w14:textFill>
        </w:rPr>
        <w:t>合同</w:t>
      </w:r>
    </w:p>
    <w:p w14:paraId="6FC6B31D">
      <w:pPr>
        <w:rPr>
          <w:rFonts w:hint="eastAsia"/>
        </w:rPr>
      </w:pPr>
    </w:p>
    <w:p w14:paraId="667EE0D0">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738B29E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80573D5">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00832E6A">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6F246398">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5BEE7761">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2551D699">
      <w:pPr>
        <w:pageBreakBefore w:val="0"/>
        <w:kinsoku/>
        <w:wordWrap/>
        <w:overflowPunct/>
        <w:topLinePunct w:val="0"/>
        <w:bidi w:val="0"/>
        <w:spacing w:line="560" w:lineRule="exact"/>
        <w:textAlignment w:val="auto"/>
        <w:rPr>
          <w:rFonts w:hint="eastAsia" w:ascii="宋体" w:hAnsi="宋体" w:eastAsia="宋体" w:cs="宋体"/>
          <w:b/>
          <w:bCs/>
          <w:color w:val="000000" w:themeColor="text1"/>
          <w:spacing w:val="-20"/>
          <w:kern w:val="44"/>
          <w:sz w:val="24"/>
          <w:szCs w:val="24"/>
          <w14:textFill>
            <w14:solidFill>
              <w14:schemeClr w14:val="tx1"/>
            </w14:solidFill>
          </w14:textFill>
        </w:rPr>
      </w:pPr>
    </w:p>
    <w:p w14:paraId="307CF3D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024CF4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62E1073">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    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2BE08A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    方：</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05BEA327">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签订时间：</w:t>
      </w:r>
    </w:p>
    <w:p w14:paraId="7D49ABA9">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1B61D2FA">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770CB0ED">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658B922B">
      <w:pPr>
        <w:keepNext w:val="0"/>
        <w:keepLines w:val="0"/>
        <w:pageBreakBefore w:val="0"/>
        <w:widowControl w:val="0"/>
        <w:kinsoku/>
        <w:wordWrap/>
        <w:overflowPunct/>
        <w:topLinePunct w:val="0"/>
        <w:autoSpaceDE/>
        <w:autoSpaceDN/>
        <w:bidi w:val="0"/>
        <w:adjustRightInd/>
        <w:snapToGrid/>
        <w:spacing w:line="700" w:lineRule="exact"/>
        <w:ind w:left="420" w:leftChars="200"/>
        <w:textAlignment w:val="auto"/>
        <w:rPr>
          <w:rFonts w:hint="eastAsia" w:ascii="宋体" w:hAnsi="宋体" w:eastAsia="宋体" w:cs="宋体"/>
          <w:color w:val="000000" w:themeColor="text1"/>
          <w:sz w:val="24"/>
          <w:szCs w:val="24"/>
          <w14:textFill>
            <w14:solidFill>
              <w14:schemeClr w14:val="tx1"/>
            </w14:solidFill>
          </w14:textFill>
        </w:rPr>
      </w:pPr>
    </w:p>
    <w:p w14:paraId="29BB3971">
      <w:pPr>
        <w:pageBreakBefore w:val="0"/>
        <w:kinsoku/>
        <w:wordWrap/>
        <w:overflowPunct/>
        <w:topLinePunct w:val="0"/>
        <w:bidi w:val="0"/>
        <w:spacing w:line="560" w:lineRule="exact"/>
        <w:jc w:val="center"/>
        <w:textAlignment w:val="auto"/>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lang w:eastAsia="zh-CN"/>
          <w14:textFill>
            <w14:solidFill>
              <w14:schemeClr w14:val="tx1"/>
            </w14:solidFill>
          </w14:textFill>
        </w:rPr>
        <w:t>使</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用</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说</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lang w:eastAsia="zh-CN"/>
          <w14:textFill>
            <w14:solidFill>
              <w14:schemeClr w14:val="tx1"/>
            </w14:solidFill>
          </w14:textFill>
        </w:rPr>
        <w:t>明</w:t>
      </w:r>
    </w:p>
    <w:p w14:paraId="7DEDEB98">
      <w:pPr>
        <w:pageBreakBefore w:val="0"/>
        <w:kinsoku/>
        <w:wordWrap/>
        <w:overflowPunct/>
        <w:topLinePunct w:val="0"/>
        <w:bidi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p>
    <w:p w14:paraId="121DB40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1.本合同标准文本适用于购买现成货物的采购项目，不包括需要供应商定制开发、创新研发的货物采购项目。</w:t>
      </w:r>
    </w:p>
    <w:p w14:paraId="03A0B073">
      <w:pPr>
        <w:keepNext w:val="0"/>
        <w:keepLines w:val="0"/>
        <w:pageBreakBefore w:val="0"/>
        <w:widowControl w:val="0"/>
        <w:kinsoku/>
        <w:wordWrap/>
        <w:overflowPunct/>
        <w:topLinePunct w:val="0"/>
        <w:autoSpaceDE/>
        <w:autoSpaceDN/>
        <w:bidi w:val="0"/>
        <w:adjustRightInd/>
        <w:snapToGrid/>
        <w:spacing w:line="60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2.本合同标准文本为政府采购货物买卖合同编制提供参考，可以结合采购项目具体情况，对文本作必要的调整修订后使用。</w:t>
      </w:r>
    </w:p>
    <w:p w14:paraId="221CE8B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3.本合同标准文本各条款中，如涉及填写多家供应商、制造商，多种采购标的、分包主要内容等信息的，可根据采购项目具体情况添加信息项。</w:t>
      </w:r>
    </w:p>
    <w:p w14:paraId="42730B6D">
      <w:pPr>
        <w:pageBreakBefore w:val="0"/>
        <w:kinsoku/>
        <w:wordWrap/>
        <w:overflowPunct/>
        <w:topLinePunct w:val="0"/>
        <w:bidi w:val="0"/>
        <w:spacing w:line="560" w:lineRule="exact"/>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sectPr>
          <w:headerReference r:id="rId10" w:type="defaul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8D027F8">
      <w:pPr>
        <w:spacing w:line="360" w:lineRule="auto"/>
        <w:outlineLvl w:val="9"/>
        <w:rPr>
          <w:rFonts w:hint="eastAsia" w:ascii="宋体" w:hAnsi="宋体" w:eastAsia="宋体" w:cs="宋体"/>
          <w:b/>
          <w:color w:val="000000" w:themeColor="text1"/>
          <w:sz w:val="28"/>
          <w:szCs w:val="28"/>
          <w14:textFill>
            <w14:solidFill>
              <w14:schemeClr w14:val="tx1"/>
            </w14:solidFill>
          </w14:textFill>
        </w:rPr>
      </w:pPr>
      <w:bookmarkStart w:id="821" w:name="_Toc22209"/>
    </w:p>
    <w:p w14:paraId="6B1363CE">
      <w:pPr>
        <w:pStyle w:val="3"/>
        <w:pageBreakBefore w:val="0"/>
        <w:kinsoku/>
        <w:wordWrap/>
        <w:overflowPunct/>
        <w:topLinePunct w:val="0"/>
        <w:bidi w:val="0"/>
        <w:adjustRightInd w:val="0"/>
        <w:snapToGrid w:val="0"/>
        <w:spacing w:beforeLines="0" w:line="560" w:lineRule="exact"/>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第一节 政府采购合同协议书</w:t>
      </w:r>
      <w:bookmarkEnd w:id="821"/>
    </w:p>
    <w:p w14:paraId="3B92CFA0">
      <w:pPr>
        <w:pageBreakBefore w:val="0"/>
        <w:kinsoku/>
        <w:wordWrap/>
        <w:overflowPunct/>
        <w:topLinePunct w:val="0"/>
        <w:bidi w:val="0"/>
        <w:adjustRightInd w:val="0"/>
        <w:snapToGrid w:val="0"/>
        <w:spacing w:beforeLines="0" w:line="560" w:lineRule="exact"/>
        <w:jc w:val="center"/>
        <w:textAlignment w:val="auto"/>
        <w:outlineLvl w:val="9"/>
        <w:rPr>
          <w:rFonts w:hint="eastAsia" w:ascii="宋体" w:hAnsi="宋体" w:eastAsia="宋体" w:cs="宋体"/>
          <w:b w:val="0"/>
          <w:bCs w:val="0"/>
          <w:color w:val="000000" w:themeColor="text1"/>
          <w:sz w:val="24"/>
          <w:szCs w:val="24"/>
          <w14:textFill>
            <w14:solidFill>
              <w14:schemeClr w14:val="tx1"/>
            </w14:solidFill>
          </w14:textFill>
        </w:rPr>
      </w:pPr>
    </w:p>
    <w:p w14:paraId="663C98B6">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甲方（全称）：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D882AEA">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乙方（全称）：</w:t>
      </w:r>
    </w:p>
    <w:p w14:paraId="36E602FD">
      <w:pPr>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代理机构（全称）：</w:t>
      </w:r>
      <w:r>
        <w:rPr>
          <w:rFonts w:hint="eastAsia" w:ascii="宋体" w:hAnsi="宋体" w:eastAsia="宋体" w:cs="宋体"/>
          <w:color w:val="000000" w:themeColor="text1"/>
          <w:sz w:val="24"/>
          <w:szCs w:val="24"/>
          <w:u w:val="single"/>
          <w:lang w:val="en-US" w:eastAsia="zh-CN"/>
          <w14:textFill>
            <w14:solidFill>
              <w14:schemeClr w14:val="tx1"/>
            </w14:solidFill>
          </w14:textFill>
        </w:rPr>
        <w:t>陕西宸永项目管理有限公司</w:t>
      </w:r>
    </w:p>
    <w:p w14:paraId="40480C93">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依据《中华人民共和国民法典》</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《中华人民共和国政府采购法》等有关的法律法规，以及</w:t>
      </w:r>
      <w:r>
        <w:rPr>
          <w:rFonts w:hint="eastAsia" w:ascii="宋体" w:hAnsi="宋体" w:eastAsia="宋体" w:cs="宋体"/>
          <w:i w:val="0"/>
          <w:iCs w:val="0"/>
          <w:color w:val="000000" w:themeColor="text1"/>
          <w:sz w:val="24"/>
          <w:szCs w:val="24"/>
          <w:u w:val="none"/>
          <w:lang w:eastAsia="zh-CN"/>
          <w14:textFill>
            <w14:solidFill>
              <w14:schemeClr w14:val="tx1"/>
            </w14:solidFill>
          </w14:textFill>
        </w:rPr>
        <w:t>本采购项目</w:t>
      </w:r>
      <w:r>
        <w:rPr>
          <w:rFonts w:hint="eastAsia" w:ascii="宋体" w:hAnsi="宋体" w:eastAsia="宋体" w:cs="宋体"/>
          <w:color w:val="000000" w:themeColor="text1"/>
          <w:sz w:val="24"/>
          <w:szCs w:val="24"/>
          <w14:textFill>
            <w14:solidFill>
              <w14:schemeClr w14:val="tx1"/>
            </w14:solidFill>
          </w14:textFill>
        </w:rPr>
        <w:t>的</w:t>
      </w:r>
      <w:r>
        <w:rPr>
          <w:rFonts w:hint="eastAsia" w:cs="宋体"/>
          <w:color w:val="000000" w:themeColor="text1"/>
          <w:sz w:val="24"/>
          <w:szCs w:val="24"/>
          <w:lang w:val="en-US" w:eastAsia="zh-CN"/>
          <w14:textFill>
            <w14:solidFill>
              <w14:schemeClr w14:val="tx1"/>
            </w14:solidFill>
          </w14:textFill>
        </w:rPr>
        <w:t>招标</w:t>
      </w:r>
      <w:r>
        <w:rPr>
          <w:rFonts w:hint="eastAsia" w:ascii="宋体" w:hAnsi="宋体" w:eastAsia="宋体" w:cs="宋体"/>
          <w:color w:val="000000" w:themeColor="text1"/>
          <w:sz w:val="24"/>
          <w:szCs w:val="24"/>
          <w:lang w:eastAsia="zh-CN"/>
          <w14:textFill>
            <w14:solidFill>
              <w14:schemeClr w14:val="tx1"/>
            </w14:solidFill>
          </w14:textFill>
        </w:rPr>
        <w:t>文件等</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 xml:space="preserve">乙方的《投标（响应）文件》及《中标（成交）通知书》，甲乙双方同意签订本合同。具体情况及要求如下：     </w:t>
      </w:r>
    </w:p>
    <w:p w14:paraId="07DF74B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项目信息</w:t>
      </w:r>
    </w:p>
    <w:p w14:paraId="5993D4CA">
      <w:pPr>
        <w:pStyle w:val="12"/>
        <w:pageBreakBefore w:val="0"/>
        <w:numPr>
          <w:ilvl w:val="0"/>
          <w:numId w:val="7"/>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采购项目名称：</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948815E">
      <w:pPr>
        <w:pStyle w:val="12"/>
        <w:pageBreakBefore w:val="0"/>
        <w:numPr>
          <w:ilvl w:val="0"/>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采购项目编号：</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6F5AF78">
      <w:pPr>
        <w:pStyle w:val="12"/>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（2）采购计划编号：</w:t>
      </w:r>
      <w:r>
        <w:rPr>
          <w:rFonts w:hint="eastAsia" w:ascii="宋体" w:hAnsi="宋体" w:eastAsia="宋体" w:cs="宋体"/>
          <w:color w:val="000000" w:themeColor="text1"/>
          <w:sz w:val="24"/>
          <w:szCs w:val="24"/>
          <w:u w:val="single"/>
          <w14:textFill>
            <w14:solidFill>
              <w14:schemeClr w14:val="tx1"/>
            </w14:solidFill>
          </w14:textFill>
        </w:rPr>
        <w:t xml:space="preserve">  政采-延安市-2026-00664</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cs="宋体"/>
          <w:color w:val="000000" w:themeColor="text1"/>
          <w:sz w:val="24"/>
          <w:szCs w:val="24"/>
          <w:u w:val="none"/>
          <w:lang w:val="en-US" w:eastAsia="zh-CN"/>
          <w14:textFill>
            <w14:solidFill>
              <w14:schemeClr w14:val="tx1"/>
            </w14:solidFill>
          </w14:textFill>
        </w:rPr>
        <w:t xml:space="preserve"> </w:t>
      </w:r>
      <w:r>
        <w:rPr>
          <w:rFonts w:hint="eastAsia"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D3C9FE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（3）项目内容：</w:t>
      </w:r>
    </w:p>
    <w:p w14:paraId="64A57A09">
      <w:pPr>
        <w:keepNext w:val="0"/>
        <w:keepLines w:val="0"/>
        <w:pageBreakBefore w:val="0"/>
        <w:widowControl w:val="0"/>
        <w:kinsoku/>
        <w:wordWrap/>
        <w:overflowPunct/>
        <w:topLinePunct w:val="0"/>
        <w:autoSpaceDE/>
        <w:autoSpaceDN/>
        <w:bidi w:val="0"/>
        <w:adjustRightInd/>
        <w:snapToGrid/>
        <w:spacing w:line="560" w:lineRule="exact"/>
        <w:ind w:left="6319" w:leftChars="266" w:hanging="5760" w:hangingChars="2400"/>
        <w:jc w:val="left"/>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单位：元</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3"/>
        <w:gridCol w:w="1423"/>
        <w:gridCol w:w="1423"/>
        <w:gridCol w:w="1423"/>
        <w:gridCol w:w="1423"/>
        <w:gridCol w:w="1423"/>
        <w:gridCol w:w="1"/>
      </w:tblGrid>
      <w:tr w14:paraId="70F62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B1F62AD">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货物名称</w:t>
            </w:r>
          </w:p>
        </w:tc>
        <w:tc>
          <w:tcPr>
            <w:tcW w:w="1423" w:type="dxa"/>
            <w:noWrap w:val="0"/>
            <w:vAlign w:val="top"/>
          </w:tcPr>
          <w:p w14:paraId="7138E5E0">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品牌</w:t>
            </w:r>
          </w:p>
        </w:tc>
        <w:tc>
          <w:tcPr>
            <w:tcW w:w="1423" w:type="dxa"/>
            <w:noWrap w:val="0"/>
            <w:vAlign w:val="top"/>
          </w:tcPr>
          <w:p w14:paraId="6FC12E39">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数量</w:t>
            </w:r>
          </w:p>
        </w:tc>
        <w:tc>
          <w:tcPr>
            <w:tcW w:w="1423" w:type="dxa"/>
            <w:noWrap w:val="0"/>
            <w:vAlign w:val="top"/>
          </w:tcPr>
          <w:p w14:paraId="77136205">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单价</w:t>
            </w:r>
          </w:p>
        </w:tc>
        <w:tc>
          <w:tcPr>
            <w:tcW w:w="1423" w:type="dxa"/>
            <w:noWrap w:val="0"/>
            <w:vAlign w:val="top"/>
          </w:tcPr>
          <w:p w14:paraId="2AAC446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金额</w:t>
            </w:r>
          </w:p>
        </w:tc>
        <w:tc>
          <w:tcPr>
            <w:tcW w:w="1423" w:type="dxa"/>
            <w:noWrap w:val="0"/>
            <w:vAlign w:val="top"/>
          </w:tcPr>
          <w:p w14:paraId="2A909857">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备注</w:t>
            </w:r>
          </w:p>
        </w:tc>
      </w:tr>
      <w:tr w14:paraId="3C1F4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7D40ECF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380CE55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7C6A06">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04FF00BE">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E346FD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restart"/>
            <w:noWrap w:val="0"/>
            <w:vAlign w:val="top"/>
          </w:tcPr>
          <w:p w14:paraId="4C67A74D">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5D781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1423" w:type="dxa"/>
            <w:noWrap w:val="0"/>
            <w:vAlign w:val="top"/>
          </w:tcPr>
          <w:p w14:paraId="200695B2">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48CA4CC4">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1511B7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6210A3D0">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noWrap w:val="0"/>
            <w:vAlign w:val="top"/>
          </w:tcPr>
          <w:p w14:paraId="58F5FD3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57D124C5">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7DFAE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 w:type="dxa"/>
          <w:trHeight w:val="432" w:hRule="atLeast"/>
          <w:jc w:val="center"/>
        </w:trPr>
        <w:tc>
          <w:tcPr>
            <w:tcW w:w="5692" w:type="dxa"/>
            <w:gridSpan w:val="4"/>
            <w:noWrap w:val="0"/>
            <w:vAlign w:val="top"/>
          </w:tcPr>
          <w:p w14:paraId="7A11FFBC">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合计</w:t>
            </w:r>
          </w:p>
        </w:tc>
        <w:tc>
          <w:tcPr>
            <w:tcW w:w="1423" w:type="dxa"/>
            <w:noWrap w:val="0"/>
            <w:vAlign w:val="top"/>
          </w:tcPr>
          <w:p w14:paraId="1A6AA043">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c>
          <w:tcPr>
            <w:tcW w:w="1423" w:type="dxa"/>
            <w:vMerge w:val="continue"/>
            <w:noWrap w:val="0"/>
            <w:vAlign w:val="top"/>
          </w:tcPr>
          <w:p w14:paraId="2692C46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r w14:paraId="14A87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423" w:type="dxa"/>
            <w:noWrap w:val="0"/>
            <w:vAlign w:val="top"/>
          </w:tcPr>
          <w:p w14:paraId="77FB4FE7">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大写金额</w:t>
            </w:r>
          </w:p>
        </w:tc>
        <w:tc>
          <w:tcPr>
            <w:tcW w:w="7116" w:type="dxa"/>
            <w:gridSpan w:val="6"/>
            <w:noWrap w:val="0"/>
            <w:vAlign w:val="top"/>
          </w:tcPr>
          <w:p w14:paraId="115CBAD9">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9"/>
              <w:rPr>
                <w:rFonts w:hint="eastAsia" w:ascii="宋体" w:hAnsi="宋体" w:eastAsia="宋体" w:cs="宋体"/>
                <w:color w:val="000000" w:themeColor="text1"/>
                <w:sz w:val="24"/>
                <w:szCs w:val="24"/>
                <w:lang w:eastAsia="zh-CN"/>
                <w14:textFill>
                  <w14:solidFill>
                    <w14:schemeClr w14:val="tx1"/>
                  </w14:solidFill>
                </w14:textFill>
              </w:rPr>
            </w:pPr>
          </w:p>
        </w:tc>
      </w:tr>
    </w:tbl>
    <w:p w14:paraId="3D88A8D5">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color w:val="000000" w:themeColor="text1"/>
          <w:sz w:val="24"/>
          <w:szCs w:val="24"/>
          <w:lang w:val="en" w:eastAsia="zh-CN"/>
          <w14:textFill>
            <w14:solidFill>
              <w14:schemeClr w14:val="tx1"/>
            </w14:solidFill>
          </w14:textFill>
        </w:rPr>
      </w:pPr>
    </w:p>
    <w:p w14:paraId="0282C339">
      <w:pPr>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采购标的的技术要求、商务要求具体见附件。</w:t>
      </w:r>
    </w:p>
    <w:p w14:paraId="2F3231A5">
      <w:pPr>
        <w:pageBreakBefore w:val="0"/>
        <w:numPr>
          <w:ilvl w:val="0"/>
          <w:numId w:val="0"/>
        </w:numPr>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①涉及信息类产品，请填写该产品关键部件的品牌、型号：</w:t>
      </w:r>
    </w:p>
    <w:p w14:paraId="0817CB56">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kern w:val="0"/>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标的名称：</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w:t>
      </w:r>
      <w:r>
        <w:rPr>
          <w:rFonts w:hint="eastAsia" w:ascii="宋体" w:hAnsi="宋体" w:eastAsia="宋体" w:cs="宋体"/>
          <w:color w:val="000000" w:themeColor="text1"/>
          <w:kern w:val="0"/>
          <w:sz w:val="24"/>
          <w:szCs w:val="24"/>
          <w:u w:val="single"/>
          <w:lang w:val="en" w:eastAsia="zh-CN"/>
          <w14:textFill>
            <w14:solidFill>
              <w14:schemeClr w14:val="tx1"/>
            </w14:solidFill>
          </w14:textFill>
        </w:rPr>
        <w:t xml:space="preserve">           </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w:t>
      </w:r>
    </w:p>
    <w:p w14:paraId="0AA399BE">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关键部件：</w:t>
      </w:r>
      <w:r>
        <w:rPr>
          <w:rFonts w:hint="eastAsia" w:ascii="宋体" w:hAnsi="宋体" w:eastAsia="宋体" w:cs="宋体"/>
          <w:color w:val="000000" w:themeColor="text1"/>
          <w:kern w:val="0"/>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kern w:val="0"/>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069E47C3">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p>
    <w:p w14:paraId="4721E894">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②涉及车辆采购，请填写是否属于新能源汽车：</w:t>
      </w:r>
    </w:p>
    <w:p w14:paraId="13AA6B4F">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数量：</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p>
    <w:p w14:paraId="3D72D1C7">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7406321E">
      <w:pPr>
        <w:pStyle w:val="113"/>
        <w:pageBreakBefore w:val="0"/>
        <w:numPr>
          <w:ilvl w:val="0"/>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lang w:val="en" w:eastAsia="zh-CN"/>
          <w14:textFill>
            <w14:solidFill>
              <w14:schemeClr w14:val="tx1"/>
            </w14:solidFill>
          </w14:textFill>
        </w:rPr>
        <w:t>4</w:t>
      </w:r>
      <w:r>
        <w:rPr>
          <w:rFonts w:hint="eastAsia" w:ascii="宋体" w:hAnsi="宋体" w:eastAsia="宋体" w:cs="宋体"/>
          <w:iCs w:val="0"/>
          <w:color w:val="000000" w:themeColor="text1"/>
          <w:sz w:val="24"/>
          <w:szCs w:val="24"/>
          <w:lang w:val="en-US" w:eastAsia="zh-CN"/>
          <w14:textFill>
            <w14:solidFill>
              <w14:schemeClr w14:val="tx1"/>
            </w14:solidFill>
          </w14:textFill>
        </w:rPr>
        <w:t>）政府采购组织形式：</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政府集中采购</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部门集中采购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val="en-US" w:eastAsia="zh-CN"/>
          <w14:textFill>
            <w14:solidFill>
              <w14:schemeClr w14:val="tx1"/>
            </w14:solidFill>
          </w14:textFill>
        </w:rPr>
        <w:t>分散采购</w:t>
      </w:r>
    </w:p>
    <w:p w14:paraId="079DE3A6">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w:t>
      </w:r>
      <w:r>
        <w:rPr>
          <w:rFonts w:hint="eastAsia" w:ascii="宋体" w:hAnsi="宋体" w:eastAsia="宋体" w:cs="宋体"/>
          <w:iCs w:val="0"/>
          <w:color w:val="000000" w:themeColor="text1"/>
          <w:sz w:val="24"/>
          <w:szCs w:val="24"/>
          <w:lang w:val="en" w:eastAsia="zh-CN"/>
          <w14:textFill>
            <w14:solidFill>
              <w14:schemeClr w14:val="tx1"/>
            </w14:solidFill>
          </w14:textFill>
        </w:rPr>
        <w:t>5</w:t>
      </w:r>
      <w:r>
        <w:rPr>
          <w:rFonts w:hint="eastAsia" w:ascii="宋体" w:hAnsi="宋体" w:eastAsia="宋体" w:cs="宋体"/>
          <w:iCs w:val="0"/>
          <w:color w:val="000000" w:themeColor="text1"/>
          <w:sz w:val="24"/>
          <w:szCs w:val="24"/>
          <w:lang w:val="en-US" w:eastAsia="zh-CN"/>
          <w14:textFill>
            <w14:solidFill>
              <w14:schemeClr w14:val="tx1"/>
            </w14:solidFill>
          </w14:textFill>
        </w:rPr>
        <w:t>）政府采购方式：</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公开招标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邀请招标</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竞争性谈判</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竞争性磋商</w:t>
      </w:r>
    </w:p>
    <w:p w14:paraId="04226FB0">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询价</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单一来源</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框架协议</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其他：</w:t>
      </w:r>
      <w:r>
        <w:rPr>
          <w:rFonts w:hint="eastAsia" w:ascii="宋体" w:hAnsi="宋体" w:eastAsia="宋体" w:cs="宋体"/>
          <w:iCs w:val="0"/>
          <w:color w:val="000000" w:themeColor="text1"/>
          <w:sz w:val="24"/>
          <w:szCs w:val="24"/>
          <w:u w:val="single"/>
          <w:lang w:val="en-US" w:eastAsia="zh-CN"/>
          <w14:textFill>
            <w14:solidFill>
              <w14:schemeClr w14:val="tx1"/>
            </w14:solidFill>
          </w14:textFill>
        </w:rPr>
        <w:t xml:space="preserve">          </w:t>
      </w:r>
    </w:p>
    <w:p w14:paraId="0181BB58">
      <w:pPr>
        <w:pStyle w:val="113"/>
        <w:pageBreakBefore w:val="0"/>
        <w:numPr>
          <w:ilvl w:val="0"/>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u w:val="none"/>
          <w:lang w:val="en-US" w:eastAsia="zh-CN"/>
          <w14:textFill>
            <w14:solidFill>
              <w14:schemeClr w14:val="tx1"/>
            </w14:solidFill>
          </w14:textFill>
        </w:rPr>
        <w:t>（注：在框架协议采购的第二阶段，可选择使用该合同文本）</w:t>
      </w:r>
    </w:p>
    <w:p w14:paraId="742E27DE">
      <w:pPr>
        <w:pStyle w:val="113"/>
        <w:pageBreakBefore w:val="0"/>
        <w:numPr>
          <w:ilvl w:val="0"/>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中标（成交）采购标的制造商是否为中小企业：</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 xml:space="preserve">是      </w:t>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sym w:font="Wingdings" w:char="00A8"/>
      </w:r>
      <w:r>
        <w:rPr>
          <w:rFonts w:hint="eastAsia" w:ascii="宋体" w:hAnsi="宋体" w:eastAsia="宋体" w:cs="宋体"/>
          <w:color w:val="000000" w:themeColor="text1"/>
          <w:w w:val="100"/>
          <w:kern w:val="2"/>
          <w:sz w:val="24"/>
          <w:szCs w:val="24"/>
          <w:lang w:val="en-US" w:eastAsia="zh-CN" w:bidi="ar-SA"/>
          <w14:textFill>
            <w14:solidFill>
              <w14:schemeClr w14:val="tx1"/>
            </w14:solidFill>
          </w14:textFill>
        </w:rPr>
        <w:t>否</w:t>
      </w:r>
    </w:p>
    <w:p w14:paraId="7E8DF807">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color w:val="000000" w:themeColor="text1"/>
          <w:sz w:val="24"/>
          <w:szCs w:val="24"/>
          <w:shd w:val="clear" w:color="auto" w:fill="auto"/>
          <w14:textFill>
            <w14:solidFill>
              <w14:schemeClr w14:val="tx1"/>
            </w14:solidFill>
          </w14:textFill>
        </w:rPr>
      </w:pPr>
      <w:r>
        <w:rPr>
          <w:rFonts w:hint="eastAsia" w:ascii="宋体" w:hAnsi="宋体" w:eastAsia="宋体" w:cs="宋体"/>
          <w:color w:val="000000" w:themeColor="text1"/>
          <w:w w:val="100"/>
          <w:sz w:val="24"/>
          <w:szCs w:val="24"/>
          <w:lang w:val="en-US" w:eastAsia="zh-CN"/>
          <w14:textFill>
            <w14:solidFill>
              <w14:schemeClr w14:val="tx1"/>
            </w14:solidFill>
          </w14:textFill>
        </w:rPr>
        <w:t xml:space="preserve">         本合同</w:t>
      </w:r>
      <w:r>
        <w:rPr>
          <w:rFonts w:hint="eastAsia" w:ascii="宋体" w:hAnsi="宋体" w:eastAsia="宋体" w:cs="宋体"/>
          <w:color w:val="000000" w:themeColor="text1"/>
          <w:w w:val="100"/>
          <w:sz w:val="24"/>
          <w:szCs w:val="24"/>
          <w14:textFill>
            <w14:solidFill>
              <w14:schemeClr w14:val="tx1"/>
            </w14:solidFill>
          </w14:textFill>
        </w:rPr>
        <w:t>是否</w:t>
      </w:r>
      <w:r>
        <w:rPr>
          <w:rFonts w:hint="eastAsia" w:ascii="宋体" w:hAnsi="宋体" w:eastAsia="宋体" w:cs="宋体"/>
          <w:color w:val="000000" w:themeColor="text1"/>
          <w:w w:val="100"/>
          <w:sz w:val="24"/>
          <w:szCs w:val="24"/>
          <w:lang w:eastAsia="zh-CN"/>
          <w14:textFill>
            <w14:solidFill>
              <w14:schemeClr w14:val="tx1"/>
            </w14:solidFill>
          </w14:textFill>
        </w:rPr>
        <w:t>为专门面向</w:t>
      </w:r>
      <w:r>
        <w:rPr>
          <w:rFonts w:hint="eastAsia" w:ascii="宋体" w:hAnsi="宋体" w:eastAsia="宋体" w:cs="宋体"/>
          <w:color w:val="000000" w:themeColor="text1"/>
          <w:w w:val="100"/>
          <w:sz w:val="24"/>
          <w:szCs w:val="24"/>
          <w14:textFill>
            <w14:solidFill>
              <w14:schemeClr w14:val="tx1"/>
            </w14:solidFill>
          </w14:textFill>
        </w:rPr>
        <w:t>中小企业</w:t>
      </w:r>
      <w:r>
        <w:rPr>
          <w:rFonts w:hint="eastAsia" w:ascii="宋体" w:hAnsi="宋体" w:eastAsia="宋体" w:cs="宋体"/>
          <w:color w:val="000000" w:themeColor="text1"/>
          <w:w w:val="100"/>
          <w:sz w:val="24"/>
          <w:szCs w:val="24"/>
          <w:lang w:eastAsia="zh-CN"/>
          <w14:textFill>
            <w14:solidFill>
              <w14:schemeClr w14:val="tx1"/>
            </w14:solidFill>
          </w14:textFill>
        </w:rPr>
        <w:t>的采</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购</w:t>
      </w:r>
      <w:r>
        <w:rPr>
          <w:rFonts w:hint="eastAsia" w:ascii="宋体" w:hAnsi="宋体" w:eastAsia="宋体" w:cs="宋体"/>
          <w:color w:val="000000" w:themeColor="text1"/>
          <w:w w:val="100"/>
          <w:sz w:val="24"/>
          <w:szCs w:val="24"/>
          <w:shd w:val="clear" w:color="auto" w:fill="auto"/>
          <w14:textFill>
            <w14:solidFill>
              <w14:schemeClr w14:val="tx1"/>
            </w14:solidFill>
          </w14:textFill>
        </w:rPr>
        <w:t>合同</w:t>
      </w:r>
      <w:r>
        <w:rPr>
          <w:rFonts w:hint="eastAsia" w:ascii="宋体" w:hAnsi="宋体" w:eastAsia="宋体" w:cs="宋体"/>
          <w:color w:val="000000" w:themeColor="text1"/>
          <w:w w:val="100"/>
          <w:sz w:val="24"/>
          <w:szCs w:val="24"/>
          <w:shd w:val="clear" w:color="auto" w:fill="auto"/>
          <w:lang w:eastAsia="zh-CN"/>
          <w14:textFill>
            <w14:solidFill>
              <w14:schemeClr w14:val="tx1"/>
            </w14:solidFill>
          </w14:textFill>
        </w:rPr>
        <w:t>（中小企业预留合同）</w:t>
      </w:r>
      <w:r>
        <w:rPr>
          <w:rFonts w:hint="eastAsia" w:ascii="宋体" w:hAnsi="宋体" w:eastAsia="宋体" w:cs="宋体"/>
          <w:color w:val="000000" w:themeColor="text1"/>
          <w:sz w:val="24"/>
          <w:szCs w:val="24"/>
          <w:shd w:val="clear" w:color="auto" w:fill="auto"/>
          <w14:textFill>
            <w14:solidFill>
              <w14:schemeClr w14:val="tx1"/>
            </w14:solidFill>
          </w14:textFill>
        </w:rPr>
        <w:t>：</w:t>
      </w:r>
    </w:p>
    <w:p w14:paraId="1425BDB8">
      <w:pPr>
        <w:pageBreakBefore w:val="0"/>
        <w:numPr>
          <w:ilvl w:val="0"/>
          <w:numId w:val="0"/>
        </w:numPr>
        <w:kinsoku/>
        <w:wordWrap/>
        <w:overflowPunct/>
        <w:topLinePunct w:val="0"/>
        <w:bidi w:val="0"/>
        <w:adjustRightInd w:val="0"/>
        <w:snapToGrid w:val="0"/>
        <w:spacing w:before="0" w:beforeLines="0" w:line="560" w:lineRule="exact"/>
        <w:ind w:left="0" w:leftChars="0" w:firstLine="2400" w:firstLineChars="10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DA35AE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若本项目不专门面向中小企业采购，是否给予小微企业评审优惠：</w:t>
      </w:r>
    </w:p>
    <w:p w14:paraId="0963EBF2">
      <w:pPr>
        <w:pageBreakBefore w:val="0"/>
        <w:numPr>
          <w:ilvl w:val="0"/>
          <w:numId w:val="0"/>
        </w:numPr>
        <w:kinsoku/>
        <w:wordWrap/>
        <w:overflowPunct/>
        <w:topLinePunct w:val="0"/>
        <w:bidi w:val="0"/>
        <w:adjustRightInd w:val="0"/>
        <w:snapToGrid w:val="0"/>
        <w:spacing w:before="0" w:beforeLines="0" w:line="560" w:lineRule="exact"/>
        <w:ind w:firstLine="1440" w:firstLineChars="60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064E79A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中标（成交）采购标的制造商是否为残疾人福利性单位：</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EB5EAFF">
      <w:pPr>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中标（成交）采购标的制造商是否为监狱企业：</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否</w:t>
      </w:r>
    </w:p>
    <w:p w14:paraId="269EAB5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）合同是否分包：</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是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否</w:t>
      </w:r>
    </w:p>
    <w:p w14:paraId="637388FF">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分包主要内容：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6B40D260">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分包</w:t>
      </w:r>
      <w:r>
        <w:rPr>
          <w:rFonts w:hint="eastAsia" w:ascii="宋体" w:hAnsi="宋体" w:eastAsia="宋体" w:cs="宋体"/>
          <w:color w:val="000000" w:themeColor="text1"/>
          <w:sz w:val="24"/>
          <w:szCs w:val="24"/>
          <w:highlight w:val="none"/>
          <w14:textFill>
            <w14:solidFill>
              <w14:schemeClr w14:val="tx1"/>
            </w14:solidFill>
          </w14:textFill>
        </w:rPr>
        <w:t>供应商</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lang w:eastAsia="zh-CN"/>
          <w14:textFill>
            <w14:solidFill>
              <w14:schemeClr w14:val="tx1"/>
            </w14:solidFill>
          </w14:textFill>
        </w:rPr>
        <w:t>（如供应商和制造商不同，请分别填写）</w:t>
      </w:r>
      <w:r>
        <w:rPr>
          <w:rFonts w:hint="eastAsia" w:ascii="宋体" w:hAnsi="宋体" w:eastAsia="宋体" w:cs="宋体"/>
          <w:color w:val="000000" w:themeColor="text1"/>
          <w:sz w:val="24"/>
          <w:szCs w:val="24"/>
          <w:highlight w:val="none"/>
          <w14:textFill>
            <w14:solidFill>
              <w14:schemeClr w14:val="tx1"/>
            </w14:solidFill>
          </w14:textFill>
        </w:rPr>
        <w:t>：</w:t>
      </w:r>
    </w:p>
    <w:p w14:paraId="5103C8A7">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p>
    <w:p w14:paraId="3BA9453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分包供应商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制造商</w:t>
      </w:r>
      <w:r>
        <w:rPr>
          <w:rFonts w:hint="eastAsia" w:ascii="宋体" w:hAnsi="宋体" w:eastAsia="宋体" w:cs="宋体"/>
          <w:color w:val="000000" w:themeColor="text1"/>
          <w:sz w:val="24"/>
          <w:szCs w:val="24"/>
          <w14:textFill>
            <w14:solidFill>
              <w14:schemeClr w14:val="tx1"/>
            </w14:solidFill>
          </w14:textFill>
        </w:rPr>
        <w:t>类型</w:t>
      </w:r>
      <w:r>
        <w:rPr>
          <w:rFonts w:hint="eastAsia" w:ascii="宋体" w:hAnsi="宋体" w:eastAsia="宋体" w:cs="宋体"/>
          <w:color w:val="000000" w:themeColor="text1"/>
          <w:sz w:val="24"/>
          <w:szCs w:val="24"/>
          <w:highlight w:val="none"/>
          <w:lang w:eastAsia="zh-CN"/>
          <w14:textFill>
            <w14:solidFill>
              <w14:schemeClr w14:val="tx1"/>
            </w14:solidFill>
          </w14:textFill>
        </w:rPr>
        <w:t>（如果供应商和制造商不同，只填写制造商类型）</w:t>
      </w:r>
      <w:r>
        <w:rPr>
          <w:rFonts w:hint="eastAsia" w:ascii="宋体" w:hAnsi="宋体" w:eastAsia="宋体" w:cs="宋体"/>
          <w:color w:val="000000" w:themeColor="text1"/>
          <w:sz w:val="24"/>
          <w:szCs w:val="24"/>
          <w14:textFill>
            <w14:solidFill>
              <w14:schemeClr w14:val="tx1"/>
            </w14:solidFill>
          </w14:textFill>
        </w:rPr>
        <w:t>：</w:t>
      </w:r>
    </w:p>
    <w:p w14:paraId="38C074F0">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大型企业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中型企业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小微型企业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7A752DC4">
      <w:pPr>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残疾人福利性单位</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监狱</w:t>
      </w:r>
      <w:r>
        <w:rPr>
          <w:rFonts w:hint="eastAsia" w:ascii="宋体" w:hAnsi="宋体" w:eastAsia="宋体" w:cs="宋体"/>
          <w:iCs/>
          <w:color w:val="000000" w:themeColor="text1"/>
          <w:sz w:val="24"/>
          <w:szCs w:val="24"/>
          <w14:textFill>
            <w14:solidFill>
              <w14:schemeClr w14:val="tx1"/>
            </w14:solidFill>
          </w14:textFill>
        </w:rPr>
        <w:t>企业</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p>
    <w:p w14:paraId="178B039B">
      <w:pPr>
        <w:pageBreakBefore w:val="0"/>
        <w:numPr>
          <w:ilvl w:val="0"/>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 w:eastAsia="zh-CN"/>
          <w14:textFill>
            <w14:solidFill>
              <w14:schemeClr w14:val="tx1"/>
            </w14:solidFill>
          </w14:textFill>
        </w:rPr>
        <w:t>8</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）中标（成交）供应商是否为外商投资企业：</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是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否</w:t>
      </w:r>
    </w:p>
    <w:p w14:paraId="17423D25">
      <w:pPr>
        <w:pStyle w:val="113"/>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外商投资企业类型：</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val="en-US" w:eastAsia="zh-CN"/>
          <w14:textFill>
            <w14:solidFill>
              <w14:schemeClr w14:val="tx1"/>
            </w14:solidFill>
          </w14:textFill>
        </w:rPr>
        <w:t>部分由外国投资者投资</w:t>
      </w:r>
    </w:p>
    <w:p w14:paraId="4FD3B65D">
      <w:pPr>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9</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）是否涉及进口产品：</w:t>
      </w:r>
    </w:p>
    <w:p w14:paraId="2679438E">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，《政府采购品目分类目录》底级品目名称</w:t>
      </w: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金额：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29E8D742">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国别：</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品牌：</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规格型号：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t xml:space="preserve">      </w:t>
      </w:r>
    </w:p>
    <w:p w14:paraId="48FB27D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FE"/>
      </w:r>
      <w:r>
        <w:rPr>
          <w:rFonts w:hint="eastAsia" w:ascii="宋体" w:hAnsi="宋体" w:eastAsia="宋体" w:cs="宋体"/>
          <w:iCs w:val="0"/>
          <w:color w:val="000000" w:themeColor="text1"/>
          <w:sz w:val="24"/>
          <w:szCs w:val="24"/>
          <w:lang w:eastAsia="zh-CN"/>
          <w14:textFill>
            <w14:solidFill>
              <w14:schemeClr w14:val="tx1"/>
            </w14:solidFill>
          </w14:textFill>
        </w:rPr>
        <w:t>否</w:t>
      </w:r>
    </w:p>
    <w:p w14:paraId="165E30CC">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（1</w:t>
      </w:r>
      <w:r>
        <w:rPr>
          <w:rFonts w:hint="eastAsia" w:ascii="宋体" w:hAnsi="宋体" w:eastAsia="宋体" w:cs="宋体"/>
          <w:b w:val="0"/>
          <w:bCs w:val="0"/>
          <w:color w:val="000000" w:themeColor="text1"/>
          <w:sz w:val="24"/>
          <w:szCs w:val="24"/>
          <w:u w:val="none"/>
          <w:lang w:val="en" w:eastAsia="zh-CN"/>
          <w14:textFill>
            <w14:solidFill>
              <w14:schemeClr w14:val="tx1"/>
            </w14:solidFill>
          </w14:textFill>
        </w:rPr>
        <w:t>0</w:t>
      </w: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）是否涉及节能产品：</w:t>
      </w:r>
    </w:p>
    <w:p w14:paraId="0E1442F5">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，《节能产品政府采购品目清单》的底级品目名称：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91E8D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1DD7CF4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49D9166B">
      <w:pPr>
        <w:pageBreakBefore w:val="0"/>
        <w:numPr>
          <w:ilvl w:val="0"/>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是否涉及环境标志产品：</w:t>
      </w:r>
    </w:p>
    <w:p w14:paraId="4829B47C">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sz w:val="24"/>
          <w:szCs w:val="24"/>
          <w:lang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是</w:t>
      </w:r>
      <w:r>
        <w:rPr>
          <w:rFonts w:hint="eastAsia" w:ascii="宋体" w:hAnsi="宋体" w:eastAsia="宋体" w:cs="宋体"/>
          <w:iCs w:val="0"/>
          <w:color w:val="000000" w:themeColor="text1"/>
          <w:sz w:val="24"/>
          <w:szCs w:val="24"/>
          <w:lang w:eastAsia="zh-CN"/>
          <w14:textFill>
            <w14:solidFill>
              <w14:schemeClr w14:val="tx1"/>
            </w14:solidFill>
          </w14:textFill>
        </w:rPr>
        <w:t>，《环境标志产品政府采购品目清单》的底级品目名称：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6907CDB7">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382C2566">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p>
    <w:p w14:paraId="61CA0BAB">
      <w:pPr>
        <w:pStyle w:val="113"/>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2"/>
          <w:sz w:val="24"/>
          <w:szCs w:val="24"/>
          <w:u w:val="none"/>
          <w:lang w:val="en-US" w:eastAsia="zh-CN"/>
          <w14:textFill>
            <w14:solidFill>
              <w14:schemeClr w14:val="tx1"/>
            </w14:solidFill>
          </w14:textFill>
        </w:rPr>
        <w:t>是否涉及绿色产品：</w:t>
      </w: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p>
    <w:p w14:paraId="50BD97FC">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是</w:t>
      </w:r>
      <w:r>
        <w:rPr>
          <w:rFonts w:hint="eastAsia" w:ascii="宋体" w:hAnsi="宋体" w:eastAsia="宋体" w:cs="宋体"/>
          <w:iCs w:val="0"/>
          <w:color w:val="000000" w:themeColor="text1"/>
          <w:kern w:val="2"/>
          <w:sz w:val="24"/>
          <w:szCs w:val="24"/>
          <w:u w:val="none"/>
          <w:lang w:eastAsia="zh-CN"/>
          <w14:textFill>
            <w14:solidFill>
              <w14:schemeClr w14:val="tx1"/>
            </w14:solidFill>
          </w14:textFill>
        </w:rPr>
        <w:t>，绿色产品政府采购相关政策确定的底级品目名称：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p>
    <w:p w14:paraId="3B766E91">
      <w:pPr>
        <w:pageBreakBefore w:val="0"/>
        <w:numPr>
          <w:ilvl w:val="0"/>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000000" w:themeColor="text1"/>
          <w:sz w:val="24"/>
          <w:szCs w:val="24"/>
          <w:lang w:val="en-US"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强制采购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优先采购</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p>
    <w:p w14:paraId="05F83957">
      <w:pPr>
        <w:pStyle w:val="113"/>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000000" w:themeColor="text1"/>
          <w:sz w:val="24"/>
          <w:szCs w:val="24"/>
          <w:u w:val="none"/>
          <w:lang w:val="en-US" w:eastAsia="zh-CN"/>
          <w14:textFill>
            <w14:solidFill>
              <w14:schemeClr w14:val="tx1"/>
            </w14:solidFill>
          </w14:textFill>
        </w:rPr>
      </w:pPr>
      <w:r>
        <w:rPr>
          <w:rFonts w:hint="eastAsia" w:ascii="宋体" w:hAnsi="宋体" w:eastAsia="宋体" w:cs="宋体"/>
          <w:iCs w:val="0"/>
          <w:color w:val="000000" w:themeColor="text1"/>
          <w:kern w:val="2"/>
          <w:sz w:val="24"/>
          <w:szCs w:val="24"/>
          <w:u w:val="none"/>
          <w:lang w:val="en-US" w:eastAsia="zh-CN"/>
          <w14:textFill>
            <w14:solidFill>
              <w14:schemeClr w14:val="tx1"/>
            </w14:solidFill>
          </w14:textFill>
        </w:rPr>
        <w:t xml:space="preserve">     </w:t>
      </w:r>
      <w:r>
        <w:rPr>
          <w:rFonts w:hint="eastAsia" w:ascii="宋体" w:hAnsi="宋体" w:eastAsia="宋体" w:cs="宋体"/>
          <w:iCs w:val="0"/>
          <w:color w:val="000000" w:themeColor="text1"/>
          <w:kern w:val="2"/>
          <w:sz w:val="24"/>
          <w:szCs w:val="24"/>
          <w:u w:val="none"/>
          <w14:textFill>
            <w14:solidFill>
              <w14:schemeClr w14:val="tx1"/>
            </w14:solidFill>
          </w14:textFill>
        </w:rPr>
        <w:sym w:font="Wingdings" w:char="00A8"/>
      </w:r>
      <w:r>
        <w:rPr>
          <w:rFonts w:hint="eastAsia" w:ascii="宋体" w:hAnsi="宋体" w:eastAsia="宋体" w:cs="宋体"/>
          <w:iCs w:val="0"/>
          <w:color w:val="000000" w:themeColor="text1"/>
          <w:kern w:val="2"/>
          <w:sz w:val="24"/>
          <w:szCs w:val="24"/>
          <w:u w:val="none"/>
          <w14:textFill>
            <w14:solidFill>
              <w14:schemeClr w14:val="tx1"/>
            </w14:solidFill>
          </w14:textFill>
        </w:rPr>
        <w:t>否</w:t>
      </w:r>
    </w:p>
    <w:p w14:paraId="77EE8AC2">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（1</w:t>
      </w:r>
      <w:r>
        <w:rPr>
          <w:rFonts w:hint="eastAsia" w:ascii="宋体" w:hAnsi="宋体" w:eastAsia="宋体" w:cs="宋体"/>
          <w:color w:val="000000" w:themeColor="text1"/>
          <w:sz w:val="24"/>
          <w:szCs w:val="24"/>
          <w:lang w:val="en" w:eastAsia="zh-CN"/>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）涉及商品包装和快递包装的，是否参考</w:t>
      </w:r>
      <w:r>
        <w:rPr>
          <w:rFonts w:hint="eastAsia" w:ascii="宋体" w:hAnsi="宋体" w:eastAsia="宋体" w:cs="宋体"/>
          <w:color w:val="000000" w:themeColor="text1"/>
          <w:sz w:val="24"/>
          <w:szCs w:val="24"/>
          <w14:textFill>
            <w14:solidFill>
              <w14:schemeClr w14:val="tx1"/>
            </w14:solidFill>
          </w14:textFill>
        </w:rPr>
        <w:t>《商品包装政府采购需求标准（试行）》、《快递包装政府采购需求标准（试行）》</w:t>
      </w:r>
      <w:r>
        <w:rPr>
          <w:rFonts w:hint="eastAsia" w:ascii="宋体" w:hAnsi="宋体" w:eastAsia="宋体" w:cs="宋体"/>
          <w:color w:val="000000" w:themeColor="text1"/>
          <w:sz w:val="24"/>
          <w:szCs w:val="24"/>
          <w:lang w:eastAsia="zh-CN"/>
          <w14:textFill>
            <w14:solidFill>
              <w14:schemeClr w14:val="tx1"/>
            </w14:solidFill>
          </w14:textFill>
        </w:rPr>
        <w:t>明确产品及相关快递服务的具体包装要求：</w:t>
      </w:r>
    </w:p>
    <w:p w14:paraId="5BCBC366">
      <w:pPr>
        <w:pageBreakBefore w:val="0"/>
        <w:numPr>
          <w:ilvl w:val="0"/>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lang w:val="en-US" w:eastAsia="zh-CN"/>
          <w14:textFill>
            <w14:solidFill>
              <w14:schemeClr w14:val="tx1"/>
            </w14:solidFill>
          </w14:textFill>
        </w:rPr>
      </w:pP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 xml:space="preserve">是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14:textFill>
            <w14:solidFill>
              <w14:schemeClr w14:val="tx1"/>
            </w14:solidFill>
          </w14:textFill>
        </w:rPr>
        <w:t>否</w:t>
      </w:r>
      <w:r>
        <w:rPr>
          <w:rFonts w:hint="eastAsia" w:ascii="宋体" w:hAnsi="宋体" w:eastAsia="宋体" w:cs="宋体"/>
          <w:iCs w:val="0"/>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14:textFill>
            <w14:solidFill>
              <w14:schemeClr w14:val="tx1"/>
            </w14:solidFill>
          </w14:textFill>
        </w:rPr>
        <w:sym w:font="Wingdings" w:char="00A8"/>
      </w:r>
      <w:r>
        <w:rPr>
          <w:rFonts w:hint="eastAsia" w:ascii="宋体" w:hAnsi="宋体" w:eastAsia="宋体" w:cs="宋体"/>
          <w:iCs w:val="0"/>
          <w:color w:val="000000" w:themeColor="text1"/>
          <w:sz w:val="24"/>
          <w:szCs w:val="24"/>
          <w:lang w:eastAsia="zh-CN"/>
          <w14:textFill>
            <w14:solidFill>
              <w14:schemeClr w14:val="tx1"/>
            </w14:solidFill>
          </w14:textFill>
        </w:rPr>
        <w:t>不涉及</w:t>
      </w:r>
    </w:p>
    <w:p w14:paraId="5B1CB0A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合同金额</w:t>
      </w:r>
    </w:p>
    <w:p w14:paraId="16EBCBE6">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（1）合同金额小写：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大写：</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14:textFill>
            <w14:solidFill>
              <w14:schemeClr w14:val="tx1"/>
            </w14:solidFill>
          </w14:textFill>
        </w:rPr>
        <w:t xml:space="preserve">      </w:t>
      </w:r>
    </w:p>
    <w:p w14:paraId="3CD50142">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（注：固定单价合同应填写单价和最高限价）</w:t>
      </w:r>
    </w:p>
    <w:p w14:paraId="42DFE7F4">
      <w:pPr>
        <w:pageBreakBefore w:val="0"/>
        <w:numPr>
          <w:ilvl w:val="0"/>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合同定价方式</w:t>
      </w:r>
      <w:r>
        <w:rPr>
          <w:rFonts w:hint="eastAsia" w:ascii="宋体" w:hAnsi="宋体" w:eastAsia="宋体" w:cs="宋体"/>
          <w:color w:val="000000" w:themeColor="text1"/>
          <w:sz w:val="24"/>
          <w:szCs w:val="24"/>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14:textFill>
            <w14:solidFill>
              <w14:schemeClr w14:val="tx1"/>
            </w14:solidFill>
          </w14:textFill>
        </w:rPr>
        <w:t>：</w:t>
      </w:r>
    </w:p>
    <w:p w14:paraId="241B007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FE"/>
      </w:r>
      <w:r>
        <w:rPr>
          <w:rFonts w:hint="eastAsia" w:ascii="宋体" w:hAnsi="宋体" w:eastAsia="宋体" w:cs="宋体"/>
          <w:iCs/>
          <w:color w:val="000000" w:themeColor="text1"/>
          <w:sz w:val="24"/>
          <w:szCs w:val="24"/>
          <w14:textFill>
            <w14:solidFill>
              <w14:schemeClr w14:val="tx1"/>
            </w14:solidFill>
          </w14:textFill>
        </w:rPr>
        <w:t xml:space="preserve">固定总价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固定单价</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固定费率</w:t>
      </w:r>
      <w:r>
        <w:rPr>
          <w:rFonts w:hint="eastAsia" w:ascii="宋体" w:hAnsi="宋体" w:eastAsia="宋体" w:cs="宋体"/>
          <w:iCs/>
          <w:color w:val="000000" w:themeColor="text1"/>
          <w:sz w:val="24"/>
          <w:szCs w:val="24"/>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 xml:space="preserve">成本补偿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14:textFill>
            <w14:solidFill>
              <w14:schemeClr w14:val="tx1"/>
            </w14:solidFill>
          </w14:textFill>
        </w:rPr>
        <w:t>绩效激励</w:t>
      </w:r>
      <w:r>
        <w:rPr>
          <w:rFonts w:hint="eastAsia" w:ascii="宋体" w:hAnsi="宋体" w:eastAsia="宋体" w:cs="宋体"/>
          <w:iCs/>
          <w:color w:val="000000" w:themeColor="text1"/>
          <w:sz w:val="24"/>
          <w:szCs w:val="24"/>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14:textFill>
            <w14:solidFill>
              <w14:schemeClr w14:val="tx1"/>
            </w14:solidFill>
          </w14:textFill>
        </w:rPr>
        <w:sym w:font="Wingdings" w:char="00A8"/>
      </w:r>
      <w:r>
        <w:rPr>
          <w:rFonts w:hint="eastAsia" w:ascii="宋体" w:hAnsi="宋体" w:eastAsia="宋体" w:cs="宋体"/>
          <w:iCs/>
          <w:color w:val="000000" w:themeColor="text1"/>
          <w:sz w:val="24"/>
          <w:szCs w:val="24"/>
          <w:lang w:eastAsia="zh-CN"/>
          <w14:textFill>
            <w14:solidFill>
              <w14:schemeClr w14:val="tx1"/>
            </w14:solidFill>
          </w14:textFill>
        </w:rPr>
        <w:t>其他</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5AE7000">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）付款方式（按项目实际勾选填写）：</w:t>
      </w:r>
    </w:p>
    <w:p w14:paraId="0D662C7A">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全额付款：</w:t>
      </w:r>
      <w:r>
        <w:rPr>
          <w:rFonts w:hint="eastAsia" w:ascii="宋体" w:hAnsi="宋体" w:eastAsia="宋体" w:cs="宋体"/>
          <w:color w:val="000000" w:themeColor="text1"/>
          <w:sz w:val="24"/>
          <w:szCs w:val="24"/>
          <w:u w:val="single"/>
          <w14:textFill>
            <w14:solidFill>
              <w14:schemeClr w14:val="tx1"/>
            </w14:solidFill>
          </w14:textFill>
        </w:rPr>
        <w:t xml:space="preserve">     （应</w:t>
      </w:r>
      <w:r>
        <w:rPr>
          <w:rFonts w:hint="eastAsia" w:ascii="宋体" w:hAnsi="宋体" w:eastAsia="宋体" w:cs="宋体"/>
          <w:color w:val="000000" w:themeColor="text1"/>
          <w:sz w:val="24"/>
          <w:szCs w:val="24"/>
          <w:u w:val="single"/>
          <w:lang w:eastAsia="zh-CN"/>
          <w14:textFill>
            <w14:solidFill>
              <w14:schemeClr w14:val="tx1"/>
            </w14:solidFill>
          </w14:textFill>
        </w:rPr>
        <w:t>明确</w:t>
      </w:r>
      <w:r>
        <w:rPr>
          <w:rFonts w:hint="eastAsia" w:ascii="宋体" w:hAnsi="宋体" w:eastAsia="宋体" w:cs="宋体"/>
          <w:color w:val="000000" w:themeColor="text1"/>
          <w:sz w:val="24"/>
          <w:szCs w:val="24"/>
          <w:u w:val="single"/>
          <w14:textFill>
            <w14:solidFill>
              <w14:schemeClr w14:val="tx1"/>
            </w14:solidFill>
          </w14:textFill>
        </w:rPr>
        <w:t>一次性支付合同款项</w:t>
      </w:r>
      <w:r>
        <w:rPr>
          <w:rFonts w:hint="eastAsia" w:ascii="宋体" w:hAnsi="宋体" w:eastAsia="宋体" w:cs="宋体"/>
          <w:color w:val="000000" w:themeColor="text1"/>
          <w:sz w:val="24"/>
          <w:szCs w:val="24"/>
          <w:u w:val="single"/>
          <w:lang w:eastAsia="zh-CN"/>
          <w14:textFill>
            <w14:solidFill>
              <w14:schemeClr w14:val="tx1"/>
            </w14:solidFill>
          </w14:textFill>
        </w:rPr>
        <w:t>的条件</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507A5780">
      <w:pPr>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分期付款：</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none"/>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t>其中涉及预付款的</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（应明确预付款的支付比例和支付条件） </w:t>
      </w:r>
    </w:p>
    <w:p w14:paraId="13ACCC41">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成本补偿：</w:t>
      </w:r>
      <w:r>
        <w:rPr>
          <w:rFonts w:hint="eastAsia" w:ascii="宋体" w:hAnsi="宋体" w:eastAsia="宋体" w:cs="宋体"/>
          <w:color w:val="000000" w:themeColor="text1"/>
          <w:sz w:val="24"/>
          <w:szCs w:val="24"/>
          <w:u w:val="single"/>
          <w14:textFill>
            <w14:solidFill>
              <w14:schemeClr w14:val="tx1"/>
            </w14:solidFill>
          </w14:textFill>
        </w:rPr>
        <w:t xml:space="preserve">      （应明确按照成本补偿方式的支付方式和支付条件）   </w:t>
      </w:r>
    </w:p>
    <w:p w14:paraId="11523576">
      <w:pPr>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14:textFill>
            <w14:solidFill>
              <w14:schemeClr w14:val="tx1"/>
            </w14:solidFill>
          </w14:textFill>
        </w:rPr>
        <w:t>绩效激励：</w:t>
      </w:r>
      <w:r>
        <w:rPr>
          <w:rFonts w:hint="eastAsia" w:ascii="宋体" w:hAnsi="宋体" w:eastAsia="宋体" w:cs="宋体"/>
          <w:color w:val="000000" w:themeColor="text1"/>
          <w:sz w:val="24"/>
          <w:szCs w:val="24"/>
          <w:u w:val="single"/>
          <w14:textFill>
            <w14:solidFill>
              <w14:schemeClr w14:val="tx1"/>
            </w14:solidFill>
          </w14:textFill>
        </w:rPr>
        <w:t xml:space="preserve">      （应明确按照绩效激励方式的支付方式和支付条件）   </w:t>
      </w:r>
    </w:p>
    <w:p w14:paraId="1472DABF">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000000" w:themeColor="text1"/>
          <w:sz w:val="24"/>
          <w:szCs w:val="24"/>
          <w:u w:val="single"/>
          <w14:textFill>
            <w14:solidFill>
              <w14:schemeClr w14:val="tx1"/>
            </w14:solidFill>
          </w14:textFill>
        </w:rPr>
      </w:pPr>
      <w:r>
        <w:rPr>
          <w:rFonts w:hint="eastAsia" w:ascii="宋体" w:hAnsi="宋体" w:eastAsia="宋体" w:cs="宋体"/>
          <w:b/>
          <w:bCs w:val="0"/>
          <w:color w:val="000000" w:themeColor="text1"/>
          <w:sz w:val="24"/>
          <w:szCs w:val="24"/>
          <w14:textFill>
            <w14:solidFill>
              <w14:schemeClr w14:val="tx1"/>
            </w14:solidFill>
          </w14:textFill>
        </w:rPr>
        <w:t>合同履行</w:t>
      </w:r>
    </w:p>
    <w:p w14:paraId="0CF3A08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（1）起始日期：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日，完成日期：</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BC80B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eastAsia="zh-CN"/>
          <w14:textFill>
            <w14:solidFill>
              <w14:schemeClr w14:val="tx1"/>
            </w14:solidFill>
          </w14:textFill>
        </w:rPr>
        <w:t>履约</w:t>
      </w:r>
      <w:r>
        <w:rPr>
          <w:rFonts w:hint="eastAsia" w:ascii="宋体" w:hAnsi="宋体" w:eastAsia="宋体" w:cs="宋体"/>
          <w:color w:val="000000" w:themeColor="text1"/>
          <w:sz w:val="24"/>
          <w:szCs w:val="24"/>
          <w14:textFill>
            <w14:solidFill>
              <w14:schemeClr w14:val="tx1"/>
            </w14:solidFill>
          </w14:textFill>
        </w:rPr>
        <w:t>地点</w:t>
      </w:r>
      <w:r>
        <w:rPr>
          <w:rFonts w:hint="eastAsia" w:ascii="宋体" w:hAnsi="宋体" w:eastAsia="宋体" w:cs="宋体"/>
          <w:b w:val="0"/>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0350BF1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（3）履约担保：</w:t>
      </w:r>
      <w:r>
        <w:rPr>
          <w:rFonts w:hint="eastAsia" w:ascii="宋体" w:hAnsi="宋体" w:eastAsia="宋体" w:cs="宋体"/>
          <w:color w:val="000000" w:themeColor="text1"/>
          <w:sz w:val="24"/>
          <w:szCs w:val="24"/>
          <w:lang w:val="en-US" w:eastAsia="zh-CN"/>
          <w14:textFill>
            <w14:solidFill>
              <w14:schemeClr w14:val="tx1"/>
            </w14:solidFill>
          </w14:textFill>
        </w:rPr>
        <w:t>是否收取履约保证金：</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是</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color w:val="000000" w:themeColor="text1"/>
          <w:sz w:val="24"/>
          <w:szCs w:val="24"/>
          <w:lang w:eastAsia="zh-CN"/>
          <w14:textFill>
            <w14:solidFill>
              <w14:schemeClr w14:val="tx1"/>
            </w14:solidFill>
          </w14:textFill>
        </w:rPr>
        <w:t>否</w:t>
      </w:r>
    </w:p>
    <w:p w14:paraId="68E72D31">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收取履约保证金形式：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4906651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收取履约保证金金额：</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036B745D">
      <w:pPr>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    履约担保期限</w:t>
      </w: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3503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（4）分期履行要求：</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3137AFA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w:t>
      </w:r>
      <w:r>
        <w:rPr>
          <w:rFonts w:hint="eastAsia" w:ascii="宋体" w:hAnsi="宋体" w:eastAsia="宋体" w:cs="宋体"/>
          <w:bCs/>
          <w:color w:val="000000" w:themeColor="text1"/>
          <w:sz w:val="24"/>
          <w:szCs w:val="24"/>
          <w:lang w:eastAsia="zh-CN"/>
          <w14:textFill>
            <w14:solidFill>
              <w14:schemeClr w14:val="tx1"/>
            </w14:solidFill>
          </w14:textFill>
        </w:rPr>
        <w:t>风险处置措施和替代方案</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1EA4FBE2">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合同验收</w:t>
      </w:r>
    </w:p>
    <w:p w14:paraId="78E44303">
      <w:pPr>
        <w:pageBreakBefore w:val="0"/>
        <w:numPr>
          <w:ilvl w:val="0"/>
          <w:numId w:val="8"/>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自行组织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委托第三方组织</w:t>
      </w:r>
    </w:p>
    <w:p w14:paraId="155C49B3">
      <w:pPr>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验收主体：</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2EACE438">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是否邀请本项目的其他供应商</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91F181D">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是否邀请专家</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34DAFEF2">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是否邀请服务对象</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B07E701">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是否邀请第三方检测机构</w:t>
      </w:r>
      <w:r>
        <w:rPr>
          <w:rFonts w:hint="eastAsia" w:ascii="宋体" w:hAnsi="宋体" w:eastAsia="宋体" w:cs="宋体"/>
          <w:bCs/>
          <w:color w:val="000000" w:themeColor="text1"/>
          <w:sz w:val="24"/>
          <w:szCs w:val="24"/>
          <w:lang w:eastAsia="zh-CN"/>
          <w14:textFill>
            <w14:solidFill>
              <w14:schemeClr w14:val="tx1"/>
            </w14:solidFill>
          </w14:textFill>
        </w:rPr>
        <w:t>参加验收</w:t>
      </w:r>
      <w:r>
        <w:rPr>
          <w:rFonts w:hint="eastAsia" w:ascii="宋体" w:hAnsi="宋体" w:eastAsia="宋体" w:cs="宋体"/>
          <w:bCs/>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20E237D3">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是否进行抽查检测：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，抽查比例：</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7C7DCD46">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是否存在破坏性检测：</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是</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lang w:eastAsia="zh-CN"/>
          <w14:textFill>
            <w14:solidFill>
              <w14:schemeClr w14:val="tx1"/>
            </w14:solidFill>
          </w14:textFill>
        </w:rPr>
        <w:t>（应明确对被破坏的检测产品的处理方式）</w:t>
      </w:r>
    </w:p>
    <w:p w14:paraId="12159F6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5CB40DFC">
      <w:pPr>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验收组织的其他事项：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936FE1F">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（2）履约验收时间：</w:t>
      </w:r>
      <w:r>
        <w:rPr>
          <w:rFonts w:hint="eastAsia" w:ascii="宋体" w:hAnsi="宋体" w:eastAsia="宋体" w:cs="宋体"/>
          <w:bCs/>
          <w:color w:val="000000" w:themeColor="text1"/>
          <w:sz w:val="24"/>
          <w:szCs w:val="24"/>
          <w:u w:val="single"/>
          <w14:textFill>
            <w14:solidFill>
              <w14:schemeClr w14:val="tx1"/>
            </w14:solidFill>
          </w14:textFill>
        </w:rPr>
        <w:t>（计划于何时验收/供应商提出验收申请之日起   日内组织验收）</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4A75457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（3）履约验收方式：</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一次性验收         </w:t>
      </w:r>
    </w:p>
    <w:p w14:paraId="467AECB1">
      <w:pPr>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分期/分项验收</w:t>
      </w:r>
      <w:r>
        <w:rPr>
          <w:rFonts w:hint="eastAsia" w:ascii="宋体" w:hAnsi="宋体" w:eastAsia="宋体" w:cs="宋体"/>
          <w:bCs/>
          <w:color w:val="000000" w:themeColor="text1"/>
          <w:sz w:val="24"/>
          <w:szCs w:val="24"/>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（应明确分期</w:t>
      </w:r>
      <w:r>
        <w:rPr>
          <w:rFonts w:hint="eastAsia" w:ascii="宋体" w:hAnsi="宋体" w:eastAsia="宋体" w:cs="宋体"/>
          <w:bCs/>
          <w:color w:val="000000" w:themeColor="text1"/>
          <w:sz w:val="24"/>
          <w:szCs w:val="24"/>
          <w:u w:val="single"/>
          <w:lang w:val="en" w:eastAsia="zh-CN"/>
          <w14:textFill>
            <w14:solidFill>
              <w14:schemeClr w14:val="tx1"/>
            </w14:solidFill>
          </w14:textFill>
        </w:rPr>
        <w:t>/分项验收的工作安排</w:t>
      </w:r>
      <w:r>
        <w:rPr>
          <w:rFonts w:hint="eastAsia" w:ascii="宋体" w:hAnsi="宋体" w:eastAsia="宋体" w:cs="宋体"/>
          <w:bCs/>
          <w:color w:val="000000" w:themeColor="text1"/>
          <w:sz w:val="24"/>
          <w:szCs w:val="24"/>
          <w:u w:val="single"/>
          <w:lang w:eastAsia="zh-CN"/>
          <w14:textFill>
            <w14:solidFill>
              <w14:schemeClr w14:val="tx1"/>
            </w14:solidFill>
          </w14:textFill>
        </w:rPr>
        <w:t>）</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val="en-US" w:eastAsia="zh-CN"/>
          <w14:textFill>
            <w14:solidFill>
              <w14:schemeClr w14:val="tx1"/>
            </w14:solidFill>
          </w14:textFill>
        </w:rPr>
        <w:t xml:space="preserve"> </w:t>
      </w:r>
    </w:p>
    <w:p w14:paraId="512A26C4">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（4）履约验收程序：</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1076EB2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（5）履约验收的内容：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u w:val="single"/>
          <w:lang w:eastAsia="zh-CN"/>
          <w14:textFill>
            <w14:solidFill>
              <w14:schemeClr w14:val="tx1"/>
            </w14:solidFill>
          </w14:textFill>
        </w:rPr>
        <w:t>（应当包括每一项技术和商务要求的履约情况，特别是落实政府采购扶持中小企业，支持绿色发展和乡村振兴等政策情况）</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535257A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（6）履约验收标准：</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7A96220E">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u w:val="none"/>
          <w:lang w:eastAsia="zh-CN"/>
          <w14:textFill>
            <w14:solidFill>
              <w14:schemeClr w14:val="tx1"/>
            </w14:solidFill>
          </w14:textFill>
        </w:rPr>
        <w:t>（</w:t>
      </w:r>
      <w:r>
        <w:rPr>
          <w:rFonts w:hint="eastAsia" w:ascii="宋体" w:hAnsi="宋体" w:eastAsia="宋体" w:cs="宋体"/>
          <w:bCs/>
          <w:color w:val="000000" w:themeColor="text1"/>
          <w:sz w:val="24"/>
          <w:szCs w:val="24"/>
          <w:u w:val="none"/>
          <w:lang w:val="en-US" w:eastAsia="zh-CN"/>
          <w14:textFill>
            <w14:solidFill>
              <w14:schemeClr w14:val="tx1"/>
            </w14:solidFill>
          </w14:textFill>
        </w:rPr>
        <w:t>7</w:t>
      </w:r>
      <w:r>
        <w:rPr>
          <w:rFonts w:hint="eastAsia" w:ascii="宋体" w:hAnsi="宋体" w:eastAsia="宋体" w:cs="宋体"/>
          <w:bCs/>
          <w:color w:val="000000" w:themeColor="text1"/>
          <w:sz w:val="24"/>
          <w:szCs w:val="24"/>
          <w:u w:val="none"/>
          <w:lang w:eastAsia="zh-CN"/>
          <w14:textFill>
            <w14:solidFill>
              <w14:schemeClr w14:val="tx1"/>
            </w14:solidFill>
          </w14:textFill>
        </w:rPr>
        <w:t>）是否以采购活动中供应商提供的样品作为参考：</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 xml:space="preserve">是  </w:t>
      </w:r>
      <w:r>
        <w:rPr>
          <w:rFonts w:hint="eastAsia" w:ascii="宋体" w:hAnsi="宋体" w:eastAsia="宋体" w:cs="宋体"/>
          <w:color w:val="000000" w:themeColor="text1"/>
          <w:sz w:val="24"/>
          <w:szCs w:val="24"/>
          <w14:textFill>
            <w14:solidFill>
              <w14:schemeClr w14:val="tx1"/>
            </w14:solidFill>
          </w14:textFill>
        </w:rPr>
        <w:sym w:font="Wingdings" w:char="00A8"/>
      </w:r>
      <w:r>
        <w:rPr>
          <w:rFonts w:hint="eastAsia" w:ascii="宋体" w:hAnsi="宋体" w:eastAsia="宋体" w:cs="宋体"/>
          <w:bCs/>
          <w:color w:val="000000" w:themeColor="text1"/>
          <w:sz w:val="24"/>
          <w:szCs w:val="24"/>
          <w14:textFill>
            <w14:solidFill>
              <w14:schemeClr w14:val="tx1"/>
            </w14:solidFill>
          </w14:textFill>
        </w:rPr>
        <w:t>否</w:t>
      </w:r>
    </w:p>
    <w:p w14:paraId="6396A7EE">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（8）履约验收其他事项：</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i w:val="0"/>
          <w:iCs w:val="0"/>
          <w:color w:val="000000" w:themeColor="text1"/>
          <w:sz w:val="24"/>
          <w:szCs w:val="24"/>
          <w:u w:val="single"/>
          <w14:textFill>
            <w14:solidFill>
              <w14:schemeClr w14:val="tx1"/>
            </w14:solidFill>
          </w14:textFill>
        </w:rPr>
        <w:t>（产权过户登记等）</w:t>
      </w:r>
      <w:r>
        <w:rPr>
          <w:rFonts w:hint="eastAsia" w:ascii="宋体" w:hAnsi="宋体" w:eastAsia="宋体" w:cs="宋体"/>
          <w:bCs/>
          <w:color w:val="000000" w:themeColor="text1"/>
          <w:sz w:val="24"/>
          <w:szCs w:val="24"/>
          <w:u w:val="single"/>
          <w14:textFill>
            <w14:solidFill>
              <w14:schemeClr w14:val="tx1"/>
            </w14:solidFill>
          </w14:textFill>
        </w:rPr>
        <w:t xml:space="preserve">          </w:t>
      </w:r>
    </w:p>
    <w:p w14:paraId="6BF5643A">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组成合同的文件</w:t>
      </w:r>
    </w:p>
    <w:p w14:paraId="165F29E3">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本协议书与下列文件一起构成合同文件，如下述文件之间有任何抵触、矛盾或歧义，应按以下顺序解释：</w:t>
      </w:r>
    </w:p>
    <w:p w14:paraId="18DF6C0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p>
    <w:p w14:paraId="053B7F0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）政府采购合同专用条款</w:t>
      </w:r>
    </w:p>
    <w:p w14:paraId="69D4487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）政府采购合同通用条款</w:t>
      </w:r>
    </w:p>
    <w:p w14:paraId="3C61B677">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p>
    <w:p w14:paraId="02255BA8">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）投标（响应）文件</w:t>
      </w:r>
    </w:p>
    <w:p w14:paraId="48EDA3FB">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（6）采购文件</w:t>
      </w:r>
    </w:p>
    <w:p w14:paraId="7A136021">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（7）有关技术文件，图纸</w:t>
      </w:r>
    </w:p>
    <w:p w14:paraId="02196D0F">
      <w:pPr>
        <w:pStyle w:val="113"/>
        <w:pageBreakBefore w:val="0"/>
        <w:kinsoku/>
        <w:wordWrap/>
        <w:overflowPunct/>
        <w:topLinePunct w:val="0"/>
        <w:bidi w:val="0"/>
        <w:spacing w:beforeLines="0" w:line="560" w:lineRule="exact"/>
        <w:textAlignment w:val="auto"/>
        <w:rPr>
          <w:rFonts w:hint="eastAsia" w:ascii="宋体" w:hAnsi="宋体" w:eastAsia="宋体" w:cs="宋体"/>
          <w:color w:val="000000" w:themeColor="text1"/>
          <w:kern w:val="2"/>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p>
    <w:p w14:paraId="4B951985">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合同生效</w:t>
      </w:r>
    </w:p>
    <w:p w14:paraId="04559A8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本合同自</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生效。</w:t>
      </w:r>
    </w:p>
    <w:p w14:paraId="257DC3E7">
      <w:pPr>
        <w:pageBreakBefore w:val="0"/>
        <w:numPr>
          <w:ilvl w:val="0"/>
          <w:numId w:val="6"/>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合同份数</w:t>
      </w:r>
    </w:p>
    <w:p w14:paraId="4A0379F0">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本合同一式</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val="en-US" w:eastAsia="zh-CN"/>
          <w14:textFill>
            <w14:solidFill>
              <w14:schemeClr w14:val="tx1"/>
            </w14:solidFill>
          </w14:textFill>
        </w:rPr>
        <w:t>代理机构</w:t>
      </w:r>
      <w:r>
        <w:rPr>
          <w:rFonts w:hint="eastAsia" w:ascii="宋体" w:hAnsi="宋体" w:eastAsia="宋体" w:cs="宋体"/>
          <w:color w:val="000000" w:themeColor="text1"/>
          <w:sz w:val="24"/>
          <w:szCs w:val="24"/>
          <w14:textFill>
            <w14:solidFill>
              <w14:schemeClr w14:val="tx1"/>
            </w14:solidFill>
          </w14:textFill>
        </w:rPr>
        <w:t>执</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均具有同等法律效力。</w:t>
      </w:r>
    </w:p>
    <w:p w14:paraId="64351A09">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合同订立时间：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年</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月</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日</w:t>
      </w:r>
    </w:p>
    <w:p w14:paraId="1021D10D">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合同订立地点：</w:t>
      </w:r>
      <w:r>
        <w:rPr>
          <w:rFonts w:hint="eastAsia" w:ascii="宋体" w:hAnsi="宋体" w:eastAsia="宋体" w:cs="宋体"/>
          <w:color w:val="000000" w:themeColor="text1"/>
          <w:sz w:val="24"/>
          <w:szCs w:val="24"/>
          <w:u w:val="single"/>
          <w14:textFill>
            <w14:solidFill>
              <w14:schemeClr w14:val="tx1"/>
            </w14:solidFill>
          </w14:textFill>
        </w:rPr>
        <w:t xml:space="preserve">                           </w:t>
      </w:r>
    </w:p>
    <w:p w14:paraId="2C4136F5">
      <w:pPr>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附件：具体标</w:t>
      </w:r>
      <w:r>
        <w:rPr>
          <w:rFonts w:hint="eastAsia" w:ascii="宋体" w:hAnsi="宋体" w:eastAsia="宋体" w:cs="宋体"/>
          <w:color w:val="000000" w:themeColor="text1"/>
          <w:sz w:val="24"/>
          <w:szCs w:val="24"/>
          <w:lang w:eastAsia="zh-CN"/>
          <w14:textFill>
            <w14:solidFill>
              <w14:schemeClr w14:val="tx1"/>
            </w14:solidFill>
          </w14:textFill>
        </w:rPr>
        <w:t>的及其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技术要求和商务要求</w:t>
      </w:r>
      <w:r>
        <w:rPr>
          <w:rFonts w:hint="eastAsia" w:ascii="宋体" w:hAnsi="宋体" w:eastAsia="宋体" w:cs="宋体"/>
          <w:color w:val="000000" w:themeColor="text1"/>
          <w:sz w:val="24"/>
          <w:szCs w:val="24"/>
          <w14:textFill>
            <w14:solidFill>
              <w14:schemeClr w14:val="tx1"/>
            </w14:solidFill>
          </w14:textFill>
        </w:rPr>
        <w:t>、联合协议、分包</w:t>
      </w:r>
      <w:r>
        <w:rPr>
          <w:rFonts w:hint="eastAsia" w:ascii="宋体" w:hAnsi="宋体" w:eastAsia="宋体" w:cs="宋体"/>
          <w:color w:val="000000" w:themeColor="text1"/>
          <w:sz w:val="24"/>
          <w:szCs w:val="24"/>
          <w:lang w:eastAsia="zh-CN"/>
          <w14:textFill>
            <w14:solidFill>
              <w14:schemeClr w14:val="tx1"/>
            </w14:solidFill>
          </w14:textFill>
        </w:rPr>
        <w:t>意向</w:t>
      </w:r>
      <w:r>
        <w:rPr>
          <w:rFonts w:hint="eastAsia" w:ascii="宋体" w:hAnsi="宋体" w:eastAsia="宋体" w:cs="宋体"/>
          <w:color w:val="000000" w:themeColor="text1"/>
          <w:sz w:val="24"/>
          <w:szCs w:val="24"/>
          <w14:textFill>
            <w14:solidFill>
              <w14:schemeClr w14:val="tx1"/>
            </w14:solidFill>
          </w14:textFill>
        </w:rPr>
        <w:t>协议等。</w:t>
      </w:r>
    </w:p>
    <w:p w14:paraId="1085E983">
      <w:pPr>
        <w:pStyle w:val="114"/>
        <w:pageBreakBefore w:val="0"/>
        <w:kinsoku/>
        <w:wordWrap/>
        <w:overflowPunct/>
        <w:topLinePunct w:val="0"/>
        <w:bidi w:val="0"/>
        <w:spacing w:beforeLines="0" w:line="560" w:lineRule="exact"/>
        <w:textAlignment w:val="auto"/>
        <w:rPr>
          <w:rFonts w:hint="eastAsia" w:ascii="宋体" w:hAnsi="宋体" w:eastAsia="宋体" w:cs="宋体"/>
          <w:color w:val="000000" w:themeColor="text1"/>
          <w:sz w:val="24"/>
          <w:szCs w:val="24"/>
          <w14:textFill>
            <w14:solidFill>
              <w14:schemeClr w14:val="tx1"/>
            </w14:solidFill>
          </w14:textFill>
        </w:rPr>
      </w:pPr>
    </w:p>
    <w:p w14:paraId="3A5F88EA">
      <w:pPr>
        <w:pageBreakBefore w:val="0"/>
        <w:kinsoku/>
        <w:wordWrap/>
        <w:overflowPunct/>
        <w:topLinePunct w:val="0"/>
        <w:bidi w:val="0"/>
        <w:spacing w:beforeLines="0" w:line="560" w:lineRule="exact"/>
        <w:textAlignment w:val="auto"/>
        <w:outlineLvl w:val="9"/>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
          <w14:textFill>
            <w14:solidFill>
              <w14:schemeClr w14:val="tx1"/>
            </w14:solidFill>
          </w14:textFill>
        </w:rPr>
        <w:t xml:space="preserve">   </w:t>
      </w:r>
    </w:p>
    <w:p w14:paraId="0B17A052">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r>
    </w:p>
    <w:tbl>
      <w:tblPr>
        <w:tblStyle w:val="35"/>
        <w:tblW w:w="5530" w:type="pct"/>
        <w:tblInd w:w="-541"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3436"/>
        <w:gridCol w:w="3343"/>
        <w:gridCol w:w="3443"/>
      </w:tblGrid>
      <w:tr w14:paraId="54B627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515" w:hRule="atLeast"/>
        </w:trPr>
        <w:tc>
          <w:tcPr>
            <w:tcW w:w="1681" w:type="pct"/>
            <w:tcBorders>
              <w:bottom w:val="single" w:color="auto" w:sz="2" w:space="0"/>
              <w:right w:val="single" w:color="auto" w:sz="2" w:space="0"/>
            </w:tcBorders>
            <w:noWrap w:val="0"/>
            <w:vAlign w:val="center"/>
          </w:tcPr>
          <w:p w14:paraId="32BE062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甲方</w:t>
            </w:r>
          </w:p>
          <w:p w14:paraId="53E37F7C">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35" w:type="pct"/>
            <w:tcBorders>
              <w:left w:val="single" w:color="auto" w:sz="2" w:space="0"/>
              <w:bottom w:val="single" w:color="auto" w:sz="2" w:space="0"/>
            </w:tcBorders>
            <w:noWrap w:val="0"/>
            <w:vAlign w:val="center"/>
          </w:tcPr>
          <w:p w14:paraId="2218F6E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w:t>
            </w:r>
          </w:p>
          <w:p w14:paraId="28F75B2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p>
        </w:tc>
        <w:tc>
          <w:tcPr>
            <w:tcW w:w="1682" w:type="pct"/>
            <w:tcBorders>
              <w:left w:val="single" w:color="auto" w:sz="2" w:space="0"/>
              <w:bottom w:val="single" w:color="auto" w:sz="2" w:space="0"/>
            </w:tcBorders>
            <w:noWrap w:val="0"/>
            <w:vAlign w:val="center"/>
          </w:tcPr>
          <w:p w14:paraId="02FEB22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代理机构</w:t>
            </w:r>
          </w:p>
          <w:p w14:paraId="451D6BD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陕西宸永项目管理有限公司</w:t>
            </w:r>
          </w:p>
        </w:tc>
      </w:tr>
      <w:tr w14:paraId="091970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829" w:hRule="atLeast"/>
        </w:trPr>
        <w:tc>
          <w:tcPr>
            <w:tcW w:w="1681" w:type="pct"/>
            <w:tcBorders>
              <w:top w:val="single" w:color="auto" w:sz="2" w:space="0"/>
              <w:bottom w:val="single" w:color="auto" w:sz="2" w:space="0"/>
              <w:right w:val="single" w:color="auto" w:sz="2" w:space="0"/>
            </w:tcBorders>
            <w:noWrap w:val="0"/>
            <w:vAlign w:val="center"/>
          </w:tcPr>
          <w:p w14:paraId="069D6B9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C5E006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310841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单位名称（公章</w:t>
            </w:r>
            <w:r>
              <w:rPr>
                <w:rFonts w:hint="eastAsia" w:ascii="宋体" w:hAnsi="宋体" w:eastAsia="宋体" w:cs="宋体"/>
                <w:color w:val="000000" w:themeColor="text1"/>
                <w:sz w:val="24"/>
                <w:szCs w:val="24"/>
                <w:lang w:eastAsia="zh-CN"/>
                <w14:textFill>
                  <w14:solidFill>
                    <w14:schemeClr w14:val="tx1"/>
                  </w14:solidFill>
                </w14:textFill>
              </w:rPr>
              <w:t>或合同章</w:t>
            </w:r>
            <w:r>
              <w:rPr>
                <w:rFonts w:hint="eastAsia" w:ascii="宋体" w:hAnsi="宋体" w:eastAsia="宋体" w:cs="宋体"/>
                <w:color w:val="000000" w:themeColor="text1"/>
                <w:sz w:val="24"/>
                <w:szCs w:val="24"/>
                <w14:textFill>
                  <w14:solidFill>
                    <w14:schemeClr w14:val="tx1"/>
                  </w14:solidFill>
                </w14:textFill>
              </w:rPr>
              <w:t>）</w:t>
            </w:r>
          </w:p>
        </w:tc>
      </w:tr>
      <w:tr w14:paraId="6BB42EF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478" w:hRule="atLeast"/>
        </w:trPr>
        <w:tc>
          <w:tcPr>
            <w:tcW w:w="1681" w:type="pct"/>
            <w:vMerge w:val="restart"/>
            <w:tcBorders>
              <w:top w:val="single" w:color="auto" w:sz="2" w:space="0"/>
              <w:right w:val="single" w:color="auto" w:sz="2" w:space="0"/>
            </w:tcBorders>
            <w:noWrap w:val="0"/>
            <w:vAlign w:val="center"/>
          </w:tcPr>
          <w:p w14:paraId="58E9961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6DB451C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6552EFE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tcBorders>
            <w:noWrap w:val="0"/>
            <w:vAlign w:val="center"/>
          </w:tcPr>
          <w:p w14:paraId="28C9EA9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067B68D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71954E39">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0405AAC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p w14:paraId="43C5463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或其委托代理人（签章）</w:t>
            </w:r>
          </w:p>
          <w:p w14:paraId="317BB9D4">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r>
      <w:tr w14:paraId="700EFB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vMerge w:val="continue"/>
            <w:tcBorders>
              <w:bottom w:val="single" w:color="auto" w:sz="2" w:space="0"/>
              <w:right w:val="single" w:color="auto" w:sz="2" w:space="0"/>
            </w:tcBorders>
            <w:noWrap w:val="0"/>
            <w:vAlign w:val="center"/>
          </w:tcPr>
          <w:p w14:paraId="777F3CB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51CB93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拥有者性别：</w:t>
            </w:r>
          </w:p>
        </w:tc>
        <w:tc>
          <w:tcPr>
            <w:tcW w:w="1682" w:type="pct"/>
            <w:vMerge w:val="restart"/>
            <w:tcBorders>
              <w:top w:val="single" w:color="auto" w:sz="2" w:space="0"/>
              <w:left w:val="single" w:color="auto" w:sz="2" w:space="0"/>
            </w:tcBorders>
            <w:noWrap w:val="0"/>
            <w:vAlign w:val="center"/>
          </w:tcPr>
          <w:p w14:paraId="4319681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所：延安市新区盛世花园北区12号楼一单元802室</w:t>
            </w:r>
          </w:p>
        </w:tc>
      </w:tr>
      <w:tr w14:paraId="141667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681" w:type="pct"/>
            <w:tcBorders>
              <w:top w:val="single" w:color="auto" w:sz="2" w:space="0"/>
              <w:bottom w:val="single" w:color="auto" w:sz="2" w:space="0"/>
              <w:right w:val="single" w:color="auto" w:sz="2" w:space="0"/>
            </w:tcBorders>
            <w:noWrap w:val="0"/>
            <w:vAlign w:val="center"/>
          </w:tcPr>
          <w:p w14:paraId="0F80752A">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p>
        </w:tc>
        <w:tc>
          <w:tcPr>
            <w:tcW w:w="1635" w:type="pct"/>
            <w:tcBorders>
              <w:top w:val="single" w:color="auto" w:sz="2" w:space="0"/>
              <w:left w:val="single" w:color="auto" w:sz="2" w:space="0"/>
              <w:bottom w:val="single" w:color="auto" w:sz="2" w:space="0"/>
            </w:tcBorders>
            <w:noWrap w:val="0"/>
            <w:vAlign w:val="center"/>
          </w:tcPr>
          <w:p w14:paraId="0716B770">
            <w:pPr>
              <w:keepNext w:val="0"/>
              <w:keepLines w:val="0"/>
              <w:pageBreakBefore w:val="0"/>
              <w:widowControl w:val="0"/>
              <w:kinsoku/>
              <w:wordWrap/>
              <w:overflowPunct/>
              <w:topLinePunct w:val="0"/>
              <w:autoSpaceDE/>
              <w:autoSpaceDN/>
              <w:bidi w:val="0"/>
              <w:adjustRightInd w:val="0"/>
              <w:snapToGrid w:val="0"/>
              <w:spacing w:line="400" w:lineRule="exact"/>
              <w:jc w:val="left"/>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住</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eastAsia="zh-CN"/>
                <w14:textFill>
                  <w14:solidFill>
                    <w14:schemeClr w14:val="tx1"/>
                  </w14:solidFill>
                </w14:textFill>
              </w:rPr>
              <w:t>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bottom w:val="single" w:color="auto" w:sz="2" w:space="0"/>
            </w:tcBorders>
            <w:noWrap w:val="0"/>
            <w:vAlign w:val="center"/>
          </w:tcPr>
          <w:p w14:paraId="40A51C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616AB09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61" w:hRule="atLeast"/>
        </w:trPr>
        <w:tc>
          <w:tcPr>
            <w:tcW w:w="1681" w:type="pct"/>
            <w:tcBorders>
              <w:top w:val="single" w:color="auto" w:sz="2" w:space="0"/>
              <w:bottom w:val="single" w:color="auto" w:sz="2" w:space="0"/>
              <w:right w:val="single" w:color="auto" w:sz="2" w:space="0"/>
            </w:tcBorders>
            <w:noWrap w:val="0"/>
            <w:vAlign w:val="center"/>
          </w:tcPr>
          <w:p w14:paraId="08E7B3C4">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5AD6E753">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24E38A6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 系 人</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杨工</w:t>
            </w:r>
          </w:p>
        </w:tc>
      </w:tr>
      <w:tr w14:paraId="3D79EFF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61" w:hRule="atLeast"/>
        </w:trPr>
        <w:tc>
          <w:tcPr>
            <w:tcW w:w="1681" w:type="pct"/>
            <w:tcBorders>
              <w:top w:val="single" w:color="auto" w:sz="2" w:space="0"/>
              <w:bottom w:val="single" w:color="auto" w:sz="2" w:space="0"/>
              <w:right w:val="single" w:color="auto" w:sz="2" w:space="0"/>
            </w:tcBorders>
            <w:noWrap w:val="0"/>
            <w:vAlign w:val="center"/>
          </w:tcPr>
          <w:p w14:paraId="6B35C575">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4A3512D7">
            <w:pPr>
              <w:keepNext w:val="0"/>
              <w:keepLines w:val="0"/>
              <w:pageBreakBefore w:val="0"/>
              <w:widowControl w:val="0"/>
              <w:kinsoku/>
              <w:wordWrap/>
              <w:overflowPunct/>
              <w:topLinePunct w:val="0"/>
              <w:autoSpaceDE/>
              <w:autoSpaceDN/>
              <w:bidi w:val="0"/>
              <w:adjustRightInd w:val="0"/>
              <w:snapToGrid w:val="0"/>
              <w:spacing w:line="400" w:lineRule="exact"/>
              <w:jc w:val="both"/>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B85625E">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联系电话</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0911-8688810</w:t>
            </w:r>
          </w:p>
        </w:tc>
      </w:tr>
      <w:tr w14:paraId="6DE0A9C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007" w:hRule="atLeast"/>
        </w:trPr>
        <w:tc>
          <w:tcPr>
            <w:tcW w:w="1681" w:type="pct"/>
            <w:tcBorders>
              <w:top w:val="single" w:color="auto" w:sz="2" w:space="0"/>
              <w:bottom w:val="single" w:color="auto" w:sz="2" w:space="0"/>
              <w:right w:val="single" w:color="auto" w:sz="2" w:space="0"/>
            </w:tcBorders>
            <w:noWrap w:val="0"/>
            <w:vAlign w:val="center"/>
          </w:tcPr>
          <w:p w14:paraId="448A6C4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p>
        </w:tc>
        <w:tc>
          <w:tcPr>
            <w:tcW w:w="1635" w:type="pct"/>
            <w:tcBorders>
              <w:top w:val="single" w:color="auto" w:sz="2" w:space="0"/>
              <w:left w:val="single" w:color="auto" w:sz="2" w:space="0"/>
              <w:bottom w:val="single" w:color="auto" w:sz="2" w:space="0"/>
            </w:tcBorders>
            <w:noWrap w:val="0"/>
            <w:vAlign w:val="center"/>
          </w:tcPr>
          <w:p w14:paraId="41258CA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4E390598">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通信地址：延安市新区盛世花园北区12号楼一单元802室</w:t>
            </w:r>
          </w:p>
        </w:tc>
      </w:tr>
      <w:tr w14:paraId="412EDC8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836" w:hRule="atLeast"/>
        </w:trPr>
        <w:tc>
          <w:tcPr>
            <w:tcW w:w="1681" w:type="pct"/>
            <w:tcBorders>
              <w:top w:val="single" w:color="auto" w:sz="2" w:space="0"/>
              <w:bottom w:val="single" w:color="auto" w:sz="2" w:space="0"/>
              <w:right w:val="single" w:color="auto" w:sz="2" w:space="0"/>
            </w:tcBorders>
            <w:noWrap w:val="0"/>
            <w:vAlign w:val="center"/>
          </w:tcPr>
          <w:p w14:paraId="1E342517">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8903D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82" w:type="pct"/>
            <w:tcBorders>
              <w:top w:val="single" w:color="auto" w:sz="2" w:space="0"/>
              <w:left w:val="single" w:color="auto" w:sz="2" w:space="0"/>
              <w:bottom w:val="single" w:color="auto" w:sz="2" w:space="0"/>
            </w:tcBorders>
            <w:noWrap w:val="0"/>
            <w:vAlign w:val="center"/>
          </w:tcPr>
          <w:p w14:paraId="792BA4B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邮政编码</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716000</w:t>
            </w:r>
          </w:p>
        </w:tc>
      </w:tr>
      <w:tr w14:paraId="26C6CC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78" w:hRule="atLeast"/>
        </w:trPr>
        <w:tc>
          <w:tcPr>
            <w:tcW w:w="1681" w:type="pct"/>
            <w:tcBorders>
              <w:top w:val="single" w:color="auto" w:sz="2" w:space="0"/>
              <w:bottom w:val="single" w:color="auto" w:sz="2" w:space="0"/>
              <w:right w:val="single" w:color="auto" w:sz="2" w:space="0"/>
            </w:tcBorders>
            <w:noWrap w:val="0"/>
            <w:vAlign w:val="center"/>
          </w:tcPr>
          <w:p w14:paraId="3678A83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30F64FF3">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p>
          <w:p w14:paraId="7798A89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p>
        </w:tc>
        <w:tc>
          <w:tcPr>
            <w:tcW w:w="1682" w:type="pct"/>
            <w:tcBorders>
              <w:top w:val="single" w:color="auto" w:sz="2" w:space="0"/>
              <w:left w:val="single" w:color="auto" w:sz="2" w:space="0"/>
              <w:bottom w:val="single" w:color="auto" w:sz="2" w:space="0"/>
            </w:tcBorders>
            <w:noWrap w:val="0"/>
            <w:vAlign w:val="center"/>
          </w:tcPr>
          <w:p w14:paraId="4684B25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电子邮箱</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eastAsia="zh-CN"/>
                <w14:textFill>
                  <w14:solidFill>
                    <w14:schemeClr w14:val="tx1"/>
                  </w14:solidFill>
                </w14:textFill>
              </w:rPr>
              <w:fldChar w:fldCharType="begin"/>
            </w:r>
            <w:r>
              <w:rPr>
                <w:rFonts w:hint="eastAsia" w:ascii="宋体" w:hAnsi="宋体" w:eastAsia="宋体" w:cs="宋体"/>
                <w:color w:val="000000" w:themeColor="text1"/>
                <w:sz w:val="24"/>
                <w:szCs w:val="24"/>
                <w:lang w:eastAsia="zh-CN"/>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lang w:eastAsia="zh-CN"/>
                <w14:textFill>
                  <w14:solidFill>
                    <w14:schemeClr w14:val="tx1"/>
                  </w14:solidFill>
                </w14:textFill>
              </w:rPr>
              <w:fldChar w:fldCharType="separate"/>
            </w:r>
            <w:r>
              <w:rPr>
                <w:rFonts w:hint="eastAsia" w:ascii="宋体" w:hAnsi="宋体" w:eastAsia="宋体" w:cs="宋体"/>
                <w:color w:val="000000" w:themeColor="text1"/>
                <w:sz w:val="24"/>
                <w:szCs w:val="24"/>
                <w:lang w:val="en-US" w:eastAsia="zh-CN"/>
                <w14:textFill>
                  <w14:solidFill>
                    <w14:schemeClr w14:val="tx1"/>
                  </w14:solidFill>
                </w14:textFill>
              </w:rPr>
              <w:t>471993164@qq.com</w:t>
            </w:r>
            <w:r>
              <w:rPr>
                <w:rFonts w:hint="eastAsia" w:ascii="宋体" w:hAnsi="宋体" w:eastAsia="宋体" w:cs="宋体"/>
                <w:color w:val="000000" w:themeColor="text1"/>
                <w:sz w:val="24"/>
                <w:szCs w:val="24"/>
                <w:lang w:eastAsia="zh-CN"/>
                <w14:textFill>
                  <w14:solidFill>
                    <w14:schemeClr w14:val="tx1"/>
                  </w14:solidFill>
                </w14:textFill>
              </w:rPr>
              <w:fldChar w:fldCharType="end"/>
            </w:r>
          </w:p>
        </w:tc>
      </w:tr>
      <w:tr w14:paraId="652F4F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778" w:hRule="atLeast"/>
        </w:trPr>
        <w:tc>
          <w:tcPr>
            <w:tcW w:w="1681" w:type="pct"/>
            <w:vMerge w:val="restart"/>
            <w:tcBorders>
              <w:top w:val="single" w:color="auto" w:sz="2" w:space="0"/>
              <w:right w:val="single" w:color="auto" w:sz="2" w:space="0"/>
            </w:tcBorders>
            <w:noWrap w:val="0"/>
            <w:vAlign w:val="center"/>
          </w:tcPr>
          <w:p w14:paraId="0B58360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w:t>
            </w:r>
          </w:p>
        </w:tc>
        <w:tc>
          <w:tcPr>
            <w:tcW w:w="1635" w:type="pct"/>
            <w:tcBorders>
              <w:top w:val="single" w:color="auto" w:sz="2" w:space="0"/>
              <w:left w:val="single" w:color="auto" w:sz="2" w:space="0"/>
              <w:bottom w:val="single" w:color="auto" w:sz="2" w:space="0"/>
            </w:tcBorders>
            <w:noWrap w:val="0"/>
            <w:vAlign w:val="center"/>
          </w:tcPr>
          <w:p w14:paraId="2D4955D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pacing w:val="20"/>
                <w:sz w:val="24"/>
                <w:szCs w:val="24"/>
                <w:lang w:val="en-US" w:eastAsia="zh-CN"/>
                <w14:textFill>
                  <w14:solidFill>
                    <w14:schemeClr w14:val="tx1"/>
                  </w14:solidFill>
                </w14:textFill>
              </w:rPr>
              <w:t>统一社会信用代码：</w:t>
            </w:r>
          </w:p>
        </w:tc>
        <w:tc>
          <w:tcPr>
            <w:tcW w:w="1682" w:type="pct"/>
            <w:vMerge w:val="restart"/>
            <w:tcBorders>
              <w:top w:val="single" w:color="auto" w:sz="2" w:space="0"/>
              <w:left w:val="single" w:color="auto" w:sz="2" w:space="0"/>
            </w:tcBorders>
            <w:noWrap w:val="0"/>
            <w:vAlign w:val="center"/>
          </w:tcPr>
          <w:p w14:paraId="03DD107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统一社会信用代码</w:t>
            </w:r>
            <w:r>
              <w:rPr>
                <w:rFonts w:hint="eastAsia" w:ascii="宋体" w:hAnsi="宋体" w:eastAsia="宋体" w:cs="宋体"/>
                <w:color w:val="000000" w:themeColor="text1"/>
                <w:sz w:val="24"/>
                <w:szCs w:val="24"/>
                <w:lang w:eastAsia="zh-CN"/>
                <w14:textFill>
                  <w14:solidFill>
                    <w14:schemeClr w14:val="tx1"/>
                  </w14:solidFill>
                </w14:textFill>
              </w:rPr>
              <w:t>：91610132MAB0PNX9XG</w:t>
            </w:r>
          </w:p>
        </w:tc>
      </w:tr>
      <w:tr w14:paraId="0B02C0F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1" w:hRule="atLeast"/>
        </w:trPr>
        <w:tc>
          <w:tcPr>
            <w:tcW w:w="1681" w:type="pct"/>
            <w:vMerge w:val="continue"/>
            <w:tcBorders>
              <w:right w:val="single" w:color="auto" w:sz="2" w:space="0"/>
            </w:tcBorders>
            <w:noWrap w:val="0"/>
            <w:vAlign w:val="center"/>
          </w:tcPr>
          <w:p w14:paraId="2540F99F">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7E3D10CC">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default" w:ascii="宋体" w:hAnsi="宋体" w:eastAsia="宋体" w:cs="宋体"/>
                <w:color w:val="000000" w:themeColor="text1"/>
                <w:spacing w:val="20"/>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开户名称</w:t>
            </w:r>
            <w:r>
              <w:rPr>
                <w:rFonts w:hint="eastAsia" w:ascii="宋体" w:hAnsi="宋体" w:eastAsia="宋体" w:cs="宋体"/>
                <w:color w:val="000000" w:themeColor="text1"/>
                <w:sz w:val="24"/>
                <w:szCs w:val="24"/>
                <w:lang w:val="en-US" w:eastAsia="zh-CN"/>
                <w14:textFill>
                  <w14:solidFill>
                    <w14:schemeClr w14:val="tx1"/>
                  </w14:solidFill>
                </w14:textFill>
              </w:rPr>
              <w:t>:</w:t>
            </w:r>
          </w:p>
        </w:tc>
        <w:tc>
          <w:tcPr>
            <w:tcW w:w="1682" w:type="pct"/>
            <w:vMerge w:val="continue"/>
            <w:tcBorders>
              <w:left w:val="single" w:color="auto" w:sz="2" w:space="0"/>
            </w:tcBorders>
            <w:noWrap w:val="0"/>
            <w:vAlign w:val="center"/>
          </w:tcPr>
          <w:p w14:paraId="5420F2FD">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334021A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right w:val="single" w:color="auto" w:sz="2" w:space="0"/>
            </w:tcBorders>
            <w:noWrap w:val="0"/>
            <w:vAlign w:val="center"/>
          </w:tcPr>
          <w:p w14:paraId="07A3FDF0">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4E77DF36">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开户银行:</w:t>
            </w:r>
          </w:p>
        </w:tc>
        <w:tc>
          <w:tcPr>
            <w:tcW w:w="1682" w:type="pct"/>
            <w:vMerge w:val="continue"/>
            <w:tcBorders>
              <w:left w:val="single" w:color="auto" w:sz="2" w:space="0"/>
            </w:tcBorders>
            <w:noWrap w:val="0"/>
            <w:vAlign w:val="center"/>
          </w:tcPr>
          <w:p w14:paraId="7C1C0F6B">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4A97BE5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612" w:hRule="atLeast"/>
        </w:trPr>
        <w:tc>
          <w:tcPr>
            <w:tcW w:w="1681" w:type="pct"/>
            <w:vMerge w:val="continue"/>
            <w:tcBorders>
              <w:bottom w:val="single" w:color="auto" w:sz="2" w:space="0"/>
              <w:right w:val="single" w:color="auto" w:sz="2" w:space="0"/>
            </w:tcBorders>
            <w:noWrap w:val="0"/>
            <w:vAlign w:val="center"/>
          </w:tcPr>
          <w:p w14:paraId="13C888C5">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635" w:type="pct"/>
            <w:tcBorders>
              <w:top w:val="single" w:color="auto" w:sz="2" w:space="0"/>
              <w:left w:val="single" w:color="auto" w:sz="2" w:space="0"/>
              <w:bottom w:val="single" w:color="auto" w:sz="2" w:space="0"/>
            </w:tcBorders>
            <w:noWrap w:val="0"/>
            <w:vAlign w:val="center"/>
          </w:tcPr>
          <w:p w14:paraId="2444F6A2">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银行账号：</w:t>
            </w:r>
          </w:p>
        </w:tc>
        <w:tc>
          <w:tcPr>
            <w:tcW w:w="1682" w:type="pct"/>
            <w:vMerge w:val="continue"/>
            <w:tcBorders>
              <w:left w:val="single" w:color="auto" w:sz="2" w:space="0"/>
              <w:bottom w:val="single" w:color="auto" w:sz="2" w:space="0"/>
            </w:tcBorders>
            <w:noWrap w:val="0"/>
            <w:vAlign w:val="center"/>
          </w:tcPr>
          <w:p w14:paraId="252FDE01">
            <w:pPr>
              <w:keepNext w:val="0"/>
              <w:keepLines w:val="0"/>
              <w:pageBreakBefore w:val="0"/>
              <w:widowControl w:val="0"/>
              <w:kinsoku/>
              <w:wordWrap/>
              <w:overflowPunct/>
              <w:topLinePunct w:val="0"/>
              <w:autoSpaceDE/>
              <w:autoSpaceDN/>
              <w:bidi w:val="0"/>
              <w:adjustRightInd w:val="0"/>
              <w:snapToGrid w:val="0"/>
              <w:spacing w:line="400" w:lineRule="exact"/>
              <w:jc w:val="center"/>
              <w:textAlignment w:val="auto"/>
              <w:rPr>
                <w:rFonts w:hint="eastAsia" w:ascii="宋体" w:hAnsi="宋体" w:eastAsia="宋体" w:cs="宋体"/>
                <w:color w:val="000000" w:themeColor="text1"/>
                <w:spacing w:val="20"/>
                <w:sz w:val="24"/>
                <w:szCs w:val="24"/>
                <w14:textFill>
                  <w14:solidFill>
                    <w14:schemeClr w14:val="tx1"/>
                  </w14:solidFill>
                </w14:textFill>
              </w:rPr>
            </w:pPr>
          </w:p>
        </w:tc>
      </w:tr>
      <w:tr w14:paraId="210791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3"/>
            <w:tcBorders>
              <w:top w:val="single" w:color="auto" w:sz="2" w:space="0"/>
            </w:tcBorders>
            <w:noWrap w:val="0"/>
            <w:vAlign w:val="center"/>
          </w:tcPr>
          <w:p w14:paraId="7AE08AFC">
            <w:pPr>
              <w:pStyle w:val="12"/>
              <w:keepNext w:val="0"/>
              <w:keepLines w:val="0"/>
              <w:pageBreakBefore w:val="0"/>
              <w:widowControl w:val="0"/>
              <w:kinsoku/>
              <w:wordWrap/>
              <w:overflowPunct/>
              <w:topLinePunct w:val="0"/>
              <w:autoSpaceDE/>
              <w:autoSpaceDN/>
              <w:bidi w:val="0"/>
              <w:adjustRightInd w:val="0"/>
              <w:snapToGrid w:val="0"/>
              <w:spacing w:before="156" w:beforeLines="50" w:after="0" w:line="400" w:lineRule="exact"/>
              <w:ind w:left="0" w:left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注：涉及联合体或其他合同主体的信息应按上表格式加列。</w:t>
            </w:r>
          </w:p>
        </w:tc>
      </w:tr>
    </w:tbl>
    <w:p w14:paraId="2C874029">
      <w:pPr>
        <w:pStyle w:val="3"/>
        <w:pageBreakBefore w:val="0"/>
        <w:kinsoku/>
        <w:wordWrap/>
        <w:overflowPunct/>
        <w:topLinePunct w:val="0"/>
        <w:bidi w:val="0"/>
        <w:adjustRightInd w:val="0"/>
        <w:snapToGrid w:val="0"/>
        <w:spacing w:before="156" w:beforeLines="50"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br w:type="page"/>
      </w:r>
      <w:bookmarkStart w:id="822" w:name="_Toc27624"/>
      <w:r>
        <w:rPr>
          <w:rFonts w:hint="eastAsia" w:ascii="宋体" w:hAnsi="宋体" w:eastAsia="宋体" w:cs="宋体"/>
          <w:b/>
          <w:bCs/>
          <w:color w:val="000000" w:themeColor="text1"/>
          <w:sz w:val="24"/>
          <w:szCs w:val="24"/>
          <w14:textFill>
            <w14:solidFill>
              <w14:schemeClr w14:val="tx1"/>
            </w14:solidFill>
          </w14:textFill>
        </w:rPr>
        <w:t>第二节 政府采购合同通用条款</w:t>
      </w:r>
      <w:bookmarkEnd w:id="822"/>
    </w:p>
    <w:p w14:paraId="744216D3">
      <w:pPr>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1.</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14:textFill>
            <w14:solidFill>
              <w14:schemeClr w14:val="tx1"/>
            </w14:solidFill>
          </w14:textFill>
        </w:rPr>
        <w:t>定义</w:t>
      </w:r>
    </w:p>
    <w:p w14:paraId="1EACE1A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1.1合同当事人</w:t>
      </w:r>
    </w:p>
    <w:p w14:paraId="426DDDD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（1）采购人（以下称甲方）是指使用财政性资金，通过政府采购方式向供应商购买货物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及其相关服务的</w:t>
      </w:r>
      <w:r>
        <w:rPr>
          <w:rFonts w:hint="eastAsia" w:ascii="宋体" w:hAnsi="宋体" w:eastAsia="宋体" w:cs="宋体"/>
          <w:color w:val="000000" w:themeColor="text1"/>
          <w:sz w:val="24"/>
          <w:szCs w:val="24"/>
          <w:highlight w:val="none"/>
          <w14:textFill>
            <w14:solidFill>
              <w14:schemeClr w14:val="tx1"/>
            </w14:solidFill>
          </w14:textFill>
        </w:rPr>
        <w:t>国家机关、事业单位、团体组织。</w:t>
      </w:r>
    </w:p>
    <w:p w14:paraId="0263F3E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（2）供应商（以下称</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方）是指参加政府采购活动并且中标（成交），向采购人提供</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合同约定的货物及其相关服务的法人、非法人组织或者自然人</w:t>
      </w:r>
      <w:r>
        <w:rPr>
          <w:rFonts w:hint="eastAsia" w:ascii="宋体" w:hAnsi="宋体" w:eastAsia="宋体" w:cs="宋体"/>
          <w:color w:val="000000" w:themeColor="text1"/>
          <w:sz w:val="24"/>
          <w:szCs w:val="24"/>
          <w:highlight w:val="none"/>
          <w14:textFill>
            <w14:solidFill>
              <w14:schemeClr w14:val="tx1"/>
            </w14:solidFill>
          </w14:textFill>
        </w:rPr>
        <w:t>。</w:t>
      </w:r>
    </w:p>
    <w:p w14:paraId="3FF755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（3）其他合同主体是指除采购人和供应商以外，</w:t>
      </w:r>
      <w:r>
        <w:rPr>
          <w:rFonts w:hint="eastAsia" w:ascii="宋体" w:hAnsi="宋体" w:eastAsia="宋体" w:cs="宋体"/>
          <w:bCs/>
          <w:color w:val="000000" w:themeColor="text1"/>
          <w:sz w:val="24"/>
          <w:szCs w:val="24"/>
          <w14:textFill>
            <w14:solidFill>
              <w14:schemeClr w14:val="tx1"/>
            </w14:solidFill>
          </w14:textFill>
        </w:rPr>
        <w:t>依法参与合同缔结或履行，享有权利、承担义务的合同当事人</w:t>
      </w:r>
      <w:r>
        <w:rPr>
          <w:rFonts w:hint="eastAsia" w:ascii="宋体" w:hAnsi="宋体" w:eastAsia="宋体" w:cs="宋体"/>
          <w:color w:val="000000" w:themeColor="text1"/>
          <w:sz w:val="24"/>
          <w:szCs w:val="24"/>
          <w:highlight w:val="none"/>
          <w14:textFill>
            <w14:solidFill>
              <w14:schemeClr w14:val="tx1"/>
            </w14:solidFill>
          </w14:textFill>
        </w:rPr>
        <w:t>。</w:t>
      </w:r>
    </w:p>
    <w:p w14:paraId="5AA66B6C">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1.2本合同下列术语应解释为：</w:t>
      </w:r>
    </w:p>
    <w:p w14:paraId="4BBF406F">
      <w:pPr>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（1）“合同”系指</w:t>
      </w:r>
      <w:r>
        <w:rPr>
          <w:rFonts w:hint="eastAsia" w:ascii="宋体" w:hAnsi="宋体" w:eastAsia="宋体" w:cs="宋体"/>
          <w:bCs/>
          <w:color w:val="000000" w:themeColor="text1"/>
          <w:sz w:val="24"/>
          <w:szCs w:val="24"/>
          <w14:textFill>
            <w14:solidFill>
              <w14:schemeClr w14:val="tx1"/>
            </w14:solidFill>
          </w14:textFill>
        </w:rPr>
        <w:t>合同当事人意思表示达成一致的任何协议，包括签署的</w:t>
      </w:r>
      <w:r>
        <w:rPr>
          <w:rFonts w:hint="eastAsia" w:ascii="宋体" w:hAnsi="宋体" w:eastAsia="宋体" w:cs="宋体"/>
          <w:color w:val="000000" w:themeColor="text1"/>
          <w:sz w:val="24"/>
          <w:szCs w:val="24"/>
          <w:lang w:eastAsia="zh-CN"/>
          <w14:textFill>
            <w14:solidFill>
              <w14:schemeClr w14:val="tx1"/>
            </w14:solidFill>
          </w14:textFill>
        </w:rPr>
        <w:t>政府采购</w:t>
      </w:r>
      <w:r>
        <w:rPr>
          <w:rFonts w:hint="eastAsia" w:ascii="宋体" w:hAnsi="宋体" w:eastAsia="宋体" w:cs="宋体"/>
          <w:color w:val="000000" w:themeColor="text1"/>
          <w:sz w:val="24"/>
          <w:szCs w:val="24"/>
          <w14:textFill>
            <w14:solidFill>
              <w14:schemeClr w14:val="tx1"/>
            </w14:solidFill>
          </w14:textFill>
        </w:rPr>
        <w:t>合同协议书及其变更、补充</w:t>
      </w:r>
      <w:r>
        <w:rPr>
          <w:rFonts w:hint="eastAsia" w:ascii="宋体" w:hAnsi="宋体" w:eastAsia="宋体" w:cs="宋体"/>
          <w:color w:val="000000" w:themeColor="text1"/>
          <w:sz w:val="24"/>
          <w:szCs w:val="24"/>
          <w:lang w:eastAsia="zh-CN"/>
          <w14:textFill>
            <w14:solidFill>
              <w14:schemeClr w14:val="tx1"/>
            </w14:solidFill>
          </w14:textFill>
        </w:rPr>
        <w:t>协议，</w:t>
      </w:r>
      <w:r>
        <w:rPr>
          <w:rFonts w:hint="eastAsia" w:ascii="宋体" w:hAnsi="宋体" w:eastAsia="宋体" w:cs="宋体"/>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政府采购合同通用条款</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中标</w:t>
      </w:r>
      <w:r>
        <w:rPr>
          <w:rFonts w:hint="eastAsia" w:ascii="宋体" w:hAnsi="宋体" w:eastAsia="宋体" w:cs="宋体"/>
          <w:color w:val="000000" w:themeColor="text1"/>
          <w:sz w:val="24"/>
          <w:szCs w:val="24"/>
          <w:lang w:eastAsia="zh-CN"/>
          <w14:textFill>
            <w14:solidFill>
              <w14:schemeClr w14:val="tx1"/>
            </w14:solidFill>
          </w14:textFill>
        </w:rPr>
        <w:t>（成交）</w:t>
      </w:r>
      <w:r>
        <w:rPr>
          <w:rFonts w:hint="eastAsia" w:ascii="宋体" w:hAnsi="宋体" w:eastAsia="宋体" w:cs="宋体"/>
          <w:color w:val="000000" w:themeColor="text1"/>
          <w:sz w:val="24"/>
          <w:szCs w:val="24"/>
          <w14:textFill>
            <w14:solidFill>
              <w14:schemeClr w14:val="tx1"/>
            </w14:solidFill>
          </w14:textFill>
        </w:rPr>
        <w:t>通知书</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投标（响应）文件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采购文件</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有关技术文件</w:t>
      </w:r>
      <w:r>
        <w:rPr>
          <w:rFonts w:hint="eastAsia" w:ascii="宋体" w:hAnsi="宋体" w:eastAsia="宋体" w:cs="宋体"/>
          <w:color w:val="000000" w:themeColor="text1"/>
          <w:sz w:val="24"/>
          <w:szCs w:val="24"/>
          <w:lang w:eastAsia="zh-CN"/>
          <w14:textFill>
            <w14:solidFill>
              <w14:schemeClr w14:val="tx1"/>
            </w14:solidFill>
          </w14:textFill>
        </w:rPr>
        <w:t>和</w:t>
      </w:r>
      <w:r>
        <w:rPr>
          <w:rFonts w:hint="eastAsia" w:ascii="宋体" w:hAnsi="宋体" w:eastAsia="宋体" w:cs="宋体"/>
          <w:color w:val="000000" w:themeColor="text1"/>
          <w:sz w:val="24"/>
          <w:szCs w:val="24"/>
          <w14:textFill>
            <w14:solidFill>
              <w14:schemeClr w14:val="tx1"/>
            </w14:solidFill>
          </w14:textFill>
        </w:rPr>
        <w:t>图纸</w:t>
      </w:r>
      <w:r>
        <w:rPr>
          <w:rFonts w:hint="eastAsia" w:ascii="宋体" w:hAnsi="宋体" w:eastAsia="宋体" w:cs="宋体"/>
          <w:color w:val="000000" w:themeColor="text1"/>
          <w:sz w:val="24"/>
          <w:szCs w:val="24"/>
          <w:lang w:eastAsia="zh-CN"/>
          <w14:textFill>
            <w14:solidFill>
              <w14:schemeClr w14:val="tx1"/>
            </w14:solidFill>
          </w14:textFill>
        </w:rPr>
        <w:t>，以及</w:t>
      </w:r>
      <w:r>
        <w:rPr>
          <w:rFonts w:hint="eastAsia" w:ascii="宋体" w:hAnsi="宋体" w:eastAsia="宋体" w:cs="宋体"/>
          <w:bCs w:val="0"/>
          <w:color w:val="000000" w:themeColor="text1"/>
          <w:kern w:val="2"/>
          <w:sz w:val="24"/>
          <w:szCs w:val="24"/>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eastAsia="宋体" w:cs="宋体"/>
          <w:color w:val="000000" w:themeColor="text1"/>
          <w:sz w:val="24"/>
          <w:szCs w:val="24"/>
          <w:highlight w:val="none"/>
          <w14:textFill>
            <w14:solidFill>
              <w14:schemeClr w14:val="tx1"/>
            </w14:solidFill>
          </w14:textFill>
        </w:rPr>
        <w:t>。</w:t>
      </w:r>
    </w:p>
    <w:p w14:paraId="04EBF842">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）“合同价</w:t>
      </w:r>
      <w:r>
        <w:rPr>
          <w:rFonts w:hint="eastAsia" w:ascii="宋体" w:hAnsi="宋体" w:eastAsia="宋体" w:cs="宋体"/>
          <w:color w:val="000000" w:themeColor="text1"/>
          <w:sz w:val="24"/>
          <w:szCs w:val="24"/>
          <w:highlight w:val="none"/>
          <w:lang w:val="en-US" w:eastAsia="zh-CN"/>
          <w14:textFill>
            <w14:solidFill>
              <w14:schemeClr w14:val="tx1"/>
            </w14:solidFill>
          </w14:textFill>
        </w:rPr>
        <w:t>款</w:t>
      </w:r>
      <w:r>
        <w:rPr>
          <w:rFonts w:hint="eastAsia" w:ascii="宋体" w:hAnsi="宋体" w:eastAsia="宋体" w:cs="宋体"/>
          <w:color w:val="000000" w:themeColor="text1"/>
          <w:sz w:val="24"/>
          <w:szCs w:val="24"/>
          <w:highlight w:val="none"/>
          <w14:textFill>
            <w14:solidFill>
              <w14:schemeClr w14:val="tx1"/>
            </w14:solidFill>
          </w14:textFill>
        </w:rPr>
        <w:t>”系指根据本合同规定乙方在全面履行合同义务后甲方应支付给乙方的价款。</w:t>
      </w:r>
    </w:p>
    <w:p w14:paraId="0F482FF7">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）“货物”系指乙方根据本合同规定须向甲方提供的各种形态和种类的物品，包括原材料、设备、产品（包括软件）及相关的其备品备件、工具、手册及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技术资料和材料</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p>
    <w:p w14:paraId="3B85D41A">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服务”系指根据合同规定，乙方应提供的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与货物有关的</w:t>
      </w:r>
      <w:r>
        <w:rPr>
          <w:rFonts w:hint="eastAsia" w:ascii="宋体" w:hAnsi="宋体" w:eastAsia="宋体" w:cs="宋体"/>
          <w:color w:val="000000" w:themeColor="text1"/>
          <w:sz w:val="24"/>
          <w:szCs w:val="24"/>
          <w:highlight w:val="none"/>
          <w14:textFill>
            <w14:solidFill>
              <w14:schemeClr w14:val="tx1"/>
            </w14:solidFill>
          </w14:textFill>
        </w:rPr>
        <w:t>技术、管理和</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服务，包括但不限于：管理和质量保证、运输、保险、检验、现场准备、安装、集成、调试、培训、维修、</w:t>
      </w:r>
      <w:r>
        <w:rPr>
          <w:rFonts w:hint="eastAsia" w:ascii="宋体" w:hAnsi="宋体" w:eastAsia="宋体" w:cs="宋体"/>
          <w:color w:val="000000" w:themeColor="text1"/>
          <w:sz w:val="24"/>
          <w:szCs w:val="24"/>
          <w:highlight w:val="none"/>
          <w:lang w:eastAsia="zh-CN"/>
          <w14:textFill>
            <w14:solidFill>
              <w14:schemeClr w14:val="tx1"/>
            </w14:solidFill>
          </w14:textFill>
        </w:rPr>
        <w:t>废弃处置、</w:t>
      </w:r>
      <w:r>
        <w:rPr>
          <w:rFonts w:hint="eastAsia" w:ascii="宋体" w:hAnsi="宋体" w:eastAsia="宋体" w:cs="宋体"/>
          <w:color w:val="000000" w:themeColor="text1"/>
          <w:sz w:val="24"/>
          <w:szCs w:val="24"/>
          <w:highlight w:val="none"/>
          <w14:textFill>
            <w14:solidFill>
              <w14:schemeClr w14:val="tx1"/>
            </w14:solidFill>
          </w14:textFill>
        </w:rPr>
        <w:t>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义务。</w:t>
      </w:r>
    </w:p>
    <w:p w14:paraId="04AB164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yellow"/>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）“分包”系指中标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供应商按采购文件、投标（响应）文件的规定，根据分包意向协议，将中标</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成交</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项目中的部分履约内容，分给具有相应资质条件的供应商履行合同的行为。</w:t>
      </w:r>
    </w:p>
    <w:p w14:paraId="59106116">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“联合体”系指</w:t>
      </w:r>
      <w:r>
        <w:rPr>
          <w:rFonts w:hint="eastAsia" w:ascii="宋体" w:hAnsi="宋体" w:eastAsia="宋体" w:cs="宋体"/>
          <w:color w:val="000000" w:themeColor="text1"/>
          <w:sz w:val="24"/>
          <w:szCs w:val="24"/>
          <w:lang w:eastAsia="zh-CN"/>
          <w14:textFill>
            <w14:solidFill>
              <w14:schemeClr w14:val="tx1"/>
            </w14:solidFill>
          </w14:textFill>
        </w:rPr>
        <w:t>由</w:t>
      </w:r>
      <w:r>
        <w:rPr>
          <w:rFonts w:hint="eastAsia" w:ascii="宋体" w:hAnsi="宋体" w:eastAsia="宋体" w:cs="宋体"/>
          <w:color w:val="000000" w:themeColor="text1"/>
          <w:sz w:val="24"/>
          <w:szCs w:val="24"/>
          <w14:textFill>
            <w14:solidFill>
              <w14:schemeClr w14:val="tx1"/>
            </w14:solidFill>
          </w14:textFill>
        </w:rPr>
        <w:t>两个以上的自然人、法人或者</w:t>
      </w:r>
      <w:r>
        <w:rPr>
          <w:rFonts w:hint="eastAsia" w:ascii="宋体" w:hAnsi="宋体" w:eastAsia="宋体" w:cs="宋体"/>
          <w:color w:val="000000" w:themeColor="text1"/>
          <w:sz w:val="24"/>
          <w:szCs w:val="24"/>
          <w:lang w:val="en-US" w:eastAsia="zh-CN"/>
          <w14:textFill>
            <w14:solidFill>
              <w14:schemeClr w14:val="tx1"/>
            </w14:solidFill>
          </w14:textFill>
        </w:rPr>
        <w:t>非法人</w:t>
      </w:r>
      <w:r>
        <w:rPr>
          <w:rFonts w:hint="eastAsia" w:ascii="宋体" w:hAnsi="宋体" w:eastAsia="宋体" w:cs="宋体"/>
          <w:color w:val="000000" w:themeColor="text1"/>
          <w:sz w:val="24"/>
          <w:szCs w:val="24"/>
          <w14:textFill>
            <w14:solidFill>
              <w14:schemeClr w14:val="tx1"/>
            </w14:solidFill>
          </w14:textFill>
        </w:rPr>
        <w:t>组织组成，</w:t>
      </w:r>
      <w:r>
        <w:rPr>
          <w:rFonts w:hint="eastAsia" w:ascii="宋体" w:hAnsi="宋体" w:eastAsia="宋体" w:cs="宋体"/>
          <w:color w:val="000000" w:themeColor="text1"/>
          <w:sz w:val="24"/>
          <w:szCs w:val="24"/>
          <w:lang w:eastAsia="zh-CN"/>
          <w14:textFill>
            <w14:solidFill>
              <w14:schemeClr w14:val="tx1"/>
            </w14:solidFill>
          </w14:textFill>
        </w:rPr>
        <w:t>以一个供应商的身份共同参加政府采购的主体</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00239FB">
      <w:pPr>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）其他术语解释，见【</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w:t>
      </w:r>
    </w:p>
    <w:p w14:paraId="3746AF26">
      <w:pPr>
        <w:pageBreakBefore w:val="0"/>
        <w:numPr>
          <w:ilvl w:val="0"/>
          <w:numId w:val="9"/>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合同标的及金额</w:t>
      </w:r>
    </w:p>
    <w:p w14:paraId="4F173E8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其他</w:t>
      </w:r>
      <w:r>
        <w:rPr>
          <w:rFonts w:hint="eastAsia" w:ascii="宋体" w:hAnsi="宋体" w:eastAsia="宋体" w:cs="宋体"/>
          <w:color w:val="000000" w:themeColor="text1"/>
          <w:sz w:val="24"/>
          <w:szCs w:val="24"/>
          <w:highlight w:val="none"/>
          <w14:textFill>
            <w14:solidFill>
              <w14:schemeClr w14:val="tx1"/>
            </w14:solidFill>
          </w14:textFill>
        </w:rPr>
        <w:t>任何费用。</w:t>
      </w:r>
    </w:p>
    <w:p w14:paraId="405763B5">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3</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履行合同的时间、地点和方式</w:t>
      </w:r>
    </w:p>
    <w:p w14:paraId="72B70F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乙方应当在约定的时间、地点</w:t>
      </w:r>
      <w:r>
        <w:rPr>
          <w:rFonts w:hint="eastAsia" w:ascii="宋体" w:hAnsi="宋体" w:eastAsia="宋体" w:cs="宋体"/>
          <w:color w:val="000000" w:themeColor="text1"/>
          <w:sz w:val="24"/>
          <w:szCs w:val="24"/>
          <w:lang w:eastAsia="zh-CN"/>
          <w14:textFill>
            <w14:solidFill>
              <w14:schemeClr w14:val="tx1"/>
            </w14:solidFill>
          </w14:textFill>
        </w:rPr>
        <w:t>，按照约定</w:t>
      </w:r>
      <w:r>
        <w:rPr>
          <w:rFonts w:hint="eastAsia" w:ascii="宋体" w:hAnsi="宋体" w:eastAsia="宋体" w:cs="宋体"/>
          <w:color w:val="000000" w:themeColor="text1"/>
          <w:sz w:val="24"/>
          <w:szCs w:val="24"/>
          <w14:textFill>
            <w14:solidFill>
              <w14:schemeClr w14:val="tx1"/>
            </w14:solidFill>
          </w14:textFill>
        </w:rPr>
        <w:t>方式履行合同。</w:t>
      </w:r>
    </w:p>
    <w:p w14:paraId="50721F0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甲方的权利和义务</w:t>
      </w:r>
    </w:p>
    <w:p w14:paraId="5D3A613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签署合同后，甲方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，负责与本合同有关的事务。甲方有权对乙方的履约行为进行检查，并及时确认乙方提交的事项。甲方应当配合乙方完成相关项目实施工作。</w:t>
      </w:r>
    </w:p>
    <w:p w14:paraId="59D4779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甲方有权要求乙方按时提交各阶段有关安排计划，并有权定期核对乙方提供货物数量、规格、质量等内容。甲方有权督促乙方工作并要求乙方更换不符合要求的货物。</w:t>
      </w:r>
    </w:p>
    <w:p w14:paraId="415B89D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.3 甲方有权要求乙方对缺陷部分予以修复，并按合同约定享有货物保修及其他合同约定的权利。</w:t>
      </w:r>
    </w:p>
    <w:p w14:paraId="4655CC59">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4.4 甲方应当按照合同约定及时对交付的货物进行验收，</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w:t>
      </w:r>
      <w:r>
        <w:rPr>
          <w:rFonts w:hint="eastAsia" w:ascii="宋体" w:hAnsi="宋体" w:eastAsia="宋体" w:cs="宋体"/>
          <w:color w:val="000000" w:themeColor="text1"/>
          <w:sz w:val="24"/>
          <w:szCs w:val="24"/>
          <w:highlight w:val="none"/>
          <w:lang w:val="en-US" w:eastAsia="zh-CN"/>
          <w14:textFill>
            <w14:solidFill>
              <w14:schemeClr w14:val="tx1"/>
            </w14:solidFill>
          </w14:textFill>
        </w:rPr>
        <w:t>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约定的期限内对乙方履约提出任何异议或者向乙方作出任何说明的，</w:t>
      </w:r>
      <w:r>
        <w:rPr>
          <w:rFonts w:hint="eastAsia" w:ascii="宋体" w:hAnsi="宋体" w:eastAsia="宋体" w:cs="宋体"/>
          <w:color w:val="000000" w:themeColor="text1"/>
          <w:sz w:val="24"/>
          <w:szCs w:val="24"/>
          <w:highlight w:val="none"/>
          <w:lang w:val="en-US" w:eastAsia="zh-CN"/>
          <w14:textFill>
            <w14:solidFill>
              <w14:schemeClr w14:val="tx1"/>
            </w14:solidFill>
          </w14:textFill>
        </w:rPr>
        <w:t>视为验收通过。</w:t>
      </w:r>
    </w:p>
    <w:p w14:paraId="6D947307">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合同价款，不得以内部人员变更、履行内部付款流程等为由，拒绝或迟延支付。</w:t>
      </w:r>
    </w:p>
    <w:p w14:paraId="087FB9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 xml:space="preserve"> 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由甲方承担的其他义务和责任。</w:t>
      </w:r>
    </w:p>
    <w:p w14:paraId="57AAE342">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乙方的权利和义务</w:t>
      </w:r>
    </w:p>
    <w:p w14:paraId="2EB40A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 签署合同后，乙方</w:t>
      </w:r>
      <w:r>
        <w:rPr>
          <w:rFonts w:hint="eastAsia" w:ascii="宋体" w:hAnsi="宋体" w:eastAsia="宋体" w:cs="宋体"/>
          <w:color w:val="000000" w:themeColor="text1"/>
          <w:sz w:val="24"/>
          <w:szCs w:val="24"/>
          <w:highlight w:val="none"/>
          <w:lang w:eastAsia="zh-CN"/>
          <w14:textFill>
            <w14:solidFill>
              <w14:schemeClr w14:val="tx1"/>
            </w14:solidFill>
          </w14:textFill>
        </w:rPr>
        <w:t>应</w:t>
      </w:r>
      <w:r>
        <w:rPr>
          <w:rFonts w:hint="eastAsia" w:ascii="宋体" w:hAnsi="宋体" w:eastAsia="宋体" w:cs="宋体"/>
          <w:color w:val="000000" w:themeColor="text1"/>
          <w:sz w:val="24"/>
          <w:szCs w:val="24"/>
          <w:highlight w:val="none"/>
          <w14:textFill>
            <w14:solidFill>
              <w14:schemeClr w14:val="tx1"/>
            </w14:solidFill>
          </w14:textFill>
        </w:rPr>
        <w:t>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项目负责人（或项目联系人）</w:t>
      </w:r>
      <w:r>
        <w:rPr>
          <w:rFonts w:hint="eastAsia" w:ascii="宋体" w:hAnsi="宋体" w:eastAsia="宋体" w:cs="宋体"/>
          <w:color w:val="000000" w:themeColor="text1"/>
          <w:sz w:val="24"/>
          <w:szCs w:val="24"/>
          <w:highlight w:val="none"/>
          <w14:textFill>
            <w14:solidFill>
              <w14:schemeClr w14:val="tx1"/>
            </w14:solidFill>
          </w14:textFill>
        </w:rPr>
        <w:t>，负责与本合同有关的事务。</w:t>
      </w:r>
    </w:p>
    <w:p w14:paraId="6C93E12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.2 乙方应按照合同要求履约，充分合理安排，确保提供的货物</w:t>
      </w:r>
      <w:r>
        <w:rPr>
          <w:rFonts w:hint="eastAsia" w:ascii="宋体" w:hAnsi="宋体" w:eastAsia="宋体" w:cs="宋体"/>
          <w:color w:val="000000" w:themeColor="text1"/>
          <w:sz w:val="24"/>
          <w:szCs w:val="24"/>
          <w:highlight w:val="none"/>
          <w:lang w:eastAsia="zh-CN"/>
          <w14:textFill>
            <w14:solidFill>
              <w14:schemeClr w14:val="tx1"/>
            </w14:solidFill>
          </w14:textFill>
        </w:rPr>
        <w:t>及相关</w:t>
      </w:r>
      <w:r>
        <w:rPr>
          <w:rFonts w:hint="eastAsia" w:ascii="宋体" w:hAnsi="宋体" w:eastAsia="宋体" w:cs="宋体"/>
          <w:color w:val="000000" w:themeColor="text1"/>
          <w:sz w:val="24"/>
          <w:szCs w:val="24"/>
          <w:highlight w:val="none"/>
          <w14:textFill>
            <w14:solidFill>
              <w14:schemeClr w14:val="tx1"/>
            </w14:solidFill>
          </w14:textFill>
        </w:rPr>
        <w:t>服务符合合同</w:t>
      </w:r>
      <w:r>
        <w:rPr>
          <w:rFonts w:hint="eastAsia" w:ascii="宋体" w:hAnsi="宋体" w:eastAsia="宋体" w:cs="宋体"/>
          <w:color w:val="000000" w:themeColor="text1"/>
          <w:sz w:val="24"/>
          <w:szCs w:val="24"/>
          <w:highlight w:val="none"/>
          <w:lang w:eastAsia="zh-CN"/>
          <w14:textFill>
            <w14:solidFill>
              <w14:schemeClr w14:val="tx1"/>
            </w14:solidFill>
          </w14:textFill>
        </w:rPr>
        <w:t>有关</w:t>
      </w:r>
      <w:r>
        <w:rPr>
          <w:rFonts w:hint="eastAsia" w:ascii="宋体" w:hAnsi="宋体" w:eastAsia="宋体" w:cs="宋体"/>
          <w:color w:val="000000" w:themeColor="text1"/>
          <w:sz w:val="24"/>
          <w:szCs w:val="24"/>
          <w:highlight w:val="none"/>
          <w14:textFill>
            <w14:solidFill>
              <w14:schemeClr w14:val="tx1"/>
            </w14:solidFill>
          </w14:textFill>
        </w:rPr>
        <w:t>要求。接受项目行业管理部门及政府有关部门的指导，配合甲方的履约检查</w:t>
      </w:r>
      <w:r>
        <w:rPr>
          <w:rFonts w:hint="eastAsia" w:ascii="宋体" w:hAnsi="宋体" w:eastAsia="宋体" w:cs="宋体"/>
          <w:color w:val="000000" w:themeColor="text1"/>
          <w:sz w:val="24"/>
          <w:szCs w:val="24"/>
          <w:highlight w:val="none"/>
          <w:lang w:eastAsia="zh-CN"/>
          <w14:textFill>
            <w14:solidFill>
              <w14:schemeClr w14:val="tx1"/>
            </w14:solidFill>
          </w14:textFill>
        </w:rPr>
        <w:t>及验收</w:t>
      </w:r>
      <w:r>
        <w:rPr>
          <w:rFonts w:hint="eastAsia" w:ascii="宋体" w:hAnsi="宋体" w:eastAsia="宋体" w:cs="宋体"/>
          <w:color w:val="000000" w:themeColor="text1"/>
          <w:sz w:val="24"/>
          <w:szCs w:val="24"/>
          <w:highlight w:val="none"/>
          <w14:textFill>
            <w14:solidFill>
              <w14:schemeClr w14:val="tx1"/>
            </w14:solidFill>
          </w14:textFill>
        </w:rPr>
        <w:t>，并负责项目实施过程中的所有协调工作。</w:t>
      </w:r>
    </w:p>
    <w:p w14:paraId="4AB21999">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.3乙方有权根据合同约定向甲方收取</w:t>
      </w:r>
      <w:r>
        <w:rPr>
          <w:rFonts w:hint="eastAsia" w:ascii="宋体" w:hAnsi="宋体" w:eastAsia="宋体" w:cs="宋体"/>
          <w:color w:val="000000" w:themeColor="text1"/>
          <w:sz w:val="24"/>
          <w:szCs w:val="24"/>
          <w:highlight w:val="none"/>
          <w:lang w:eastAsia="zh-CN"/>
          <w14:textFill>
            <w14:solidFill>
              <w14:schemeClr w14:val="tx1"/>
            </w14:solidFill>
          </w14:textFill>
        </w:rPr>
        <w:t>合同价款</w:t>
      </w:r>
      <w:r>
        <w:rPr>
          <w:rFonts w:hint="eastAsia" w:ascii="宋体" w:hAnsi="宋体" w:eastAsia="宋体" w:cs="宋体"/>
          <w:color w:val="000000" w:themeColor="text1"/>
          <w:sz w:val="24"/>
          <w:szCs w:val="24"/>
          <w:highlight w:val="none"/>
          <w14:textFill>
            <w14:solidFill>
              <w14:schemeClr w14:val="tx1"/>
            </w14:solidFill>
          </w14:textFill>
        </w:rPr>
        <w:t>。</w:t>
      </w:r>
    </w:p>
    <w:p w14:paraId="0D4F5191">
      <w:pPr>
        <w:pStyle w:val="11"/>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.4国家法律法规规定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约定应</w:t>
      </w:r>
      <w:r>
        <w:rPr>
          <w:rFonts w:hint="eastAsia" w:ascii="宋体" w:hAnsi="宋体" w:eastAsia="宋体" w:cs="宋体"/>
          <w:color w:val="000000" w:themeColor="text1"/>
          <w:sz w:val="24"/>
          <w:szCs w:val="24"/>
          <w:highlight w:val="none"/>
          <w14:textFill>
            <w14:solidFill>
              <w14:schemeClr w14:val="tx1"/>
            </w14:solidFill>
          </w14:textFill>
        </w:rPr>
        <w:t>由乙方承担的其他义务和责任。</w:t>
      </w:r>
    </w:p>
    <w:p w14:paraId="3DC0D8AD">
      <w:pPr>
        <w:pageBreakBefore w:val="0"/>
        <w:numPr>
          <w:ilvl w:val="0"/>
          <w:numId w:val="1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合同履</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行</w:t>
      </w:r>
    </w:p>
    <w:p w14:paraId="61FAD63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 甲乙双方应当按照</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约定顺序履行合同义务；如果没有先后顺序的，应当同时履行。</w:t>
      </w:r>
    </w:p>
    <w:p w14:paraId="7CA99CC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0E9169CE">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货物包装、运输</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保险</w:t>
      </w:r>
      <w:r>
        <w:rPr>
          <w:rFonts w:hint="eastAsia" w:ascii="宋体" w:hAnsi="宋体" w:eastAsia="宋体" w:cs="宋体"/>
          <w:b/>
          <w:bCs/>
          <w:color w:val="000000" w:themeColor="text1"/>
          <w:sz w:val="24"/>
          <w:szCs w:val="24"/>
          <w:highlight w:val="none"/>
          <w:lang w:eastAsia="zh-CN"/>
          <w14:textFill>
            <w14:solidFill>
              <w14:schemeClr w14:val="tx1"/>
            </w14:solidFill>
          </w14:textFill>
        </w:rPr>
        <w:t>和交付</w:t>
      </w:r>
      <w:r>
        <w:rPr>
          <w:rFonts w:hint="eastAsia" w:ascii="宋体" w:hAnsi="宋体" w:eastAsia="宋体" w:cs="宋体"/>
          <w:b/>
          <w:bCs/>
          <w:color w:val="000000" w:themeColor="text1"/>
          <w:sz w:val="24"/>
          <w:szCs w:val="24"/>
          <w:highlight w:val="none"/>
          <w14:textFill>
            <w14:solidFill>
              <w14:schemeClr w14:val="tx1"/>
            </w14:solidFill>
          </w14:textFill>
        </w:rPr>
        <w:t>要求</w:t>
      </w:r>
    </w:p>
    <w:p w14:paraId="4E0EC44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本合同</w:t>
      </w:r>
      <w:r>
        <w:rPr>
          <w:rFonts w:hint="eastAsia" w:ascii="宋体" w:hAnsi="宋体" w:eastAsia="宋体" w:cs="宋体"/>
          <w:bCs/>
          <w:color w:val="000000" w:themeColor="text1"/>
          <w:sz w:val="24"/>
          <w:szCs w:val="24"/>
          <w:highlight w:val="none"/>
          <w14:textFill>
            <w14:solidFill>
              <w14:schemeClr w14:val="tx1"/>
            </w14:solidFill>
          </w14:textFill>
        </w:rPr>
        <w:t>涉及商品包装</w:t>
      </w:r>
      <w:r>
        <w:rPr>
          <w:rFonts w:hint="eastAsia" w:ascii="宋体" w:hAnsi="宋体" w:eastAsia="宋体" w:cs="宋体"/>
          <w:bCs/>
          <w:color w:val="000000" w:themeColor="text1"/>
          <w:sz w:val="24"/>
          <w:szCs w:val="24"/>
          <w:highlight w:val="none"/>
          <w:lang w:eastAsia="zh-CN"/>
          <w14:textFill>
            <w14:solidFill>
              <w14:schemeClr w14:val="tx1"/>
            </w14:solidFill>
          </w14:textFill>
        </w:rPr>
        <w:t>、</w:t>
      </w:r>
      <w:r>
        <w:rPr>
          <w:rFonts w:hint="eastAsia" w:ascii="宋体" w:hAnsi="宋体" w:eastAsia="宋体" w:cs="宋体"/>
          <w:bCs/>
          <w:color w:val="000000" w:themeColor="text1"/>
          <w:sz w:val="24"/>
          <w:szCs w:val="24"/>
          <w:highlight w:val="none"/>
          <w14:textFill>
            <w14:solidFill>
              <w14:schemeClr w14:val="tx1"/>
            </w14:solidFill>
          </w14:textFill>
        </w:rPr>
        <w:t>快递包装的，</w:t>
      </w:r>
      <w:r>
        <w:rPr>
          <w:rFonts w:hint="eastAsia" w:ascii="宋体" w:hAnsi="宋体" w:eastAsia="宋体" w:cs="宋体"/>
          <w:color w:val="000000" w:themeColor="text1"/>
          <w:sz w:val="24"/>
          <w:szCs w:val="24"/>
          <w:highlight w:val="none"/>
          <w14:textFill>
            <w14:solidFill>
              <w14:schemeClr w14:val="tx1"/>
            </w14:solidFill>
          </w14:textFill>
        </w:rPr>
        <w:t>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约定的</w:t>
      </w:r>
      <w:r>
        <w:rPr>
          <w:rFonts w:hint="eastAsia" w:ascii="宋体" w:hAnsi="宋体" w:eastAsia="宋体" w:cs="宋体"/>
          <w:color w:val="000000" w:themeColor="text1"/>
          <w:sz w:val="24"/>
          <w:szCs w:val="24"/>
          <w:highlight w:val="none"/>
          <w14:textFill>
            <w14:solidFill>
              <w14:schemeClr w14:val="tx1"/>
            </w14:solidFill>
          </w14:textFill>
        </w:rPr>
        <w:t>指定现场。</w:t>
      </w:r>
    </w:p>
    <w:p w14:paraId="71C6687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除</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另有</w:t>
      </w:r>
      <w:r>
        <w:rPr>
          <w:rFonts w:hint="eastAsia" w:ascii="宋体" w:hAnsi="宋体" w:eastAsia="宋体" w:cs="宋体"/>
          <w:bCs/>
          <w:color w:val="000000" w:themeColor="text1"/>
          <w:sz w:val="24"/>
          <w:szCs w:val="24"/>
          <w:highlight w:val="none"/>
          <w:lang w:eastAsia="zh-CN"/>
          <w14:textFill>
            <w14:solidFill>
              <w14:schemeClr w14:val="tx1"/>
            </w14:solidFill>
          </w14:textFill>
        </w:rPr>
        <w:t>约</w:t>
      </w:r>
      <w:r>
        <w:rPr>
          <w:rFonts w:hint="eastAsia" w:ascii="宋体" w:hAnsi="宋体" w:eastAsia="宋体" w:cs="宋体"/>
          <w:bCs/>
          <w:color w:val="000000" w:themeColor="text1"/>
          <w:sz w:val="24"/>
          <w:szCs w:val="24"/>
          <w:highlight w:val="none"/>
          <w14:textFill>
            <w14:solidFill>
              <w14:schemeClr w14:val="tx1"/>
            </w14:solidFill>
          </w14:textFill>
        </w:rPr>
        <w:t>定</w:t>
      </w:r>
      <w:r>
        <w:rPr>
          <w:rFonts w:hint="eastAsia" w:ascii="宋体" w:hAnsi="宋体" w:eastAsia="宋体" w:cs="宋体"/>
          <w:bCs/>
          <w:color w:val="000000" w:themeColor="text1"/>
          <w:sz w:val="24"/>
          <w:szCs w:val="24"/>
          <w:highlight w:val="none"/>
          <w:lang w:eastAsia="zh-CN"/>
          <w14:textFill>
            <w14:solidFill>
              <w14:schemeClr w14:val="tx1"/>
            </w14:solidFill>
          </w14:textFill>
        </w:rPr>
        <w:t>外</w:t>
      </w:r>
      <w:r>
        <w:rPr>
          <w:rFonts w:hint="eastAsia" w:ascii="宋体" w:hAnsi="宋体" w:eastAsia="宋体" w:cs="宋体"/>
          <w:bCs/>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乙方负责办理将货物运抵本合同规定的交货地点</w:t>
      </w:r>
      <w:r>
        <w:rPr>
          <w:rFonts w:hint="eastAsia" w:ascii="宋体" w:hAnsi="宋体" w:eastAsia="宋体" w:cs="宋体"/>
          <w:color w:val="000000" w:themeColor="text1"/>
          <w:sz w:val="24"/>
          <w:szCs w:val="24"/>
          <w:highlight w:val="none"/>
          <w:lang w:eastAsia="zh-CN"/>
          <w14:textFill>
            <w14:solidFill>
              <w14:schemeClr w14:val="tx1"/>
            </w14:solidFill>
          </w14:textFill>
        </w:rPr>
        <w:t>，并装卸、交付至甲方</w:t>
      </w:r>
      <w:r>
        <w:rPr>
          <w:rFonts w:hint="eastAsia" w:ascii="宋体" w:hAnsi="宋体" w:eastAsia="宋体" w:cs="宋体"/>
          <w:color w:val="000000" w:themeColor="text1"/>
          <w:sz w:val="24"/>
          <w:szCs w:val="24"/>
          <w:highlight w:val="none"/>
          <w14:textFill>
            <w14:solidFill>
              <w14:schemeClr w14:val="tx1"/>
            </w14:solidFill>
          </w14:textFill>
        </w:rPr>
        <w:t>的一切运输事项，相关费用应</w:t>
      </w:r>
      <w:r>
        <w:rPr>
          <w:rFonts w:hint="eastAsia" w:ascii="宋体" w:hAnsi="宋体" w:eastAsia="宋体" w:cs="宋体"/>
          <w:color w:val="000000" w:themeColor="text1"/>
          <w:sz w:val="24"/>
          <w:szCs w:val="24"/>
          <w:highlight w:val="none"/>
          <w:lang w:eastAsia="zh-CN"/>
          <w14:textFill>
            <w14:solidFill>
              <w14:schemeClr w14:val="tx1"/>
            </w14:solidFill>
          </w14:textFill>
        </w:rPr>
        <w:t>包含</w:t>
      </w:r>
      <w:r>
        <w:rPr>
          <w:rFonts w:hint="eastAsia" w:ascii="宋体" w:hAnsi="宋体" w:eastAsia="宋体" w:cs="宋体"/>
          <w:color w:val="000000" w:themeColor="text1"/>
          <w:sz w:val="24"/>
          <w:szCs w:val="24"/>
          <w:highlight w:val="none"/>
          <w14:textFill>
            <w14:solidFill>
              <w14:schemeClr w14:val="tx1"/>
            </w14:solidFill>
          </w14:textFill>
        </w:rPr>
        <w:t>在合同</w:t>
      </w:r>
      <w:r>
        <w:rPr>
          <w:rFonts w:hint="eastAsia" w:ascii="宋体" w:hAnsi="宋体" w:eastAsia="宋体" w:cs="宋体"/>
          <w:color w:val="000000" w:themeColor="text1"/>
          <w:sz w:val="24"/>
          <w:szCs w:val="24"/>
          <w:highlight w:val="none"/>
          <w:lang w:eastAsia="zh-CN"/>
          <w14:textFill>
            <w14:solidFill>
              <w14:schemeClr w14:val="tx1"/>
            </w14:solidFill>
          </w14:textFill>
        </w:rPr>
        <w:t>价款</w:t>
      </w:r>
      <w:r>
        <w:rPr>
          <w:rFonts w:hint="eastAsia" w:ascii="宋体" w:hAnsi="宋体" w:eastAsia="宋体" w:cs="宋体"/>
          <w:color w:val="000000" w:themeColor="text1"/>
          <w:sz w:val="24"/>
          <w:szCs w:val="24"/>
          <w:highlight w:val="none"/>
          <w14:textFill>
            <w14:solidFill>
              <w14:schemeClr w14:val="tx1"/>
            </w14:solidFill>
          </w14:textFill>
        </w:rPr>
        <w:t>中。</w:t>
      </w:r>
    </w:p>
    <w:p w14:paraId="12964841">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.3 货物保险要求按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规定执行</w:t>
      </w:r>
      <w:r>
        <w:rPr>
          <w:rFonts w:hint="eastAsia" w:ascii="宋体" w:hAnsi="宋体" w:eastAsia="宋体" w:cs="宋体"/>
          <w:color w:val="000000" w:themeColor="text1"/>
          <w:sz w:val="24"/>
          <w:szCs w:val="24"/>
          <w:highlight w:val="none"/>
          <w14:textFill>
            <w14:solidFill>
              <w14:schemeClr w14:val="tx1"/>
            </w14:solidFill>
          </w14:textFill>
        </w:rPr>
        <w:t>。</w:t>
      </w:r>
    </w:p>
    <w:p w14:paraId="28087D0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 xml:space="preserve">.4 </w:t>
      </w:r>
      <w:r>
        <w:rPr>
          <w:rFonts w:hint="eastAsia" w:ascii="宋体" w:hAnsi="宋体" w:eastAsia="宋体" w:cs="宋体"/>
          <w:color w:val="000000" w:themeColor="text1"/>
          <w:sz w:val="24"/>
          <w:szCs w:val="24"/>
          <w:highlight w:val="none"/>
          <w:lang w:val="en-US" w:eastAsia="zh-CN"/>
          <w14:textFill>
            <w14:solidFill>
              <w14:schemeClr w14:val="tx1"/>
            </w14:solidFill>
          </w14:textFill>
        </w:rPr>
        <w:t>除采购活动</w:t>
      </w:r>
      <w:r>
        <w:rPr>
          <w:rFonts w:hint="eastAsia" w:ascii="宋体" w:hAnsi="宋体" w:eastAsia="宋体" w:cs="宋体"/>
          <w:color w:val="000000" w:themeColor="text1"/>
          <w:sz w:val="24"/>
          <w:szCs w:val="24"/>
          <w:highlight w:val="none"/>
          <w14:textFill>
            <w14:solidFill>
              <w14:schemeClr w14:val="tx1"/>
            </w14:solidFill>
          </w14:textFill>
        </w:rPr>
        <w:t>对商品包装</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w:t>
      </w:r>
      <w:r>
        <w:rPr>
          <w:rFonts w:hint="eastAsia" w:ascii="宋体" w:hAnsi="宋体" w:eastAsia="宋体" w:cs="宋体"/>
          <w:color w:val="000000" w:themeColor="text1"/>
          <w:sz w:val="24"/>
          <w:szCs w:val="24"/>
          <w:highlight w:val="none"/>
          <w:lang w:val="en-US" w:eastAsia="zh-CN"/>
          <w14:textFill>
            <w14:solidFill>
              <w14:schemeClr w14:val="tx1"/>
            </w14:solidFill>
          </w14:textFill>
        </w:rPr>
        <w:t>达成具体约定外</w:t>
      </w:r>
      <w:r>
        <w:rPr>
          <w:rFonts w:hint="eastAsia" w:ascii="宋体" w:hAnsi="宋体" w:eastAsia="宋体" w:cs="宋体"/>
          <w:color w:val="000000" w:themeColor="text1"/>
          <w:sz w:val="24"/>
          <w:szCs w:val="24"/>
          <w:highlight w:val="none"/>
          <w14:textFill>
            <w14:solidFill>
              <w14:schemeClr w14:val="tx1"/>
            </w14:solidFill>
          </w14:textFill>
        </w:rPr>
        <w:t>，乙方提供产品及相关快递服务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涉及到</w:t>
      </w:r>
      <w:r>
        <w:rPr>
          <w:rFonts w:hint="eastAsia" w:ascii="宋体" w:hAnsi="宋体" w:eastAsia="宋体" w:cs="宋体"/>
          <w:color w:val="000000" w:themeColor="text1"/>
          <w:sz w:val="24"/>
          <w:szCs w:val="24"/>
          <w:highlight w:val="none"/>
          <w14:textFill>
            <w14:solidFill>
              <w14:schemeClr w14:val="tx1"/>
            </w14:solidFill>
          </w14:textFill>
        </w:rPr>
        <w:t>具体包装要求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应</w:t>
      </w:r>
      <w:r>
        <w:rPr>
          <w:rFonts w:hint="eastAsia" w:ascii="宋体" w:hAnsi="宋体" w:eastAsia="宋体" w:cs="宋体"/>
          <w:color w:val="000000" w:themeColor="text1"/>
          <w:sz w:val="24"/>
          <w:szCs w:val="24"/>
          <w:highlight w:val="none"/>
          <w:lang w:val="en-US" w:eastAsia="zh-CN"/>
          <w14:textFill>
            <w14:solidFill>
              <w14:schemeClr w14:val="tx1"/>
            </w14:solidFill>
          </w14:textFill>
        </w:rPr>
        <w:t>不低于</w:t>
      </w:r>
      <w:r>
        <w:rPr>
          <w:rFonts w:hint="eastAsia" w:ascii="宋体" w:hAnsi="宋体" w:eastAsia="宋体" w:cs="宋体"/>
          <w:color w:val="000000" w:themeColor="text1"/>
          <w:sz w:val="24"/>
          <w:szCs w:val="24"/>
          <w:highlight w:val="none"/>
          <w14:textFill>
            <w14:solidFill>
              <w14:schemeClr w14:val="tx1"/>
            </w14:solidFill>
          </w14:textFill>
        </w:rPr>
        <w:t>《商品包装政府采购需求标准（试行）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快递包装政府采购需求标准（试行）》</w:t>
      </w:r>
      <w:r>
        <w:rPr>
          <w:rFonts w:hint="eastAsia" w:ascii="宋体" w:hAnsi="宋体" w:eastAsia="宋体" w:cs="宋体"/>
          <w:color w:val="000000" w:themeColor="text1"/>
          <w:sz w:val="24"/>
          <w:szCs w:val="24"/>
          <w:highlight w:val="none"/>
          <w:lang w:val="en-US" w:eastAsia="zh-CN"/>
          <w14:textFill>
            <w14:solidFill>
              <w14:schemeClr w14:val="tx1"/>
            </w14:solidFill>
          </w14:textFill>
        </w:rPr>
        <w:t>标准</w:t>
      </w:r>
      <w:r>
        <w:rPr>
          <w:rFonts w:hint="eastAsia" w:ascii="宋体" w:hAnsi="宋体" w:eastAsia="宋体" w:cs="宋体"/>
          <w:color w:val="000000" w:themeColor="text1"/>
          <w:sz w:val="24"/>
          <w:szCs w:val="24"/>
          <w:highlight w:val="none"/>
          <w14:textFill>
            <w14:solidFill>
              <w14:schemeClr w14:val="tx1"/>
            </w14:solidFill>
          </w14:textFill>
        </w:rPr>
        <w:t>，并作为履约验收的内容，必要时甲方可以要求乙方在履约验收环节出具检测报告。</w:t>
      </w:r>
    </w:p>
    <w:p w14:paraId="355B2D3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7.5 </w:t>
      </w:r>
      <w:r>
        <w:rPr>
          <w:rFonts w:hint="eastAsia" w:ascii="宋体" w:hAnsi="宋体" w:eastAsia="宋体" w:cs="宋体"/>
          <w:color w:val="000000" w:themeColor="text1"/>
          <w:sz w:val="24"/>
          <w:szCs w:val="24"/>
          <w14:textFill>
            <w14:solidFill>
              <w14:schemeClr w14:val="tx1"/>
            </w14:solidFill>
          </w14:textFill>
        </w:rPr>
        <w:t>乙方在运输到达之前</w:t>
      </w:r>
      <w:r>
        <w:rPr>
          <w:rFonts w:hint="eastAsia" w:ascii="宋体" w:hAnsi="宋体" w:eastAsia="宋体" w:cs="宋体"/>
          <w:color w:val="000000" w:themeColor="text1"/>
          <w:sz w:val="24"/>
          <w:szCs w:val="24"/>
          <w:lang w:eastAsia="zh-CN"/>
          <w14:textFill>
            <w14:solidFill>
              <w14:schemeClr w14:val="tx1"/>
            </w14:solidFill>
          </w14:textFill>
        </w:rPr>
        <w:t>应</w:t>
      </w:r>
      <w:r>
        <w:rPr>
          <w:rFonts w:hint="eastAsia" w:ascii="宋体" w:hAnsi="宋体" w:eastAsia="宋体" w:cs="宋体"/>
          <w:color w:val="000000" w:themeColor="text1"/>
          <w:sz w:val="24"/>
          <w:szCs w:val="24"/>
          <w14:textFill>
            <w14:solidFill>
              <w14:schemeClr w14:val="tx1"/>
            </w14:solidFill>
          </w14:textFill>
        </w:rPr>
        <w:t>提前通知</w:t>
      </w:r>
      <w:r>
        <w:rPr>
          <w:rFonts w:hint="eastAsia" w:ascii="宋体" w:hAnsi="宋体" w:eastAsia="宋体" w:cs="宋体"/>
          <w:color w:val="000000" w:themeColor="text1"/>
          <w:sz w:val="24"/>
          <w:szCs w:val="24"/>
          <w:lang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，并提示货物运输装卸的注意事项</w:t>
      </w:r>
      <w:r>
        <w:rPr>
          <w:rFonts w:hint="eastAsia" w:ascii="宋体" w:hAnsi="宋体" w:eastAsia="宋体" w:cs="宋体"/>
          <w:color w:val="000000" w:themeColor="text1"/>
          <w:sz w:val="24"/>
          <w:szCs w:val="24"/>
          <w:lang w:eastAsia="zh-CN"/>
          <w14:textFill>
            <w14:solidFill>
              <w14:schemeClr w14:val="tx1"/>
            </w14:solidFill>
          </w14:textFill>
        </w:rPr>
        <w:t>，甲方配合乙方做好货物的接收工作。</w:t>
      </w:r>
    </w:p>
    <w:p w14:paraId="7582BAC5">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 xml:space="preserve">7.6 </w:t>
      </w:r>
      <w:r>
        <w:rPr>
          <w:rFonts w:hint="eastAsia" w:ascii="宋体" w:hAnsi="宋体" w:eastAsia="宋体" w:cs="宋体"/>
          <w:color w:val="000000" w:themeColor="text1"/>
          <w:kern w:val="2"/>
          <w:sz w:val="24"/>
          <w:szCs w:val="24"/>
          <w:highlight w:val="none"/>
          <w14:textFill>
            <w14:solidFill>
              <w14:schemeClr w14:val="tx1"/>
            </w14:solidFill>
          </w14:textFill>
        </w:rPr>
        <w:t>如因包装</w:t>
      </w:r>
      <w:r>
        <w:rPr>
          <w:rFonts w:hint="eastAsia" w:ascii="宋体" w:hAnsi="宋体" w:eastAsia="宋体" w:cs="宋体"/>
          <w:color w:val="000000" w:themeColor="text1"/>
          <w:kern w:val="2"/>
          <w:sz w:val="24"/>
          <w:szCs w:val="24"/>
          <w:highlight w:val="none"/>
          <w:lang w:eastAsia="zh-CN"/>
          <w14:textFill>
            <w14:solidFill>
              <w14:schemeClr w14:val="tx1"/>
            </w14:solidFill>
          </w14:textFill>
        </w:rPr>
        <w:t>、运输</w:t>
      </w:r>
      <w:r>
        <w:rPr>
          <w:rFonts w:hint="eastAsia" w:ascii="宋体" w:hAnsi="宋体" w:eastAsia="宋体" w:cs="宋体"/>
          <w:color w:val="000000" w:themeColor="text1"/>
          <w:kern w:val="2"/>
          <w:sz w:val="24"/>
          <w:szCs w:val="24"/>
          <w:highlight w:val="none"/>
          <w14:textFill>
            <w14:solidFill>
              <w14:schemeClr w14:val="tx1"/>
            </w14:solidFill>
          </w14:textFill>
        </w:rPr>
        <w:t>问题导致货物</w:t>
      </w:r>
      <w:r>
        <w:rPr>
          <w:rFonts w:hint="eastAsia" w:ascii="宋体" w:hAnsi="宋体" w:eastAsia="宋体" w:cs="宋体"/>
          <w:color w:val="000000" w:themeColor="text1"/>
          <w:kern w:val="2"/>
          <w:sz w:val="24"/>
          <w:szCs w:val="24"/>
          <w:highlight w:val="none"/>
          <w:lang w:eastAsia="zh-CN"/>
          <w14:textFill>
            <w14:solidFill>
              <w14:schemeClr w14:val="tx1"/>
            </w14:solidFill>
          </w14:textFill>
        </w:rPr>
        <w:t>损毁、丢失</w:t>
      </w:r>
      <w:r>
        <w:rPr>
          <w:rFonts w:hint="eastAsia" w:ascii="宋体" w:hAnsi="宋体" w:eastAsia="宋体" w:cs="宋体"/>
          <w:color w:val="000000" w:themeColor="text1"/>
          <w:kern w:val="2"/>
          <w:sz w:val="24"/>
          <w:szCs w:val="24"/>
          <w:highlight w:val="none"/>
          <w14:textFill>
            <w14:solidFill>
              <w14:schemeClr w14:val="tx1"/>
            </w14:solidFill>
          </w14:textFill>
        </w:rPr>
        <w:t>或者品质下降，</w:t>
      </w:r>
      <w:r>
        <w:rPr>
          <w:rFonts w:hint="eastAsia" w:ascii="宋体" w:hAnsi="宋体" w:eastAsia="宋体" w:cs="宋体"/>
          <w:color w:val="000000" w:themeColor="text1"/>
          <w:kern w:val="2"/>
          <w:sz w:val="24"/>
          <w:szCs w:val="24"/>
          <w:highlight w:val="none"/>
          <w:lang w:eastAsia="zh-CN"/>
          <w14:textFill>
            <w14:solidFill>
              <w14:schemeClr w14:val="tx1"/>
            </w14:solidFill>
          </w14:textFill>
        </w:rPr>
        <w:t>甲方</w:t>
      </w:r>
      <w:r>
        <w:rPr>
          <w:rFonts w:hint="eastAsia" w:ascii="宋体" w:hAnsi="宋体" w:eastAsia="宋体" w:cs="宋体"/>
          <w:color w:val="000000" w:themeColor="text1"/>
          <w:kern w:val="2"/>
          <w:sz w:val="24"/>
          <w:szCs w:val="24"/>
          <w:highlight w:val="none"/>
          <w14:textFill>
            <w14:solidFill>
              <w14:schemeClr w14:val="tx1"/>
            </w14:solidFill>
          </w14:textFill>
        </w:rPr>
        <w:t>有权要求降价、换货、拒收部分或整批货物，由此</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产生</w:t>
      </w:r>
      <w:r>
        <w:rPr>
          <w:rFonts w:hint="eastAsia" w:ascii="宋体" w:hAnsi="宋体" w:eastAsia="宋体" w:cs="宋体"/>
          <w:color w:val="000000" w:themeColor="text1"/>
          <w:kern w:val="2"/>
          <w:sz w:val="24"/>
          <w:szCs w:val="24"/>
          <w:highlight w:val="none"/>
          <w14:textFill>
            <w14:solidFill>
              <w14:schemeClr w14:val="tx1"/>
            </w14:solidFill>
          </w14:textFill>
        </w:rPr>
        <w:t>的费用和损失，均由</w:t>
      </w:r>
      <w:r>
        <w:rPr>
          <w:rFonts w:hint="eastAsia" w:ascii="宋体" w:hAnsi="宋体" w:eastAsia="宋体" w:cs="宋体"/>
          <w:color w:val="000000" w:themeColor="text1"/>
          <w:kern w:val="2"/>
          <w:sz w:val="24"/>
          <w:szCs w:val="24"/>
          <w:highlight w:val="none"/>
          <w:lang w:eastAsia="zh-CN"/>
          <w14:textFill>
            <w14:solidFill>
              <w14:schemeClr w14:val="tx1"/>
            </w14:solidFill>
          </w14:textFill>
        </w:rPr>
        <w:t>乙方</w:t>
      </w:r>
      <w:r>
        <w:rPr>
          <w:rFonts w:hint="eastAsia" w:ascii="宋体" w:hAnsi="宋体" w:eastAsia="宋体" w:cs="宋体"/>
          <w:color w:val="000000" w:themeColor="text1"/>
          <w:kern w:val="2"/>
          <w:sz w:val="24"/>
          <w:szCs w:val="24"/>
          <w:highlight w:val="none"/>
          <w14:textFill>
            <w14:solidFill>
              <w14:schemeClr w14:val="tx1"/>
            </w14:solidFill>
          </w14:textFill>
        </w:rPr>
        <w:t>承担。</w:t>
      </w:r>
    </w:p>
    <w:p w14:paraId="75A57AC0">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eastAsia="zh-CN"/>
          <w14:textFill>
            <w14:solidFill>
              <w14:schemeClr w14:val="tx1"/>
            </w14:solidFill>
          </w14:textFill>
        </w:rPr>
        <w:t>8</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质量标准和保证</w:t>
      </w:r>
    </w:p>
    <w:p w14:paraId="01C1055F">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质量标准</w:t>
      </w:r>
    </w:p>
    <w:p w14:paraId="281E87B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（1）本合同下</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w:t>
      </w:r>
      <w:r>
        <w:rPr>
          <w:rFonts w:hint="eastAsia" w:ascii="宋体" w:hAnsi="宋体" w:eastAsia="宋体" w:cs="宋体"/>
          <w:color w:val="000000" w:themeColor="text1"/>
          <w:sz w:val="24"/>
          <w:szCs w:val="24"/>
          <w:highlight w:val="none"/>
          <w:lang w:eastAsia="zh-CN"/>
          <w14:textFill>
            <w14:solidFill>
              <w14:schemeClr w14:val="tx1"/>
            </w14:solidFill>
          </w14:textFill>
        </w:rPr>
        <w:t>合同</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定的品牌、规格型号、技术性能、配置、质量、数量等要求。</w:t>
      </w:r>
      <w:r>
        <w:rPr>
          <w:rFonts w:hint="eastAsia" w:ascii="宋体" w:hAnsi="宋体" w:eastAsia="宋体" w:cs="宋体"/>
          <w:color w:val="000000" w:themeColor="text1"/>
          <w:sz w:val="24"/>
          <w:szCs w:val="24"/>
          <w:highlight w:val="none"/>
          <w14:textFill>
            <w14:solidFill>
              <w14:schemeClr w14:val="tx1"/>
            </w14:solidFill>
          </w14:textFill>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9279669">
      <w:pPr>
        <w:pStyle w:val="16"/>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（2）采用中华人民共和国法定计量单位。</w:t>
      </w:r>
    </w:p>
    <w:p w14:paraId="635A942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的货物应符合国家有关安全、环保、卫生</w:t>
      </w:r>
      <w:r>
        <w:rPr>
          <w:rFonts w:hint="eastAsia" w:ascii="宋体" w:hAnsi="宋体" w:eastAsia="宋体" w:cs="宋体"/>
          <w:color w:val="000000" w:themeColor="text1"/>
          <w:sz w:val="24"/>
          <w:szCs w:val="24"/>
          <w:highlight w:val="none"/>
          <w:lang w:eastAsia="zh-CN"/>
          <w14:textFill>
            <w14:solidFill>
              <w14:schemeClr w14:val="tx1"/>
            </w14:solidFill>
          </w14:textFill>
        </w:rPr>
        <w:t>的</w:t>
      </w:r>
      <w:r>
        <w:rPr>
          <w:rFonts w:hint="eastAsia" w:ascii="宋体" w:hAnsi="宋体" w:eastAsia="宋体" w:cs="宋体"/>
          <w:color w:val="000000" w:themeColor="text1"/>
          <w:sz w:val="24"/>
          <w:szCs w:val="24"/>
          <w:highlight w:val="none"/>
          <w14:textFill>
            <w14:solidFill>
              <w14:schemeClr w14:val="tx1"/>
            </w14:solidFill>
          </w14:textFill>
        </w:rPr>
        <w:t>规定。</w:t>
      </w:r>
    </w:p>
    <w:p w14:paraId="18004FCF">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（4）乙方应向甲方提交所</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货物的技术文件，包括相应的中文技术文件，如：产品目录、图纸、操作手册、使用说明、维护手册或服务指南</w:t>
      </w:r>
      <w:r>
        <w:rPr>
          <w:rFonts w:hint="eastAsia" w:ascii="宋体" w:hAnsi="宋体" w:eastAsia="宋体" w:cs="宋体"/>
          <w:color w:val="000000" w:themeColor="text1"/>
          <w:sz w:val="24"/>
          <w:szCs w:val="24"/>
          <w:highlight w:val="none"/>
          <w:lang w:eastAsia="zh-CN"/>
          <w14:textFill>
            <w14:solidFill>
              <w14:schemeClr w14:val="tx1"/>
            </w14:solidFill>
          </w14:textFill>
        </w:rPr>
        <w:t>等</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文件应包装好随货物一同发运。</w:t>
      </w:r>
    </w:p>
    <w:p w14:paraId="49685B7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保证</w:t>
      </w:r>
    </w:p>
    <w:p w14:paraId="7DC223D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（1）乙方应保证</w:t>
      </w:r>
      <w:r>
        <w:rPr>
          <w:rFonts w:hint="eastAsia" w:ascii="宋体" w:hAnsi="宋体" w:eastAsia="宋体" w:cs="宋体"/>
          <w:color w:val="000000" w:themeColor="text1"/>
          <w:sz w:val="24"/>
          <w:szCs w:val="24"/>
          <w:highlight w:val="none"/>
          <w:lang w:eastAsia="zh-CN"/>
          <w14:textFill>
            <w14:solidFill>
              <w14:schemeClr w14:val="tx1"/>
            </w14:solidFill>
          </w14:textFill>
        </w:rPr>
        <w:t>提供的货物</w:t>
      </w:r>
      <w:r>
        <w:rPr>
          <w:rFonts w:hint="eastAsia" w:ascii="宋体" w:hAnsi="宋体" w:eastAsia="宋体" w:cs="宋体"/>
          <w:color w:val="000000" w:themeColor="text1"/>
          <w:sz w:val="24"/>
          <w:szCs w:val="24"/>
          <w:highlight w:val="none"/>
          <w14:textFill>
            <w14:solidFill>
              <w14:schemeClr w14:val="tx1"/>
            </w14:solidFill>
          </w14:textFill>
        </w:rPr>
        <w:t>完全符合合同规定的质量、规格和性能要求。乙方应保证货物在正确安装、正常使用和保养条件下，</w:t>
      </w:r>
      <w:r>
        <w:rPr>
          <w:rFonts w:hint="eastAsia" w:ascii="宋体" w:hAnsi="宋体" w:eastAsia="宋体" w:cs="宋体"/>
          <w:color w:val="000000" w:themeColor="text1"/>
          <w:sz w:val="24"/>
          <w:szCs w:val="24"/>
          <w14:textFill>
            <w14:solidFill>
              <w14:schemeClr w14:val="tx1"/>
            </w14:solidFill>
          </w14:textFill>
        </w:rPr>
        <w:t>在其使用寿命期内具</w:t>
      </w:r>
      <w:r>
        <w:rPr>
          <w:rFonts w:hint="eastAsia" w:ascii="宋体" w:hAnsi="宋体" w:eastAsia="宋体" w:cs="宋体"/>
          <w:color w:val="000000" w:themeColor="text1"/>
          <w:sz w:val="24"/>
          <w:szCs w:val="24"/>
          <w:lang w:eastAsia="zh-CN"/>
          <w14:textFill>
            <w14:solidFill>
              <w14:schemeClr w14:val="tx1"/>
            </w14:solidFill>
          </w14:textFill>
        </w:rPr>
        <w:t>备合同约定</w:t>
      </w:r>
      <w:r>
        <w:rPr>
          <w:rFonts w:hint="eastAsia" w:ascii="宋体" w:hAnsi="宋体" w:eastAsia="宋体" w:cs="宋体"/>
          <w:color w:val="000000" w:themeColor="text1"/>
          <w:sz w:val="24"/>
          <w:szCs w:val="24"/>
          <w14:textFill>
            <w14:solidFill>
              <w14:schemeClr w14:val="tx1"/>
            </w14:solidFill>
          </w14:textFill>
        </w:rPr>
        <w:t>的性能</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eastAsia="zh-CN"/>
          <w14:textFill>
            <w14:solidFill>
              <w14:schemeClr w14:val="tx1"/>
            </w14:solidFill>
          </w14:textFill>
        </w:rPr>
        <w:t>存在</w:t>
      </w:r>
      <w:r>
        <w:rPr>
          <w:rFonts w:hint="eastAsia" w:ascii="宋体" w:hAnsi="宋体" w:eastAsia="宋体" w:cs="宋体"/>
          <w:color w:val="000000" w:themeColor="text1"/>
          <w:sz w:val="24"/>
          <w:szCs w:val="24"/>
          <w:highlight w:val="none"/>
          <w14:textFill>
            <w14:solidFill>
              <w14:schemeClr w14:val="tx1"/>
            </w14:solidFill>
          </w14:textFill>
        </w:rPr>
        <w:t>质量保证期的，货物最终交付验收</w:t>
      </w:r>
      <w:r>
        <w:rPr>
          <w:rFonts w:hint="eastAsia" w:ascii="宋体" w:hAnsi="宋体" w:eastAsia="宋体" w:cs="宋体"/>
          <w:color w:val="000000" w:themeColor="text1"/>
          <w:sz w:val="24"/>
          <w:szCs w:val="24"/>
          <w:highlight w:val="none"/>
          <w:lang w:eastAsia="zh-CN"/>
          <w14:textFill>
            <w14:solidFill>
              <w14:schemeClr w14:val="tx1"/>
            </w14:solidFill>
          </w14:textFill>
        </w:rPr>
        <w:t>合格</w:t>
      </w:r>
      <w:r>
        <w:rPr>
          <w:rFonts w:hint="eastAsia" w:ascii="宋体" w:hAnsi="宋体" w:eastAsia="宋体" w:cs="宋体"/>
          <w:color w:val="000000" w:themeColor="text1"/>
          <w:sz w:val="24"/>
          <w:szCs w:val="24"/>
          <w:highlight w:val="none"/>
          <w14:textFill>
            <w14:solidFill>
              <w14:schemeClr w14:val="tx1"/>
            </w14:solidFill>
          </w14:textFill>
        </w:rPr>
        <w:t>后</w:t>
      </w:r>
      <w:r>
        <w:rPr>
          <w:rFonts w:hint="eastAsia" w:ascii="宋体" w:hAnsi="宋体" w:eastAsia="宋体" w:cs="宋体"/>
          <w:color w:val="000000" w:themeColor="text1"/>
          <w:sz w:val="24"/>
          <w:szCs w:val="24"/>
          <w:highlight w:val="none"/>
          <w:lang w:eastAsia="zh-CN"/>
          <w14:textFill>
            <w14:solidFill>
              <w14:schemeClr w14:val="tx1"/>
            </w14:solidFill>
          </w14:textFill>
        </w:rPr>
        <w:t>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规定或乙方</w:t>
      </w:r>
      <w:r>
        <w:rPr>
          <w:rFonts w:hint="eastAsia" w:ascii="宋体" w:hAnsi="宋体" w:eastAsia="宋体" w:cs="宋体"/>
          <w:color w:val="000000" w:themeColor="text1"/>
          <w:sz w:val="24"/>
          <w:szCs w:val="24"/>
          <w:highlight w:val="none"/>
          <w:lang w:eastAsia="zh-CN"/>
          <w14:textFill>
            <w14:solidFill>
              <w14:schemeClr w14:val="tx1"/>
            </w14:solidFill>
          </w14:textFill>
        </w:rPr>
        <w:t>书面</w:t>
      </w:r>
      <w:r>
        <w:rPr>
          <w:rFonts w:hint="eastAsia" w:ascii="宋体" w:hAnsi="宋体" w:eastAsia="宋体" w:cs="宋体"/>
          <w:color w:val="000000" w:themeColor="text1"/>
          <w:sz w:val="24"/>
          <w:szCs w:val="24"/>
          <w:highlight w:val="none"/>
          <w14:textFill>
            <w14:solidFill>
              <w14:schemeClr w14:val="tx1"/>
            </w14:solidFill>
          </w14:textFill>
        </w:rPr>
        <w:t>承诺（两者以较长的为准）的质量保证期内，本保证保持有效。</w:t>
      </w:r>
    </w:p>
    <w:p w14:paraId="59764D5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（2）在质量保证期内所发现的缺陷，甲方应尽快以书面形式通知乙方。</w:t>
      </w:r>
    </w:p>
    <w:p w14:paraId="421C473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（3）乙方收到通知后</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应在</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规定的响应时间内以合理的速度免费维修或更换有缺陷的货物或部件。</w:t>
      </w:r>
    </w:p>
    <w:p w14:paraId="48365B2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.1条规定以书面形式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追究</w:t>
      </w: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的违约责任</w:t>
      </w:r>
      <w:r>
        <w:rPr>
          <w:rFonts w:hint="eastAsia" w:ascii="宋体" w:hAnsi="宋体" w:eastAsia="宋体" w:cs="宋体"/>
          <w:color w:val="000000" w:themeColor="text1"/>
          <w:sz w:val="24"/>
          <w:szCs w:val="24"/>
          <w:highlight w:val="none"/>
          <w14:textFill>
            <w14:solidFill>
              <w14:schemeClr w14:val="tx1"/>
            </w14:solidFill>
          </w14:textFill>
        </w:rPr>
        <w:t>。</w:t>
      </w:r>
    </w:p>
    <w:p w14:paraId="3A83A2A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（5）乙方在约定的时间内未能弥补缺陷，甲方可采取必要的补救措施，但其风险和费用将由乙方承担，甲方根据合同</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对乙方行使的其他权利不受影响。</w:t>
      </w:r>
    </w:p>
    <w:p w14:paraId="56076F91">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权利瑕疵担保</w:t>
      </w:r>
    </w:p>
    <w:p w14:paraId="6B85501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.1 乙方保证对其出售的货物享有合法的权利。</w:t>
      </w:r>
    </w:p>
    <w:p w14:paraId="5E9E609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14:textFill>
            <w14:solidFill>
              <w14:schemeClr w14:val="tx1"/>
            </w14:solidFill>
          </w14:textFill>
        </w:rPr>
        <w:t>乙方保证在交付的货物上不存在抵押权等担保物权。</w:t>
      </w:r>
    </w:p>
    <w:p w14:paraId="4F92CFA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9</w:t>
      </w:r>
      <w:r>
        <w:rPr>
          <w:rFonts w:hint="eastAsia" w:ascii="宋体" w:hAnsi="宋体" w:eastAsia="宋体" w:cs="宋体"/>
          <w:color w:val="000000" w:themeColor="text1"/>
          <w:sz w:val="24"/>
          <w:szCs w:val="24"/>
          <w:highlight w:val="none"/>
          <w14:textFill>
            <w14:solidFill>
              <w14:schemeClr w14:val="tx1"/>
            </w14:solidFill>
          </w14:textFill>
        </w:rPr>
        <w:t>.3 如甲方使用</w:t>
      </w:r>
      <w:r>
        <w:rPr>
          <w:rFonts w:hint="eastAsia" w:ascii="宋体" w:hAnsi="宋体" w:eastAsia="宋体" w:cs="宋体"/>
          <w:color w:val="000000" w:themeColor="text1"/>
          <w:sz w:val="24"/>
          <w:szCs w:val="24"/>
          <w:highlight w:val="none"/>
          <w:lang w:val="en-US" w:eastAsia="zh-CN"/>
          <w14:textFill>
            <w14:solidFill>
              <w14:schemeClr w14:val="tx1"/>
            </w14:solidFill>
          </w14:textFill>
        </w:rPr>
        <w:t>上述</w:t>
      </w:r>
      <w:r>
        <w:rPr>
          <w:rFonts w:hint="eastAsia" w:ascii="宋体" w:hAnsi="宋体" w:eastAsia="宋体" w:cs="宋体"/>
          <w:color w:val="000000" w:themeColor="text1"/>
          <w:sz w:val="24"/>
          <w:szCs w:val="24"/>
          <w:highlight w:val="none"/>
          <w14:textFill>
            <w14:solidFill>
              <w14:schemeClr w14:val="tx1"/>
            </w14:solidFill>
          </w14:textFill>
        </w:rPr>
        <w:t>货物构成</w:t>
      </w:r>
      <w:r>
        <w:rPr>
          <w:rFonts w:hint="eastAsia" w:ascii="宋体" w:hAnsi="宋体" w:eastAsia="宋体" w:cs="宋体"/>
          <w:color w:val="000000" w:themeColor="text1"/>
          <w:sz w:val="24"/>
          <w:szCs w:val="24"/>
          <w:highlight w:val="none"/>
          <w:lang w:val="en-US" w:eastAsia="zh-CN"/>
          <w14:textFill>
            <w14:solidFill>
              <w14:schemeClr w14:val="tx1"/>
            </w14:solidFill>
          </w14:textFill>
        </w:rPr>
        <w:t>对第三人</w:t>
      </w:r>
      <w:r>
        <w:rPr>
          <w:rFonts w:hint="eastAsia" w:ascii="宋体" w:hAnsi="宋体" w:eastAsia="宋体" w:cs="宋体"/>
          <w:color w:val="000000" w:themeColor="text1"/>
          <w:sz w:val="24"/>
          <w:szCs w:val="24"/>
          <w:highlight w:val="none"/>
          <w14:textFill>
            <w14:solidFill>
              <w14:schemeClr w14:val="tx1"/>
            </w14:solidFill>
          </w14:textFill>
        </w:rPr>
        <w:t>侵权的，则由乙方承担全部责任。</w:t>
      </w:r>
    </w:p>
    <w:p w14:paraId="57E8E0AA">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0</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知识产权保护</w:t>
      </w:r>
    </w:p>
    <w:p w14:paraId="6DE2CB3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.1 乙方对其所销售的货物应当享有知识产权或经权利人合法授权，保证没有侵犯任何第三人的知识产权等权利。</w:t>
      </w:r>
      <w:bookmarkStart w:id="823" w:name="_Hlk163047038"/>
      <w:r>
        <w:rPr>
          <w:rFonts w:hint="eastAsia" w:ascii="宋体" w:hAnsi="宋体" w:eastAsia="宋体" w:cs="宋体"/>
          <w:color w:val="000000" w:themeColor="text1"/>
          <w:sz w:val="24"/>
          <w:szCs w:val="24"/>
          <w14:textFill>
            <w14:solidFill>
              <w14:schemeClr w14:val="tx1"/>
            </w14:solidFill>
          </w14:textFill>
        </w:rPr>
        <w:t>因违反前述约定对第三人构成侵权的，应当由乙方向第三人承担法律责任；甲方依法向第三人赔偿后，有权向乙方追偿。甲方有其他损失的，乙方应当赔偿</w:t>
      </w:r>
      <w:bookmarkEnd w:id="823"/>
      <w:r>
        <w:rPr>
          <w:rFonts w:hint="eastAsia" w:ascii="宋体" w:hAnsi="宋体" w:eastAsia="宋体" w:cs="宋体"/>
          <w:color w:val="000000" w:themeColor="text1"/>
          <w:sz w:val="24"/>
          <w:szCs w:val="24"/>
          <w:highlight w:val="none"/>
          <w14:textFill>
            <w14:solidFill>
              <w14:schemeClr w14:val="tx1"/>
            </w14:solidFill>
          </w14:textFill>
        </w:rPr>
        <w:t>。</w:t>
      </w:r>
    </w:p>
    <w:p w14:paraId="45543B4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保密义务</w:t>
      </w:r>
    </w:p>
    <w:p w14:paraId="4C0710C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11.1 </w:t>
      </w:r>
      <w:r>
        <w:rPr>
          <w:rFonts w:hint="eastAsia" w:ascii="宋体" w:hAnsi="宋体" w:eastAsia="宋体" w:cs="宋体"/>
          <w:color w:val="000000" w:themeColor="text1"/>
          <w:sz w:val="24"/>
          <w:szCs w:val="24"/>
          <w14:textFill>
            <w14:solidFill>
              <w14:schemeClr w14:val="tx1"/>
            </w14:solidFill>
          </w14:textFill>
        </w:rPr>
        <w:t>甲、乙双方</w:t>
      </w:r>
      <w:r>
        <w:rPr>
          <w:rFonts w:hint="eastAsia" w:ascii="宋体" w:hAnsi="宋体" w:eastAsia="宋体" w:cs="宋体"/>
          <w:color w:val="000000" w:themeColor="text1"/>
          <w:sz w:val="24"/>
          <w:szCs w:val="24"/>
          <w:lang w:eastAsia="zh-CN"/>
          <w14:textFill>
            <w14:solidFill>
              <w14:schemeClr w14:val="tx1"/>
            </w14:solidFill>
          </w14:textFill>
        </w:rPr>
        <w:t>对</w:t>
      </w:r>
      <w:r>
        <w:rPr>
          <w:rFonts w:hint="eastAsia" w:ascii="宋体" w:hAnsi="宋体" w:eastAsia="宋体" w:cs="宋体"/>
          <w:color w:val="000000" w:themeColor="text1"/>
          <w:sz w:val="24"/>
          <w:szCs w:val="24"/>
          <w14:textFill>
            <w14:solidFill>
              <w14:schemeClr w14:val="tx1"/>
            </w14:solidFill>
          </w14:textFill>
        </w:rPr>
        <w:t>采购和合同履行过程中所获悉的</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商业秘密或者其他应当保密的信息，均有保密义务</w:t>
      </w:r>
      <w:r>
        <w:rPr>
          <w:rFonts w:hint="eastAsia" w:ascii="宋体" w:hAnsi="宋体" w:eastAsia="宋体" w:cs="宋体"/>
          <w:color w:val="000000" w:themeColor="text1"/>
          <w:sz w:val="24"/>
          <w:szCs w:val="24"/>
          <w:lang w:eastAsia="zh-CN"/>
          <w14:textFill>
            <w14:solidFill>
              <w14:schemeClr w14:val="tx1"/>
            </w14:solidFill>
          </w14:textFill>
        </w:rPr>
        <w:t>且不受合同有效期所限，直至该信息成为公开信息</w:t>
      </w:r>
      <w:r>
        <w:rPr>
          <w:rFonts w:hint="eastAsia" w:ascii="宋体" w:hAnsi="宋体" w:eastAsia="宋体" w:cs="宋体"/>
          <w:color w:val="000000" w:themeColor="text1"/>
          <w:sz w:val="24"/>
          <w:szCs w:val="24"/>
          <w14:textFill>
            <w14:solidFill>
              <w14:schemeClr w14:val="tx1"/>
            </w14:solidFill>
          </w14:textFill>
        </w:rPr>
        <w:t>。泄露、不正当地使用</w:t>
      </w:r>
      <w:r>
        <w:rPr>
          <w:rFonts w:hint="eastAsia" w:ascii="宋体" w:hAnsi="宋体" w:eastAsia="宋体" w:cs="宋体"/>
          <w:color w:val="000000" w:themeColor="text1"/>
          <w:sz w:val="24"/>
          <w:szCs w:val="24"/>
          <w:lang w:eastAsia="zh-CN"/>
          <w14:textFill>
            <w14:solidFill>
              <w14:schemeClr w14:val="tx1"/>
            </w14:solidFill>
          </w14:textFill>
        </w:rPr>
        <w:t>国家秘密、工作秘密、</w:t>
      </w:r>
      <w:r>
        <w:rPr>
          <w:rFonts w:hint="eastAsia" w:ascii="宋体" w:hAnsi="宋体" w:eastAsia="宋体" w:cs="宋体"/>
          <w:color w:val="000000" w:themeColor="text1"/>
          <w:sz w:val="24"/>
          <w:szCs w:val="24"/>
          <w14:textFill>
            <w14:solidFill>
              <w14:schemeClr w14:val="tx1"/>
            </w14:solidFill>
          </w14:textFill>
        </w:rPr>
        <w:t>商业秘密或者</w:t>
      </w:r>
      <w:r>
        <w:rPr>
          <w:rFonts w:hint="eastAsia" w:ascii="宋体" w:hAnsi="宋体" w:eastAsia="宋体" w:cs="宋体"/>
          <w:color w:val="000000" w:themeColor="text1"/>
          <w:sz w:val="24"/>
          <w:szCs w:val="24"/>
          <w:lang w:eastAsia="zh-CN"/>
          <w14:textFill>
            <w14:solidFill>
              <w14:schemeClr w14:val="tx1"/>
            </w14:solidFill>
          </w14:textFill>
        </w:rPr>
        <w:t>其他应当保密的</w:t>
      </w:r>
      <w:r>
        <w:rPr>
          <w:rFonts w:hint="eastAsia" w:ascii="宋体" w:hAnsi="宋体" w:eastAsia="宋体" w:cs="宋体"/>
          <w:color w:val="000000" w:themeColor="text1"/>
          <w:sz w:val="24"/>
          <w:szCs w:val="24"/>
          <w14:textFill>
            <w14:solidFill>
              <w14:schemeClr w14:val="tx1"/>
            </w14:solidFill>
          </w14:textFill>
        </w:rPr>
        <w:t>信息，应当承担</w:t>
      </w:r>
      <w:r>
        <w:rPr>
          <w:rFonts w:hint="eastAsia" w:ascii="宋体" w:hAnsi="宋体" w:eastAsia="宋体" w:cs="宋体"/>
          <w:color w:val="000000" w:themeColor="text1"/>
          <w:sz w:val="24"/>
          <w:szCs w:val="24"/>
          <w:lang w:eastAsia="zh-CN"/>
          <w14:textFill>
            <w14:solidFill>
              <w14:schemeClr w14:val="tx1"/>
            </w14:solidFill>
          </w14:textFill>
        </w:rPr>
        <w:t>相应</w:t>
      </w:r>
      <w:r>
        <w:rPr>
          <w:rFonts w:hint="eastAsia" w:ascii="宋体" w:hAnsi="宋体" w:eastAsia="宋体" w:cs="宋体"/>
          <w:color w:val="000000" w:themeColor="text1"/>
          <w:sz w:val="24"/>
          <w:szCs w:val="24"/>
          <w14:textFill>
            <w14:solidFill>
              <w14:schemeClr w14:val="tx1"/>
            </w14:solidFill>
          </w14:textFill>
        </w:rPr>
        <w:t>责任。其他应当保密的信息由双方在</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中约定。</w:t>
      </w:r>
    </w:p>
    <w:p w14:paraId="5B246190">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2</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合同价款支付</w:t>
      </w:r>
    </w:p>
    <w:p w14:paraId="5F552EFA">
      <w:pPr>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eastAsia="zh-CN"/>
          <w14:textFill>
            <w14:solidFill>
              <w14:schemeClr w14:val="tx1"/>
            </w14:solidFill>
          </w14:textFill>
        </w:rPr>
        <w:t>合同价款支付</w:t>
      </w:r>
      <w:r>
        <w:rPr>
          <w:rFonts w:hint="eastAsia" w:ascii="宋体" w:hAnsi="宋体" w:eastAsia="宋体" w:cs="宋体"/>
          <w:color w:val="000000" w:themeColor="text1"/>
          <w:sz w:val="24"/>
          <w:szCs w:val="24"/>
          <w:highlight w:val="none"/>
          <w14:textFill>
            <w14:solidFill>
              <w14:schemeClr w14:val="tx1"/>
            </w14:solidFill>
          </w14:textFill>
        </w:rPr>
        <w:t>按照国库集中支付</w:t>
      </w:r>
      <w:r>
        <w:rPr>
          <w:rFonts w:hint="eastAsia" w:ascii="宋体" w:hAnsi="宋体" w:eastAsia="宋体" w:cs="宋体"/>
          <w:color w:val="000000" w:themeColor="text1"/>
          <w:sz w:val="24"/>
          <w:szCs w:val="24"/>
          <w:highlight w:val="none"/>
          <w:lang w:eastAsia="zh-CN"/>
          <w14:textFill>
            <w14:solidFill>
              <w14:schemeClr w14:val="tx1"/>
            </w14:solidFill>
          </w14:textFill>
        </w:rPr>
        <w:t>制度及财政管理相关</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78C89F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12.2 </w:t>
      </w:r>
      <w:r>
        <w:rPr>
          <w:rFonts w:hint="eastAsia" w:ascii="宋体" w:hAnsi="宋体" w:eastAsia="宋体" w:cs="宋体"/>
          <w:color w:val="000000" w:themeColor="text1"/>
          <w:sz w:val="24"/>
          <w:szCs w:val="24"/>
          <w14:textFill>
            <w14:solidFill>
              <w14:schemeClr w14:val="tx1"/>
            </w14:solidFill>
          </w14:textFill>
        </w:rPr>
        <w:t>对于满足合同约定支付条件的，</w:t>
      </w:r>
      <w:r>
        <w:rPr>
          <w:rFonts w:hint="eastAsia" w:ascii="宋体" w:hAnsi="宋体" w:eastAsia="宋体" w:cs="宋体"/>
          <w:color w:val="000000" w:themeColor="text1"/>
          <w:sz w:val="24"/>
          <w:szCs w:val="24"/>
          <w:lang w:val="en-US" w:eastAsia="zh-CN"/>
          <w14:textFill>
            <w14:solidFill>
              <w14:schemeClr w14:val="tx1"/>
            </w14:solidFill>
          </w14:textFill>
        </w:rPr>
        <w:t>甲方</w:t>
      </w:r>
      <w:r>
        <w:rPr>
          <w:rFonts w:hint="eastAsia" w:ascii="宋体" w:hAnsi="宋体" w:eastAsia="宋体" w:cs="宋体"/>
          <w:color w:val="000000" w:themeColor="text1"/>
          <w:sz w:val="24"/>
          <w:szCs w:val="24"/>
          <w14:textFill>
            <w14:solidFill>
              <w14:schemeClr w14:val="tx1"/>
            </w14:solidFill>
          </w14:textFill>
        </w:rPr>
        <w:t>原则上应当自收到发票后10个工作日内将资金支付到合同约定的</w:t>
      </w:r>
      <w:r>
        <w:rPr>
          <w:rFonts w:hint="eastAsia" w:ascii="宋体" w:hAnsi="宋体" w:eastAsia="宋体" w:cs="宋体"/>
          <w:color w:val="000000" w:themeColor="text1"/>
          <w:sz w:val="24"/>
          <w:szCs w:val="24"/>
          <w:lang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账户，不得以机构变动、人员更替、政策调整等为由迟延付款，不得将采购文件和合同中未规定的义务作为向</w:t>
      </w:r>
      <w:r>
        <w:rPr>
          <w:rFonts w:hint="eastAsia" w:ascii="宋体" w:hAnsi="宋体" w:eastAsia="宋体" w:cs="宋体"/>
          <w:color w:val="000000" w:themeColor="text1"/>
          <w:sz w:val="24"/>
          <w:szCs w:val="24"/>
          <w:lang w:val="en-US" w:eastAsia="zh-CN"/>
          <w14:textFill>
            <w14:solidFill>
              <w14:schemeClr w14:val="tx1"/>
            </w14:solidFill>
          </w14:textFill>
        </w:rPr>
        <w:t>乙方</w:t>
      </w:r>
      <w:r>
        <w:rPr>
          <w:rFonts w:hint="eastAsia" w:ascii="宋体" w:hAnsi="宋体" w:eastAsia="宋体" w:cs="宋体"/>
          <w:color w:val="000000" w:themeColor="text1"/>
          <w:sz w:val="24"/>
          <w:szCs w:val="24"/>
          <w14:textFill>
            <w14:solidFill>
              <w14:schemeClr w14:val="tx1"/>
            </w14:solidFill>
          </w14:textFill>
        </w:rPr>
        <w:t>付款的条件。具体合同价款支付时间在【政府采购合同专用条款】中</w:t>
      </w:r>
      <w:r>
        <w:rPr>
          <w:rFonts w:hint="eastAsia" w:ascii="宋体" w:hAnsi="宋体" w:eastAsia="宋体" w:cs="宋体"/>
          <w:color w:val="000000" w:themeColor="text1"/>
          <w:sz w:val="24"/>
          <w:szCs w:val="24"/>
          <w:lang w:eastAsia="zh-CN"/>
          <w14:textFill>
            <w14:solidFill>
              <w14:schemeClr w14:val="tx1"/>
            </w14:solidFill>
          </w14:textFill>
        </w:rPr>
        <w:t>约</w:t>
      </w:r>
      <w:r>
        <w:rPr>
          <w:rFonts w:hint="eastAsia" w:ascii="宋体" w:hAnsi="宋体" w:eastAsia="宋体" w:cs="宋体"/>
          <w:color w:val="000000" w:themeColor="text1"/>
          <w:sz w:val="24"/>
          <w:szCs w:val="24"/>
          <w14:textFill>
            <w14:solidFill>
              <w14:schemeClr w14:val="tx1"/>
            </w14:solidFill>
          </w14:textFill>
        </w:rPr>
        <w:t>定。</w:t>
      </w:r>
    </w:p>
    <w:p w14:paraId="224A4B82">
      <w:pPr>
        <w:pStyle w:val="11"/>
        <w:pageBreakBefore w:val="0"/>
        <w:kinsoku/>
        <w:wordWrap/>
        <w:overflowPunct/>
        <w:topLinePunct w:val="0"/>
        <w:bidi w:val="0"/>
        <w:spacing w:after="0" w:line="56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3</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履约保证金</w:t>
      </w:r>
    </w:p>
    <w:p w14:paraId="74553232">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14:textFill>
            <w14:solidFill>
              <w14:schemeClr w14:val="tx1"/>
            </w14:solidFill>
          </w14:textFill>
        </w:rPr>
        <w:t>乙方应当以支票、汇票、本票或者金融机构、担保机构出具的保函等非现金形式提交。</w:t>
      </w:r>
    </w:p>
    <w:p w14:paraId="6A9385AB">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.2 如果乙方</w:t>
      </w:r>
      <w:r>
        <w:rPr>
          <w:rFonts w:hint="eastAsia" w:ascii="宋体" w:hAnsi="宋体" w:eastAsia="宋体" w:cs="宋体"/>
          <w:color w:val="000000" w:themeColor="text1"/>
          <w:sz w:val="24"/>
          <w:szCs w:val="24"/>
          <w:highlight w:val="none"/>
          <w:lang w:eastAsia="zh-CN"/>
          <w14:textFill>
            <w14:solidFill>
              <w14:schemeClr w14:val="tx1"/>
            </w14:solidFill>
          </w14:textFill>
        </w:rPr>
        <w:t>出现</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约定</w:t>
      </w:r>
      <w:r>
        <w:rPr>
          <w:rFonts w:hint="eastAsia" w:ascii="宋体" w:hAnsi="宋体" w:eastAsia="宋体" w:cs="宋体"/>
          <w:b w:val="0"/>
          <w:bCs w:val="0"/>
          <w:color w:val="000000" w:themeColor="text1"/>
          <w:sz w:val="24"/>
          <w:szCs w:val="24"/>
          <w:lang w:eastAsia="zh-CN"/>
          <w14:textFill>
            <w14:solidFill>
              <w14:schemeClr w14:val="tx1"/>
            </w14:solidFill>
          </w14:textFill>
        </w:rPr>
        <w:t>情形的</w:t>
      </w:r>
      <w:r>
        <w:rPr>
          <w:rFonts w:hint="eastAsia" w:ascii="宋体" w:hAnsi="宋体" w:eastAsia="宋体" w:cs="宋体"/>
          <w:color w:val="000000" w:themeColor="text1"/>
          <w:sz w:val="24"/>
          <w:szCs w:val="24"/>
          <w:highlight w:val="none"/>
          <w14:textFill>
            <w14:solidFill>
              <w14:schemeClr w14:val="tx1"/>
            </w14:solidFill>
          </w14:textFill>
        </w:rPr>
        <w:t>，履约保证金不予退还；如果乙方未能按合同约定全面履行义务，甲方有权从履约保证金中取得补偿或赔偿，</w:t>
      </w:r>
      <w:r>
        <w:rPr>
          <w:rFonts w:hint="eastAsia" w:ascii="宋体" w:hAnsi="宋体" w:eastAsia="宋体" w:cs="宋体"/>
          <w:color w:val="000000" w:themeColor="text1"/>
          <w:sz w:val="24"/>
          <w:szCs w:val="24"/>
          <w:highlight w:val="none"/>
          <w:lang w:eastAsia="zh-CN"/>
          <w14:textFill>
            <w14:solidFill>
              <w14:schemeClr w14:val="tx1"/>
            </w14:solidFill>
          </w14:textFill>
        </w:rPr>
        <w:t>且</w:t>
      </w:r>
      <w:r>
        <w:rPr>
          <w:rFonts w:hint="eastAsia" w:ascii="宋体" w:hAnsi="宋体" w:eastAsia="宋体" w:cs="宋体"/>
          <w:color w:val="000000" w:themeColor="text1"/>
          <w:sz w:val="24"/>
          <w:szCs w:val="24"/>
          <w:highlight w:val="none"/>
          <w14:textFill>
            <w14:solidFill>
              <w14:schemeClr w14:val="tx1"/>
            </w14:solidFill>
          </w14:textFill>
        </w:rPr>
        <w:t>不影响甲方要求乙方承担合同约定的超过履约保证金的违约责任的权利。</w:t>
      </w:r>
    </w:p>
    <w:p w14:paraId="5429F760">
      <w:pPr>
        <w:pageBreakBefore w:val="0"/>
        <w:kinsoku/>
        <w:wordWrap/>
        <w:overflowPunct/>
        <w:topLinePunct w:val="0"/>
        <w:bidi w:val="0"/>
        <w:spacing w:line="560" w:lineRule="exact"/>
        <w:ind w:firstLine="42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.3 甲方在项目通过验收后按照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规定的时间内将履约保证金退还乙方；逾期退还的，乙方可要求甲方支付违约金，违约金按照</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规定支付。</w:t>
      </w:r>
    </w:p>
    <w:p w14:paraId="44AF5E36">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4</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售后服务</w:t>
      </w:r>
    </w:p>
    <w:p w14:paraId="0932F03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.1 除项目不涉及或采购活动中明确约定无须承担外，乙方还应提供下列服务：</w:t>
      </w:r>
    </w:p>
    <w:p w14:paraId="229F85F9">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（1）货物的现场移动、安装、调试、启动监督及技术支持；</w:t>
      </w:r>
    </w:p>
    <w:p w14:paraId="62849E58">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（2）提供货物组装和维修所需的专用工具和辅助材料；</w:t>
      </w:r>
    </w:p>
    <w:p w14:paraId="632298F5">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lang w:eastAsia="zh-CN"/>
          <w14:textFill>
            <w14:solidFill>
              <w14:schemeClr w14:val="tx1"/>
            </w14:solidFill>
          </w14:textFill>
        </w:rPr>
        <w:t>约定</w:t>
      </w:r>
      <w:r>
        <w:rPr>
          <w:rFonts w:hint="eastAsia" w:ascii="宋体" w:hAnsi="宋体" w:eastAsia="宋体" w:cs="宋体"/>
          <w:color w:val="000000" w:themeColor="text1"/>
          <w:sz w:val="24"/>
          <w:szCs w:val="24"/>
          <w:highlight w:val="none"/>
          <w14:textFill>
            <w14:solidFill>
              <w14:schemeClr w14:val="tx1"/>
            </w14:solidFill>
          </w14:textFill>
        </w:rPr>
        <w:t>的期限内对所有的货物实施运行监督、维修，但前提条件是该服务并不能免除乙方在质量保证期内所承担的义务；</w:t>
      </w:r>
    </w:p>
    <w:p w14:paraId="20E66CD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（4）在制造商</w:t>
      </w:r>
      <w:r>
        <w:rPr>
          <w:rFonts w:hint="eastAsia" w:ascii="宋体" w:hAnsi="宋体" w:eastAsia="宋体" w:cs="宋体"/>
          <w:color w:val="000000" w:themeColor="text1"/>
          <w:sz w:val="24"/>
          <w:szCs w:val="24"/>
          <w:highlight w:val="none"/>
          <w:lang w:eastAsia="zh-CN"/>
          <w14:textFill>
            <w14:solidFill>
              <w14:schemeClr w14:val="tx1"/>
            </w14:solidFill>
          </w14:textFill>
        </w:rPr>
        <w:t>所在地</w:t>
      </w:r>
      <w:r>
        <w:rPr>
          <w:rFonts w:hint="eastAsia" w:ascii="宋体" w:hAnsi="宋体" w:eastAsia="宋体" w:cs="宋体"/>
          <w:color w:val="000000" w:themeColor="text1"/>
          <w:sz w:val="24"/>
          <w:szCs w:val="24"/>
          <w:highlight w:val="none"/>
          <w14:textFill>
            <w14:solidFill>
              <w14:schemeClr w14:val="tx1"/>
            </w14:solidFill>
          </w14:textFill>
        </w:rPr>
        <w:t>或</w:t>
      </w:r>
      <w:r>
        <w:rPr>
          <w:rFonts w:hint="eastAsia" w:ascii="宋体" w:hAnsi="宋体" w:eastAsia="宋体" w:cs="宋体"/>
          <w:color w:val="000000" w:themeColor="text1"/>
          <w:sz w:val="24"/>
          <w:szCs w:val="24"/>
          <w:highlight w:val="none"/>
          <w:lang w:eastAsia="zh-CN"/>
          <w14:textFill>
            <w14:solidFill>
              <w14:schemeClr w14:val="tx1"/>
            </w14:solidFill>
          </w14:textFill>
        </w:rPr>
        <w:t>指定</w:t>
      </w:r>
      <w:r>
        <w:rPr>
          <w:rFonts w:hint="eastAsia" w:ascii="宋体" w:hAnsi="宋体" w:eastAsia="宋体" w:cs="宋体"/>
          <w:color w:val="000000" w:themeColor="text1"/>
          <w:sz w:val="24"/>
          <w:szCs w:val="24"/>
          <w:highlight w:val="none"/>
          <w14:textFill>
            <w14:solidFill>
              <w14:schemeClr w14:val="tx1"/>
            </w14:solidFill>
          </w14:textFill>
        </w:rPr>
        <w:t>现场就货物的安装、启动、运营、维护</w:t>
      </w:r>
      <w:r>
        <w:rPr>
          <w:rFonts w:hint="eastAsia" w:ascii="宋体" w:hAnsi="宋体" w:eastAsia="宋体" w:cs="宋体"/>
          <w:color w:val="000000" w:themeColor="text1"/>
          <w:sz w:val="24"/>
          <w:szCs w:val="24"/>
          <w:highlight w:val="none"/>
          <w:lang w:eastAsia="zh-CN"/>
          <w14:textFill>
            <w14:solidFill>
              <w14:schemeClr w14:val="tx1"/>
            </w14:solidFill>
          </w14:textFill>
        </w:rPr>
        <w:t>、废弃处置等</w:t>
      </w:r>
      <w:r>
        <w:rPr>
          <w:rFonts w:hint="eastAsia" w:ascii="宋体" w:hAnsi="宋体" w:eastAsia="宋体" w:cs="宋体"/>
          <w:color w:val="000000" w:themeColor="text1"/>
          <w:sz w:val="24"/>
          <w:szCs w:val="24"/>
          <w:highlight w:val="none"/>
          <w14:textFill>
            <w14:solidFill>
              <w14:schemeClr w14:val="tx1"/>
            </w14:solidFill>
          </w14:textFill>
        </w:rPr>
        <w:t>对甲方操作人员进行培训</w:t>
      </w:r>
      <w:r>
        <w:rPr>
          <w:rFonts w:hint="eastAsia" w:ascii="宋体" w:hAnsi="宋体" w:eastAsia="宋体" w:cs="宋体"/>
          <w:color w:val="000000" w:themeColor="text1"/>
          <w:sz w:val="24"/>
          <w:szCs w:val="24"/>
          <w:lang w:eastAsia="zh-CN"/>
          <w14:textFill>
            <w14:solidFill>
              <w14:schemeClr w14:val="tx1"/>
            </w14:solidFill>
          </w14:textFill>
        </w:rPr>
        <w:t>；</w:t>
      </w:r>
    </w:p>
    <w:p w14:paraId="27E85DF6">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（5）依照法律、行政法规的规定或者按照</w:t>
      </w:r>
      <w:r>
        <w:rPr>
          <w:rFonts w:hint="eastAsia" w:ascii="宋体" w:hAnsi="宋体" w:eastAsia="宋体" w:cs="宋体"/>
          <w:b/>
          <w:bCs/>
          <w:color w:val="000000" w:themeColor="text1"/>
          <w:sz w:val="24"/>
          <w:szCs w:val="24"/>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约定，货物在有效使用年限届满后应予回收的，乙方负有自行或者委托第三人对货物予以回收的义务；</w:t>
      </w:r>
    </w:p>
    <w:p w14:paraId="332C780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规定由乙方提供的其他服务。</w:t>
      </w:r>
    </w:p>
    <w:p w14:paraId="71924D7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.2 乙方提供的</w:t>
      </w:r>
      <w:r>
        <w:rPr>
          <w:rFonts w:hint="eastAsia" w:ascii="宋体" w:hAnsi="宋体" w:eastAsia="宋体" w:cs="宋体"/>
          <w:color w:val="000000" w:themeColor="text1"/>
          <w:sz w:val="24"/>
          <w:szCs w:val="24"/>
          <w:highlight w:val="none"/>
          <w:lang w:eastAsia="zh-CN"/>
          <w14:textFill>
            <w14:solidFill>
              <w14:schemeClr w14:val="tx1"/>
            </w14:solidFill>
          </w14:textFill>
        </w:rPr>
        <w:t>售后</w:t>
      </w:r>
      <w:r>
        <w:rPr>
          <w:rFonts w:hint="eastAsia" w:ascii="宋体" w:hAnsi="宋体" w:eastAsia="宋体" w:cs="宋体"/>
          <w:color w:val="000000" w:themeColor="text1"/>
          <w:sz w:val="24"/>
          <w:szCs w:val="24"/>
          <w:highlight w:val="none"/>
          <w14:textFill>
            <w14:solidFill>
              <w14:schemeClr w14:val="tx1"/>
            </w14:solidFill>
          </w14:textFill>
        </w:rPr>
        <w:t>服务的费用</w:t>
      </w:r>
      <w:r>
        <w:rPr>
          <w:rFonts w:hint="eastAsia" w:ascii="宋体" w:hAnsi="宋体" w:eastAsia="宋体" w:cs="宋体"/>
          <w:color w:val="000000" w:themeColor="text1"/>
          <w:sz w:val="24"/>
          <w:szCs w:val="24"/>
          <w:highlight w:val="none"/>
          <w:lang w:val="en-US" w:eastAsia="zh-CN"/>
          <w14:textFill>
            <w14:solidFill>
              <w14:schemeClr w14:val="tx1"/>
            </w14:solidFill>
          </w14:textFill>
        </w:rPr>
        <w:t>已</w:t>
      </w:r>
      <w:r>
        <w:rPr>
          <w:rFonts w:hint="eastAsia" w:ascii="宋体" w:hAnsi="宋体" w:eastAsia="宋体" w:cs="宋体"/>
          <w:color w:val="000000" w:themeColor="text1"/>
          <w:sz w:val="24"/>
          <w:szCs w:val="24"/>
          <w:highlight w:val="none"/>
          <w14:textFill>
            <w14:solidFill>
              <w14:schemeClr w14:val="tx1"/>
            </w14:solidFill>
          </w14:textFill>
        </w:rPr>
        <w:t>包含在合同价款中，甲方不再另行支付。</w:t>
      </w:r>
    </w:p>
    <w:p w14:paraId="778498EB">
      <w:pPr>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eastAsia="zh-CN"/>
          <w14:textFill>
            <w14:solidFill>
              <w14:schemeClr w14:val="tx1"/>
            </w14:solidFill>
          </w14:textFill>
        </w:rPr>
        <w:t>5</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违约责任</w:t>
      </w:r>
    </w:p>
    <w:p w14:paraId="2505CE6E">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.1质量瑕疵的</w:t>
      </w:r>
      <w:r>
        <w:rPr>
          <w:rFonts w:hint="eastAsia" w:ascii="宋体" w:hAnsi="宋体" w:eastAsia="宋体" w:cs="宋体"/>
          <w:bCs/>
          <w:color w:val="000000" w:themeColor="text1"/>
          <w:sz w:val="24"/>
          <w:szCs w:val="24"/>
          <w:highlight w:val="none"/>
          <w:lang w:eastAsia="zh-CN"/>
          <w14:textFill>
            <w14:solidFill>
              <w14:schemeClr w14:val="tx1"/>
            </w14:solidFill>
          </w14:textFill>
        </w:rPr>
        <w:t>违约责任</w:t>
      </w:r>
    </w:p>
    <w:p w14:paraId="606F142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乙方</w:t>
      </w:r>
      <w:r>
        <w:rPr>
          <w:rFonts w:hint="eastAsia" w:ascii="宋体" w:hAnsi="宋体" w:eastAsia="宋体" w:cs="宋体"/>
          <w:color w:val="000000" w:themeColor="text1"/>
          <w:sz w:val="24"/>
          <w:szCs w:val="24"/>
          <w:highlight w:val="none"/>
          <w:lang w:eastAsia="zh-CN"/>
          <w14:textFill>
            <w14:solidFill>
              <w14:schemeClr w14:val="tx1"/>
            </w14:solidFill>
          </w14:textFill>
        </w:rPr>
        <w:t>提供</w:t>
      </w:r>
      <w:r>
        <w:rPr>
          <w:rFonts w:hint="eastAsia" w:ascii="宋体" w:hAnsi="宋体" w:eastAsia="宋体" w:cs="宋体"/>
          <w:color w:val="000000" w:themeColor="text1"/>
          <w:sz w:val="24"/>
          <w:szCs w:val="24"/>
          <w:highlight w:val="none"/>
          <w14:textFill>
            <w14:solidFill>
              <w14:schemeClr w14:val="tx1"/>
            </w14:solidFill>
          </w14:textFill>
        </w:rPr>
        <w:t>的产品不符合</w:t>
      </w:r>
      <w:r>
        <w:rPr>
          <w:rFonts w:hint="eastAsia" w:ascii="宋体" w:hAnsi="宋体" w:eastAsia="宋体" w:cs="宋体"/>
          <w:color w:val="000000" w:themeColor="text1"/>
          <w:sz w:val="24"/>
          <w:szCs w:val="24"/>
          <w:highlight w:val="none"/>
          <w:lang w:eastAsia="zh-CN"/>
          <w14:textFill>
            <w14:solidFill>
              <w14:schemeClr w14:val="tx1"/>
            </w14:solidFill>
          </w14:textFill>
        </w:rPr>
        <w:t>合同约定的</w:t>
      </w:r>
      <w:r>
        <w:rPr>
          <w:rFonts w:hint="eastAsia" w:ascii="宋体" w:hAnsi="宋体" w:eastAsia="宋体" w:cs="宋体"/>
          <w:color w:val="000000" w:themeColor="text1"/>
          <w:sz w:val="24"/>
          <w:szCs w:val="24"/>
          <w:highlight w:val="none"/>
          <w14:textFill>
            <w14:solidFill>
              <w14:schemeClr w14:val="tx1"/>
            </w14:solidFill>
          </w14:textFill>
        </w:rPr>
        <w:t>质量标准或存在产品质量缺陷，</w:t>
      </w:r>
      <w:r>
        <w:rPr>
          <w:rFonts w:hint="eastAsia" w:ascii="宋体" w:hAnsi="宋体" w:eastAsia="宋体" w:cs="宋体"/>
          <w:color w:val="000000" w:themeColor="text1"/>
          <w:sz w:val="24"/>
          <w:szCs w:val="24"/>
          <w:highlight w:val="none"/>
          <w:lang w:eastAsia="zh-CN"/>
          <w14:textFill>
            <w14:solidFill>
              <w14:schemeClr w14:val="tx1"/>
            </w14:solidFill>
          </w14:textFill>
        </w:rPr>
        <w:t>甲方有权要求乙方根据</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要求</w:t>
      </w:r>
      <w:r>
        <w:rPr>
          <w:rFonts w:hint="eastAsia" w:ascii="宋体" w:hAnsi="宋体" w:eastAsia="宋体" w:cs="宋体"/>
          <w:color w:val="000000" w:themeColor="text1"/>
          <w:sz w:val="24"/>
          <w:szCs w:val="24"/>
          <w:highlight w:val="none"/>
          <w:lang w:eastAsia="zh-CN"/>
          <w14:textFill>
            <w14:solidFill>
              <w14:schemeClr w14:val="tx1"/>
            </w14:solidFill>
          </w14:textFill>
        </w:rPr>
        <w:t>及时修理、重作、更换，并承担由此给甲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eastAsia="宋体" w:cs="宋体"/>
          <w:color w:val="000000" w:themeColor="text1"/>
          <w:sz w:val="24"/>
          <w:szCs w:val="24"/>
          <w:highlight w:val="none"/>
          <w:lang w:eastAsia="zh-CN"/>
          <w14:textFill>
            <w14:solidFill>
              <w14:schemeClr w14:val="tx1"/>
            </w14:solidFill>
          </w14:textFill>
        </w:rPr>
        <w:t>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17C7E01B">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.2 迟延交货的违约责任</w:t>
      </w:r>
    </w:p>
    <w:p w14:paraId="531AB6C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（1）乙方应按照本合同规定的时间、地点交货和提供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服务。在履行合同过程中，如果乙方遇到可能</w:t>
      </w:r>
      <w:r>
        <w:rPr>
          <w:rFonts w:hint="eastAsia" w:ascii="宋体" w:hAnsi="宋体" w:eastAsia="宋体" w:cs="宋体"/>
          <w:color w:val="000000" w:themeColor="text1"/>
          <w:sz w:val="24"/>
          <w:szCs w:val="24"/>
          <w:highlight w:val="none"/>
          <w:lang w:eastAsia="zh-CN"/>
          <w14:textFill>
            <w14:solidFill>
              <w14:schemeClr w14:val="tx1"/>
            </w14:solidFill>
          </w14:textFill>
        </w:rPr>
        <w:t>影响</w:t>
      </w:r>
      <w:r>
        <w:rPr>
          <w:rFonts w:hint="eastAsia" w:ascii="宋体" w:hAnsi="宋体" w:eastAsia="宋体" w:cs="宋体"/>
          <w:color w:val="000000" w:themeColor="text1"/>
          <w:sz w:val="24"/>
          <w:szCs w:val="24"/>
          <w:highlight w:val="none"/>
          <w14:textFill>
            <w14:solidFill>
              <w14:schemeClr w14:val="tx1"/>
            </w14:solidFill>
          </w14:textFill>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000000" w:themeColor="text1"/>
          <w:sz w:val="24"/>
          <w:szCs w:val="24"/>
          <w:highlight w:val="none"/>
          <w:lang w:eastAsia="zh-CN"/>
          <w14:textFill>
            <w14:solidFill>
              <w14:schemeClr w14:val="tx1"/>
            </w14:solidFill>
          </w14:textFill>
        </w:rPr>
        <w:t>长</w:t>
      </w:r>
      <w:r>
        <w:rPr>
          <w:rFonts w:hint="eastAsia" w:ascii="宋体" w:hAnsi="宋体" w:eastAsia="宋体" w:cs="宋体"/>
          <w:color w:val="000000" w:themeColor="text1"/>
          <w:sz w:val="24"/>
          <w:szCs w:val="24"/>
          <w:highlight w:val="none"/>
          <w14:textFill>
            <w14:solidFill>
              <w14:schemeClr w14:val="tx1"/>
            </w14:solidFill>
          </w14:textFill>
        </w:rPr>
        <w:t>交货时间或延期提供服务。</w:t>
      </w:r>
    </w:p>
    <w:p w14:paraId="7DF6D2A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（2）如果乙方没有按照合同规定的时间交货和提供</w:t>
      </w:r>
      <w:r>
        <w:rPr>
          <w:rFonts w:hint="eastAsia" w:ascii="宋体" w:hAnsi="宋体" w:eastAsia="宋体" w:cs="宋体"/>
          <w:color w:val="000000" w:themeColor="text1"/>
          <w:sz w:val="24"/>
          <w:szCs w:val="24"/>
          <w:highlight w:val="none"/>
          <w:lang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服务，甲方有权从货款中扣除误期赔偿费而不影响合同项下的其他补救方法，赔偿费按</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规定执行。如果涉及公共利益，且赔偿金额无法弥补公共利益损失，</w:t>
      </w:r>
      <w:r>
        <w:rPr>
          <w:rFonts w:hint="eastAsia" w:ascii="宋体" w:hAnsi="宋体" w:eastAsia="宋体" w:cs="宋体"/>
          <w:color w:val="000000" w:themeColor="text1"/>
          <w:sz w:val="24"/>
          <w:szCs w:val="24"/>
          <w:highlight w:val="none"/>
          <w:lang w:eastAsia="zh-CN"/>
          <w14:textFill>
            <w14:solidFill>
              <w14:schemeClr w14:val="tx1"/>
            </w14:solidFill>
          </w14:textFill>
        </w:rPr>
        <w:t>甲方</w:t>
      </w:r>
      <w:r>
        <w:rPr>
          <w:rFonts w:hint="eastAsia" w:ascii="宋体" w:hAnsi="宋体" w:eastAsia="宋体" w:cs="宋体"/>
          <w:color w:val="000000" w:themeColor="text1"/>
          <w:sz w:val="24"/>
          <w:szCs w:val="24"/>
          <w:highlight w:val="none"/>
          <w14:textFill>
            <w14:solidFill>
              <w14:schemeClr w14:val="tx1"/>
            </w14:solidFill>
          </w14:textFill>
        </w:rPr>
        <w:t>可要求继续履行或者</w:t>
      </w:r>
      <w:r>
        <w:rPr>
          <w:rFonts w:hint="eastAsia" w:ascii="宋体" w:hAnsi="宋体" w:eastAsia="宋体" w:cs="宋体"/>
          <w:color w:val="000000" w:themeColor="text1"/>
          <w:sz w:val="24"/>
          <w:szCs w:val="24"/>
          <w:highlight w:val="none"/>
          <w:lang w:eastAsia="zh-CN"/>
          <w14:textFill>
            <w14:solidFill>
              <w14:schemeClr w14:val="tx1"/>
            </w14:solidFill>
          </w14:textFill>
        </w:rPr>
        <w:t>采取其他补救措施</w:t>
      </w:r>
      <w:r>
        <w:rPr>
          <w:rFonts w:hint="eastAsia" w:ascii="宋体" w:hAnsi="宋体" w:eastAsia="宋体" w:cs="宋体"/>
          <w:color w:val="000000" w:themeColor="text1"/>
          <w:sz w:val="24"/>
          <w:szCs w:val="24"/>
          <w:highlight w:val="none"/>
          <w14:textFill>
            <w14:solidFill>
              <w14:schemeClr w14:val="tx1"/>
            </w14:solidFill>
          </w14:textFill>
        </w:rPr>
        <w:t>。</w:t>
      </w:r>
    </w:p>
    <w:p w14:paraId="174D1B2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.3 迟延支付的违约责任</w:t>
      </w:r>
    </w:p>
    <w:p w14:paraId="75CF24A0">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甲方存在迟延支付乙方合同款项的，应当承担</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规定的逾期付款利息。</w:t>
      </w:r>
    </w:p>
    <w:p w14:paraId="6AB23510">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1</w:t>
      </w:r>
      <w:r>
        <w:rPr>
          <w:rFonts w:hint="eastAsia" w:ascii="宋体" w:hAnsi="宋体" w:eastAsia="宋体" w:cs="宋体"/>
          <w:bCs/>
          <w:color w:val="000000" w:themeColor="text1"/>
          <w:sz w:val="24"/>
          <w:szCs w:val="24"/>
          <w:highlight w:val="none"/>
          <w:lang w:eastAsia="zh-CN"/>
          <w14:textFill>
            <w14:solidFill>
              <w14:schemeClr w14:val="tx1"/>
            </w14:solidFill>
          </w14:textFill>
        </w:rPr>
        <w:t>5</w:t>
      </w:r>
      <w:r>
        <w:rPr>
          <w:rFonts w:hint="eastAsia" w:ascii="宋体" w:hAnsi="宋体" w:eastAsia="宋体" w:cs="宋体"/>
          <w:bCs/>
          <w:color w:val="000000" w:themeColor="text1"/>
          <w:sz w:val="24"/>
          <w:szCs w:val="24"/>
          <w:highlight w:val="none"/>
          <w14:textFill>
            <w14:solidFill>
              <w14:schemeClr w14:val="tx1"/>
            </w14:solidFill>
          </w14:textFill>
        </w:rPr>
        <w:t>.4其他违约责任根据项目实际需要按</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highlight w:val="none"/>
          <w14:textFill>
            <w14:solidFill>
              <w14:schemeClr w14:val="tx1"/>
            </w14:solidFill>
          </w14:textFill>
        </w:rPr>
        <w:t>规定执行。</w:t>
      </w:r>
    </w:p>
    <w:p w14:paraId="23DF77CF">
      <w:pPr>
        <w:pageBreakBefore w:val="0"/>
        <w:numPr>
          <w:ilvl w:val="0"/>
          <w:numId w:val="11"/>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合同变更</w:t>
      </w:r>
      <w:r>
        <w:rPr>
          <w:rFonts w:hint="eastAsia" w:ascii="宋体" w:hAnsi="宋体" w:eastAsia="宋体" w:cs="宋体"/>
          <w:b/>
          <w:color w:val="000000" w:themeColor="text1"/>
          <w:sz w:val="24"/>
          <w:szCs w:val="24"/>
          <w:highlight w:val="none"/>
          <w:lang w:eastAsia="zh-CN"/>
          <w14:textFill>
            <w14:solidFill>
              <w14:schemeClr w14:val="tx1"/>
            </w14:solidFill>
          </w14:textFill>
        </w:rPr>
        <w:t>、中止与终止</w:t>
      </w:r>
    </w:p>
    <w:p w14:paraId="496E899F">
      <w:pPr>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.1合同的</w:t>
      </w:r>
      <w:r>
        <w:rPr>
          <w:rFonts w:hint="eastAsia" w:ascii="宋体" w:hAnsi="宋体" w:eastAsia="宋体" w:cs="宋体"/>
          <w:color w:val="000000" w:themeColor="text1"/>
          <w:sz w:val="24"/>
          <w:szCs w:val="24"/>
          <w:highlight w:val="none"/>
          <w:lang w:eastAsia="zh-CN"/>
          <w14:textFill>
            <w14:solidFill>
              <w14:schemeClr w14:val="tx1"/>
            </w14:solidFill>
          </w14:textFill>
        </w:rPr>
        <w:t>变更</w:t>
      </w:r>
    </w:p>
    <w:p w14:paraId="74C0B317">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政府采购合同履行中，</w:t>
      </w:r>
      <w:r>
        <w:rPr>
          <w:rFonts w:hint="eastAsia" w:ascii="宋体" w:hAnsi="宋体" w:eastAsia="宋体" w:cs="宋体"/>
          <w:color w:val="000000" w:themeColor="text1"/>
          <w:sz w:val="24"/>
          <w:szCs w:val="24"/>
          <w:highlight w:val="none"/>
          <w14:textFill>
            <w14:solidFill>
              <w14:schemeClr w14:val="tx1"/>
            </w14:solidFill>
          </w14:textFill>
        </w:rPr>
        <w:t>在不改变合同其他条款的前提下，甲方可以在合同价款</w:t>
      </w:r>
      <w:r>
        <w:rPr>
          <w:rFonts w:hint="eastAsia" w:ascii="宋体" w:hAnsi="宋体" w:eastAsia="宋体" w:cs="宋体"/>
          <w:color w:val="000000" w:themeColor="text1"/>
          <w:sz w:val="24"/>
          <w:szCs w:val="24"/>
          <w:highlight w:val="none"/>
          <w:lang w:eastAsia="zh-CN"/>
          <w14:textFill>
            <w14:solidFill>
              <w14:schemeClr w14:val="tx1"/>
            </w14:solidFill>
          </w14:textFill>
        </w:rPr>
        <w:t>20%</w:t>
      </w:r>
      <w:r>
        <w:rPr>
          <w:rFonts w:hint="eastAsia" w:ascii="宋体" w:hAnsi="宋体" w:eastAsia="宋体" w:cs="宋体"/>
          <w:color w:val="000000" w:themeColor="text1"/>
          <w:sz w:val="24"/>
          <w:szCs w:val="24"/>
          <w:highlight w:val="none"/>
          <w14:textFill>
            <w14:solidFill>
              <w14:schemeClr w14:val="tx1"/>
            </w14:solidFill>
          </w14:textFill>
        </w:rPr>
        <w:t>的范围内追加与合同标的相同的货物，并就此与乙方协商</w:t>
      </w:r>
      <w:r>
        <w:rPr>
          <w:rFonts w:hint="eastAsia" w:ascii="宋体" w:hAnsi="宋体" w:eastAsia="宋体" w:cs="宋体"/>
          <w:color w:val="000000" w:themeColor="text1"/>
          <w:sz w:val="24"/>
          <w:szCs w:val="24"/>
          <w:highlight w:val="none"/>
          <w:lang w:eastAsia="zh-CN"/>
          <w14:textFill>
            <w14:solidFill>
              <w14:schemeClr w14:val="tx1"/>
            </w14:solidFill>
          </w14:textFill>
        </w:rPr>
        <w:t>一致后</w:t>
      </w:r>
      <w:r>
        <w:rPr>
          <w:rFonts w:hint="eastAsia" w:ascii="宋体" w:hAnsi="宋体" w:eastAsia="宋体" w:cs="宋体"/>
          <w:color w:val="000000" w:themeColor="text1"/>
          <w:sz w:val="24"/>
          <w:szCs w:val="24"/>
          <w:highlight w:val="none"/>
          <w14:textFill>
            <w14:solidFill>
              <w14:schemeClr w14:val="tx1"/>
            </w14:solidFill>
          </w14:textFill>
        </w:rPr>
        <w:t>签订补充协议。</w:t>
      </w:r>
    </w:p>
    <w:p w14:paraId="565D3D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合同的中止</w:t>
      </w:r>
    </w:p>
    <w:p w14:paraId="353337F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（1）合同履行过程中因供应商就采购文件、采购过程或结果提起投诉的，甲方认为有必要的，</w:t>
      </w:r>
      <w:r>
        <w:rPr>
          <w:rFonts w:hint="eastAsia" w:ascii="宋体" w:hAnsi="宋体" w:eastAsia="宋体" w:cs="宋体"/>
          <w:color w:val="000000" w:themeColor="text1"/>
          <w:sz w:val="24"/>
          <w:szCs w:val="24"/>
          <w:highlight w:val="none"/>
          <w:lang w:eastAsia="zh-CN"/>
          <w14:textFill>
            <w14:solidFill>
              <w14:schemeClr w14:val="tx1"/>
            </w14:solidFill>
          </w14:textFill>
        </w:rPr>
        <w:t>可以</w:t>
      </w:r>
      <w:r>
        <w:rPr>
          <w:rFonts w:hint="eastAsia" w:ascii="宋体" w:hAnsi="宋体" w:eastAsia="宋体" w:cs="宋体"/>
          <w:color w:val="000000" w:themeColor="text1"/>
          <w:sz w:val="24"/>
          <w:szCs w:val="24"/>
          <w:highlight w:val="none"/>
          <w14:textFill>
            <w14:solidFill>
              <w14:schemeClr w14:val="tx1"/>
            </w14:solidFill>
          </w14:textFill>
        </w:rPr>
        <w:t>中止合同的履行。</w:t>
      </w:r>
    </w:p>
    <w:p w14:paraId="7AED527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合同履行过程中，</w:t>
      </w:r>
      <w:r>
        <w:rPr>
          <w:rFonts w:hint="eastAsia" w:ascii="宋体" w:hAnsi="宋体" w:eastAsia="宋体" w:cs="宋体"/>
          <w:color w:val="000000" w:themeColor="text1"/>
          <w:sz w:val="24"/>
          <w:szCs w:val="24"/>
          <w:highlight w:val="none"/>
          <w14:textFill>
            <w14:solidFill>
              <w14:schemeClr w14:val="tx1"/>
            </w14:solidFill>
          </w14:textFill>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000000" w:themeColor="text1"/>
          <w:sz w:val="24"/>
          <w:szCs w:val="24"/>
          <w:highlight w:val="none"/>
          <w:lang w:eastAsia="zh-CN"/>
          <w14:textFill>
            <w14:solidFill>
              <w14:schemeClr w14:val="tx1"/>
            </w14:solidFill>
          </w14:textFill>
        </w:rPr>
        <w:t>，乙方有义务及时告知甲方</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以书面形式通知乙方中止合同</w:t>
      </w:r>
      <w:r>
        <w:rPr>
          <w:rFonts w:hint="eastAsia" w:ascii="宋体" w:hAnsi="宋体" w:eastAsia="宋体" w:cs="宋体"/>
          <w:color w:val="000000" w:themeColor="text1"/>
          <w:sz w:val="24"/>
          <w:szCs w:val="24"/>
          <w:highlight w:val="none"/>
          <w:lang w:eastAsia="zh-CN"/>
          <w14:textFill>
            <w14:solidFill>
              <w14:schemeClr w14:val="tx1"/>
            </w14:solidFill>
          </w14:textFill>
        </w:rPr>
        <w:t>并要求乙方在合理期限内消除相关情形或者提供适当担保。</w:t>
      </w:r>
      <w:r>
        <w:rPr>
          <w:rFonts w:hint="eastAsia" w:ascii="宋体" w:hAnsi="宋体" w:eastAsia="宋体" w:cs="宋体"/>
          <w:color w:val="000000" w:themeColor="text1"/>
          <w:sz w:val="24"/>
          <w:szCs w:val="24"/>
          <w:highlight w:val="none"/>
          <w14:textFill>
            <w14:solidFill>
              <w14:schemeClr w14:val="tx1"/>
            </w14:solidFill>
          </w14:textFill>
        </w:rPr>
        <w:t>乙方提供适当担保的，</w:t>
      </w:r>
      <w:r>
        <w:rPr>
          <w:rFonts w:hint="eastAsia" w:ascii="宋体" w:hAnsi="宋体" w:eastAsia="宋体" w:cs="宋体"/>
          <w:color w:val="000000" w:themeColor="text1"/>
          <w:sz w:val="24"/>
          <w:szCs w:val="24"/>
          <w:highlight w:val="none"/>
          <w:lang w:eastAsia="zh-CN"/>
          <w14:textFill>
            <w14:solidFill>
              <w14:schemeClr w14:val="tx1"/>
            </w14:solidFill>
          </w14:textFill>
        </w:rPr>
        <w:t>合同继续</w:t>
      </w:r>
      <w:r>
        <w:rPr>
          <w:rFonts w:hint="eastAsia" w:ascii="宋体" w:hAnsi="宋体" w:eastAsia="宋体" w:cs="宋体"/>
          <w:color w:val="000000" w:themeColor="text1"/>
          <w:sz w:val="24"/>
          <w:szCs w:val="24"/>
          <w:highlight w:val="none"/>
          <w14:textFill>
            <w14:solidFill>
              <w14:schemeClr w14:val="tx1"/>
            </w14:solidFill>
          </w14:textFill>
        </w:rPr>
        <w:t>履行</w:t>
      </w:r>
      <w:r>
        <w:rPr>
          <w:rFonts w:hint="eastAsia" w:ascii="宋体" w:hAnsi="宋体" w:eastAsia="宋体" w:cs="宋体"/>
          <w:color w:val="000000" w:themeColor="text1"/>
          <w:sz w:val="24"/>
          <w:szCs w:val="24"/>
          <w:highlight w:val="none"/>
          <w:lang w:eastAsia="zh-CN"/>
          <w14:textFill>
            <w14:solidFill>
              <w14:schemeClr w14:val="tx1"/>
            </w14:solidFill>
          </w14:textFill>
        </w:rPr>
        <w:t>；乙</w:t>
      </w:r>
      <w:r>
        <w:rPr>
          <w:rFonts w:hint="eastAsia" w:ascii="宋体" w:hAnsi="宋体" w:eastAsia="宋体" w:cs="宋体"/>
          <w:color w:val="000000" w:themeColor="text1"/>
          <w:sz w:val="24"/>
          <w:szCs w:val="24"/>
          <w:highlight w:val="none"/>
          <w14:textFill>
            <w14:solidFill>
              <w14:schemeClr w14:val="tx1"/>
            </w14:solidFill>
          </w14:textFill>
        </w:rPr>
        <w:t>方在合理期限内未恢复履约能力且未提供适当担保的，视为拒绝</w:t>
      </w:r>
      <w:r>
        <w:rPr>
          <w:rFonts w:hint="eastAsia" w:ascii="宋体" w:hAnsi="宋体" w:eastAsia="宋体" w:cs="宋体"/>
          <w:color w:val="000000" w:themeColor="text1"/>
          <w:sz w:val="24"/>
          <w:szCs w:val="24"/>
          <w:highlight w:val="none"/>
          <w:lang w:eastAsia="zh-CN"/>
          <w14:textFill>
            <w14:solidFill>
              <w14:schemeClr w14:val="tx1"/>
            </w14:solidFill>
          </w14:textFill>
        </w:rPr>
        <w:t>继续</w:t>
      </w:r>
      <w:r>
        <w:rPr>
          <w:rFonts w:hint="eastAsia" w:ascii="宋体" w:hAnsi="宋体" w:eastAsia="宋体" w:cs="宋体"/>
          <w:color w:val="000000" w:themeColor="text1"/>
          <w:sz w:val="24"/>
          <w:szCs w:val="24"/>
          <w:highlight w:val="none"/>
          <w14:textFill>
            <w14:solidFill>
              <w14:schemeClr w14:val="tx1"/>
            </w14:solidFill>
          </w14:textFill>
        </w:rPr>
        <w:t>履约，甲方</w:t>
      </w:r>
      <w:r>
        <w:rPr>
          <w:rFonts w:hint="eastAsia" w:ascii="宋体" w:hAnsi="宋体" w:eastAsia="宋体" w:cs="宋体"/>
          <w:color w:val="000000" w:themeColor="text1"/>
          <w:sz w:val="24"/>
          <w:szCs w:val="24"/>
          <w:highlight w:val="none"/>
          <w:lang w:eastAsia="zh-CN"/>
          <w14:textFill>
            <w14:solidFill>
              <w14:schemeClr w14:val="tx1"/>
            </w14:solidFill>
          </w14:textFill>
        </w:rPr>
        <w:t>有权</w:t>
      </w:r>
      <w:r>
        <w:rPr>
          <w:rFonts w:hint="eastAsia" w:ascii="宋体" w:hAnsi="宋体" w:eastAsia="宋体" w:cs="宋体"/>
          <w:color w:val="000000" w:themeColor="text1"/>
          <w:sz w:val="24"/>
          <w:szCs w:val="24"/>
          <w:highlight w:val="none"/>
          <w14:textFill>
            <w14:solidFill>
              <w14:schemeClr w14:val="tx1"/>
            </w14:solidFill>
          </w14:textFill>
        </w:rPr>
        <w:t>解除合同并要求乙方承担</w:t>
      </w:r>
      <w:r>
        <w:rPr>
          <w:rFonts w:hint="eastAsia" w:ascii="宋体" w:hAnsi="宋体" w:eastAsia="宋体" w:cs="宋体"/>
          <w:color w:val="000000" w:themeColor="text1"/>
          <w:sz w:val="24"/>
          <w:szCs w:val="24"/>
          <w:highlight w:val="none"/>
          <w:lang w:eastAsia="zh-CN"/>
          <w14:textFill>
            <w14:solidFill>
              <w14:schemeClr w14:val="tx1"/>
            </w14:solidFill>
          </w14:textFill>
        </w:rPr>
        <w:t>由此给甲方造成的损失</w:t>
      </w:r>
      <w:r>
        <w:rPr>
          <w:rFonts w:hint="eastAsia" w:ascii="宋体" w:hAnsi="宋体" w:eastAsia="宋体" w:cs="宋体"/>
          <w:color w:val="000000" w:themeColor="text1"/>
          <w:sz w:val="24"/>
          <w:szCs w:val="24"/>
          <w:highlight w:val="none"/>
          <w14:textFill>
            <w14:solidFill>
              <w14:schemeClr w14:val="tx1"/>
            </w14:solidFill>
          </w14:textFill>
        </w:rPr>
        <w:t>。</w:t>
      </w:r>
    </w:p>
    <w:p w14:paraId="6AAD80BC">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（3）乙方分立、合并或者变更住所的，应当及时以书面形式告知甲方。乙方没有</w:t>
      </w:r>
      <w:r>
        <w:rPr>
          <w:rFonts w:hint="eastAsia" w:ascii="宋体" w:hAnsi="宋体" w:eastAsia="宋体" w:cs="宋体"/>
          <w:color w:val="000000" w:themeColor="text1"/>
          <w:sz w:val="24"/>
          <w:szCs w:val="24"/>
          <w:lang w:eastAsia="zh-CN"/>
          <w14:textFill>
            <w14:solidFill>
              <w14:schemeClr w14:val="tx1"/>
            </w14:solidFill>
          </w14:textFill>
        </w:rPr>
        <w:t>及时告知</w:t>
      </w:r>
      <w:r>
        <w:rPr>
          <w:rFonts w:hint="eastAsia" w:ascii="宋体" w:hAnsi="宋体" w:eastAsia="宋体" w:cs="宋体"/>
          <w:color w:val="000000" w:themeColor="text1"/>
          <w:sz w:val="24"/>
          <w:szCs w:val="24"/>
          <w14:textFill>
            <w14:solidFill>
              <w14:schemeClr w14:val="tx1"/>
            </w14:solidFill>
          </w14:textFill>
        </w:rPr>
        <w:t>甲方，致使</w:t>
      </w:r>
      <w:r>
        <w:rPr>
          <w:rFonts w:hint="eastAsia" w:ascii="宋体" w:hAnsi="宋体" w:eastAsia="宋体" w:cs="宋体"/>
          <w:color w:val="000000" w:themeColor="text1"/>
          <w:sz w:val="24"/>
          <w:szCs w:val="24"/>
          <w:lang w:eastAsia="zh-CN"/>
          <w14:textFill>
            <w14:solidFill>
              <w14:schemeClr w14:val="tx1"/>
            </w14:solidFill>
          </w14:textFill>
        </w:rPr>
        <w:t>合同</w:t>
      </w:r>
      <w:r>
        <w:rPr>
          <w:rFonts w:hint="eastAsia" w:ascii="宋体" w:hAnsi="宋体" w:eastAsia="宋体" w:cs="宋体"/>
          <w:color w:val="000000" w:themeColor="text1"/>
          <w:sz w:val="24"/>
          <w:szCs w:val="24"/>
          <w14:textFill>
            <w14:solidFill>
              <w14:schemeClr w14:val="tx1"/>
            </w14:solidFill>
          </w14:textFill>
        </w:rPr>
        <w:t>履行发生困难的，甲方可以中止合同履行并要求乙方承担由此给甲方造成的损失。</w:t>
      </w:r>
    </w:p>
    <w:p w14:paraId="4E40B22A">
      <w:pPr>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）甲方不得以行政区划调整、政府换届、机构或者职能调整以及相关责任人更替为由中止合同。</w:t>
      </w:r>
    </w:p>
    <w:p w14:paraId="4FA5E0C8">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合同的终止</w:t>
      </w:r>
    </w:p>
    <w:p w14:paraId="25E9050A">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（1）合同因有效期限届满而终止；</w:t>
      </w:r>
    </w:p>
    <w:p w14:paraId="314ADE03">
      <w:pPr>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（2）乙方未</w:t>
      </w:r>
      <w:r>
        <w:rPr>
          <w:rFonts w:hint="eastAsia" w:ascii="宋体" w:hAnsi="宋体" w:eastAsia="宋体" w:cs="宋体"/>
          <w:color w:val="000000" w:themeColor="text1"/>
          <w:sz w:val="24"/>
          <w:szCs w:val="24"/>
          <w:highlight w:val="none"/>
          <w:lang w:eastAsia="zh-CN"/>
          <w14:textFill>
            <w14:solidFill>
              <w14:schemeClr w14:val="tx1"/>
            </w14:solidFill>
          </w14:textFill>
        </w:rPr>
        <w:t>按</w:t>
      </w:r>
      <w:r>
        <w:rPr>
          <w:rFonts w:hint="eastAsia" w:ascii="宋体" w:hAnsi="宋体" w:eastAsia="宋体" w:cs="宋体"/>
          <w:color w:val="000000" w:themeColor="text1"/>
          <w:sz w:val="24"/>
          <w:szCs w:val="24"/>
          <w:highlight w:val="none"/>
          <w14:textFill>
            <w14:solidFill>
              <w14:schemeClr w14:val="tx1"/>
            </w14:solidFill>
          </w14:textFill>
        </w:rPr>
        <w:t>合同约定履行，构成根本性违约的，甲方有权终止合同</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并追究乙方的违约责</w:t>
      </w:r>
      <w:r>
        <w:rPr>
          <w:rFonts w:hint="eastAsia" w:ascii="宋体" w:hAnsi="宋体" w:eastAsia="宋体" w:cs="宋体"/>
          <w:color w:val="000000" w:themeColor="text1"/>
          <w:sz w:val="24"/>
          <w:szCs w:val="24"/>
          <w:lang w:val="en-US" w:eastAsia="zh-CN"/>
          <w14:textFill>
            <w14:solidFill>
              <w14:schemeClr w14:val="tx1"/>
            </w14:solidFill>
          </w14:textFill>
        </w:rPr>
        <w:t>任</w:t>
      </w:r>
      <w:r>
        <w:rPr>
          <w:rFonts w:hint="eastAsia" w:ascii="宋体" w:hAnsi="宋体" w:eastAsia="宋体" w:cs="宋体"/>
          <w:color w:val="000000" w:themeColor="text1"/>
          <w:sz w:val="24"/>
          <w:szCs w:val="24"/>
          <w:highlight w:val="none"/>
          <w14:textFill>
            <w14:solidFill>
              <w14:schemeClr w14:val="tx1"/>
            </w14:solidFill>
          </w14:textFill>
        </w:rPr>
        <w:t>。</w:t>
      </w:r>
    </w:p>
    <w:p w14:paraId="27F369FA">
      <w:pPr>
        <w:pStyle w:val="113"/>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16.4 </w:t>
      </w:r>
      <w:r>
        <w:rPr>
          <w:rFonts w:hint="eastAsia" w:ascii="宋体" w:hAnsi="宋体" w:eastAsia="宋体" w:cs="宋体"/>
          <w:color w:val="000000" w:themeColor="text1"/>
          <w:kern w:val="2"/>
          <w:sz w:val="24"/>
          <w:szCs w:val="24"/>
          <w:highlight w:val="none"/>
          <w:lang w:val="en-US" w:eastAsia="zh-CN"/>
          <w14:textFill>
            <w14:solidFill>
              <w14:schemeClr w14:val="tx1"/>
            </w14:solidFill>
          </w14:textFill>
        </w:rPr>
        <w:t>涉及国家利益、社会公共利益的情形</w:t>
      </w:r>
    </w:p>
    <w:p w14:paraId="6A3050BE">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政府采购合同继续履行将损害国家利益和社会公共利益的，双方当事人</w:t>
      </w:r>
      <w:r>
        <w:rPr>
          <w:rFonts w:hint="eastAsia" w:ascii="宋体" w:hAnsi="宋体" w:eastAsia="宋体" w:cs="宋体"/>
          <w:color w:val="000000" w:themeColor="text1"/>
          <w:sz w:val="24"/>
          <w:szCs w:val="24"/>
          <w:highlight w:val="none"/>
          <w:lang w:val="en-US" w:eastAsia="zh-CN"/>
          <w14:textFill>
            <w14:solidFill>
              <w14:schemeClr w14:val="tx1"/>
            </w14:solidFill>
          </w14:textFill>
        </w:rPr>
        <w:t>应当变更、</w:t>
      </w:r>
      <w:r>
        <w:rPr>
          <w:rFonts w:hint="eastAsia" w:ascii="宋体" w:hAnsi="宋体" w:eastAsia="宋体" w:cs="宋体"/>
          <w:color w:val="000000" w:themeColor="text1"/>
          <w:sz w:val="24"/>
          <w:szCs w:val="24"/>
          <w14:textFill>
            <w14:solidFill>
              <w14:schemeClr w14:val="tx1"/>
            </w14:solidFill>
          </w14:textFill>
        </w:rPr>
        <w:t>中止</w:t>
      </w:r>
      <w:r>
        <w:rPr>
          <w:rFonts w:hint="eastAsia" w:ascii="宋体" w:hAnsi="宋体" w:eastAsia="宋体" w:cs="宋体"/>
          <w:color w:val="000000" w:themeColor="text1"/>
          <w:sz w:val="24"/>
          <w:szCs w:val="24"/>
          <w:lang w:eastAsia="zh-CN"/>
          <w14:textFill>
            <w14:solidFill>
              <w14:schemeClr w14:val="tx1"/>
            </w14:solidFill>
          </w14:textFill>
        </w:rPr>
        <w:t>或者终止</w:t>
      </w:r>
      <w:r>
        <w:rPr>
          <w:rFonts w:hint="eastAsia" w:ascii="宋体" w:hAnsi="宋体" w:eastAsia="宋体" w:cs="宋体"/>
          <w:color w:val="000000" w:themeColor="text1"/>
          <w:sz w:val="24"/>
          <w:szCs w:val="24"/>
          <w14:textFill>
            <w14:solidFill>
              <w14:schemeClr w14:val="tx1"/>
            </w14:solidFill>
          </w14:textFill>
        </w:rPr>
        <w:t>合同。有过错的一方应当承担赔偿责任，双方都有过错的，各自承担相应的责任。</w:t>
      </w:r>
    </w:p>
    <w:p w14:paraId="55597ED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合同分包</w:t>
      </w:r>
    </w:p>
    <w:p w14:paraId="13B5EFB4">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.1 乙方不得</w:t>
      </w:r>
      <w:r>
        <w:rPr>
          <w:rFonts w:hint="eastAsia" w:ascii="宋体" w:hAnsi="宋体" w:eastAsia="宋体" w:cs="宋体"/>
          <w:color w:val="000000" w:themeColor="text1"/>
          <w:sz w:val="24"/>
          <w:szCs w:val="24"/>
          <w:highlight w:val="none"/>
          <w:lang w:eastAsia="zh-CN"/>
          <w14:textFill>
            <w14:solidFill>
              <w14:schemeClr w14:val="tx1"/>
            </w14:solidFill>
          </w14:textFill>
        </w:rPr>
        <w:t>将合同转包给其他供应商。涉及合同分包的，乙方</w:t>
      </w:r>
      <w:r>
        <w:rPr>
          <w:rFonts w:hint="eastAsia" w:ascii="宋体" w:hAnsi="宋体" w:eastAsia="宋体" w:cs="宋体"/>
          <w:color w:val="000000" w:themeColor="text1"/>
          <w:sz w:val="24"/>
          <w:szCs w:val="24"/>
          <w:highlight w:val="none"/>
          <w:lang w:val="en-US" w:eastAsia="zh-CN"/>
          <w14:textFill>
            <w14:solidFill>
              <w14:schemeClr w14:val="tx1"/>
            </w14:solidFill>
          </w14:textFill>
        </w:rPr>
        <w:t>应</w:t>
      </w:r>
      <w:r>
        <w:rPr>
          <w:rFonts w:hint="eastAsia" w:ascii="宋体" w:hAnsi="宋体" w:eastAsia="宋体" w:cs="宋体"/>
          <w:color w:val="000000" w:themeColor="text1"/>
          <w:sz w:val="24"/>
          <w:szCs w:val="24"/>
          <w:highlight w:val="none"/>
          <w:lang w:eastAsia="zh-CN"/>
          <w14:textFill>
            <w14:solidFill>
              <w14:schemeClr w14:val="tx1"/>
            </w14:solidFill>
          </w14:textFill>
        </w:rPr>
        <w:t>根据采购文件和投标（响应）文件规定进行</w:t>
      </w:r>
      <w:r>
        <w:rPr>
          <w:rFonts w:hint="eastAsia" w:ascii="宋体" w:hAnsi="宋体" w:eastAsia="宋体" w:cs="宋体"/>
          <w:color w:val="000000" w:themeColor="text1"/>
          <w:sz w:val="24"/>
          <w:szCs w:val="24"/>
          <w:highlight w:val="none"/>
          <w14:textFill>
            <w14:solidFill>
              <w14:schemeClr w14:val="tx1"/>
            </w14:solidFill>
          </w14:textFill>
        </w:rPr>
        <w:t>合同分包。</w:t>
      </w:r>
    </w:p>
    <w:p w14:paraId="4CB751B3">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.2 乙方执行政府采购政策向中小企业依法分包的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乙方应当按采购文件</w:t>
      </w:r>
      <w:r>
        <w:rPr>
          <w:rFonts w:hint="eastAsia" w:ascii="宋体" w:hAnsi="宋体" w:eastAsia="宋体" w:cs="宋体"/>
          <w:color w:val="000000" w:themeColor="text1"/>
          <w:sz w:val="24"/>
          <w:szCs w:val="24"/>
          <w:highlight w:val="none"/>
          <w:lang w:eastAsia="zh-CN"/>
          <w14:textFill>
            <w14:solidFill>
              <w14:schemeClr w14:val="tx1"/>
            </w14:solidFill>
          </w14:textFill>
        </w:rPr>
        <w:t>和</w:t>
      </w:r>
      <w:r>
        <w:rPr>
          <w:rFonts w:hint="eastAsia" w:ascii="宋体" w:hAnsi="宋体" w:eastAsia="宋体" w:cs="宋体"/>
          <w:color w:val="000000" w:themeColor="text1"/>
          <w:sz w:val="24"/>
          <w:szCs w:val="24"/>
          <w:highlight w:val="none"/>
          <w14:textFill>
            <w14:solidFill>
              <w14:schemeClr w14:val="tx1"/>
            </w14:solidFill>
          </w14:textFill>
        </w:rPr>
        <w:t>投标（响应）文件签订分包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协议，分包</w:t>
      </w:r>
      <w:r>
        <w:rPr>
          <w:rFonts w:hint="eastAsia" w:ascii="宋体" w:hAnsi="宋体" w:eastAsia="宋体" w:cs="宋体"/>
          <w:color w:val="000000" w:themeColor="text1"/>
          <w:sz w:val="24"/>
          <w:szCs w:val="24"/>
          <w:highlight w:val="none"/>
          <w:lang w:eastAsia="zh-CN"/>
          <w14:textFill>
            <w14:solidFill>
              <w14:schemeClr w14:val="tx1"/>
            </w14:solidFill>
          </w14:textFill>
        </w:rPr>
        <w:t>意向</w:t>
      </w:r>
      <w:r>
        <w:rPr>
          <w:rFonts w:hint="eastAsia" w:ascii="宋体" w:hAnsi="宋体" w:eastAsia="宋体" w:cs="宋体"/>
          <w:color w:val="000000" w:themeColor="text1"/>
          <w:sz w:val="24"/>
          <w:szCs w:val="24"/>
          <w:highlight w:val="none"/>
          <w14:textFill>
            <w14:solidFill>
              <w14:schemeClr w14:val="tx1"/>
            </w14:solidFill>
          </w14:textFill>
        </w:rPr>
        <w:t>协议属于本合同组成部分。</w:t>
      </w:r>
    </w:p>
    <w:p w14:paraId="322752B9">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不可抗力</w:t>
      </w:r>
    </w:p>
    <w:p w14:paraId="7F6A4BAE">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.1 不可抗力是指合同双方不能预见、不能避免且不能克服的客观情况。</w:t>
      </w:r>
    </w:p>
    <w:p w14:paraId="67E001A1">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.2 任何一方对由于不可抗力造成的部分或全部不能履行合同不承担违约责任。但迟延履行后发生不可抗力的，不能免除责任。</w:t>
      </w:r>
    </w:p>
    <w:p w14:paraId="4FD7A402">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.3 遇有不可抗力的一方，应及时将事件情况以书面形式</w:t>
      </w:r>
      <w:r>
        <w:rPr>
          <w:rFonts w:hint="eastAsia" w:ascii="宋体" w:hAnsi="宋体" w:eastAsia="宋体" w:cs="宋体"/>
          <w:color w:val="000000" w:themeColor="text1"/>
          <w:sz w:val="24"/>
          <w:szCs w:val="24"/>
          <w:highlight w:val="none"/>
          <w:lang w:eastAsia="zh-CN"/>
          <w14:textFill>
            <w14:solidFill>
              <w14:schemeClr w14:val="tx1"/>
            </w14:solidFill>
          </w14:textFill>
        </w:rPr>
        <w:t>告</w:t>
      </w:r>
      <w:r>
        <w:rPr>
          <w:rFonts w:hint="eastAsia" w:ascii="宋体" w:hAnsi="宋体" w:eastAsia="宋体" w:cs="宋体"/>
          <w:color w:val="000000" w:themeColor="text1"/>
          <w:sz w:val="24"/>
          <w:szCs w:val="24"/>
          <w:highlight w:val="none"/>
          <w14:textFill>
            <w14:solidFill>
              <w14:schemeClr w14:val="tx1"/>
            </w14:solidFill>
          </w14:textFill>
        </w:rPr>
        <w:t>知另一方，并在事件发生后及时向另一方提交合同不能履行或部分不能履行或需要延期履行</w:t>
      </w:r>
      <w:r>
        <w:rPr>
          <w:rFonts w:hint="eastAsia" w:ascii="宋体" w:hAnsi="宋体" w:eastAsia="宋体" w:cs="宋体"/>
          <w:color w:val="000000" w:themeColor="text1"/>
          <w:sz w:val="24"/>
          <w:szCs w:val="24"/>
          <w:highlight w:val="none"/>
          <w:lang w:eastAsia="zh-CN"/>
          <w14:textFill>
            <w14:solidFill>
              <w14:schemeClr w14:val="tx1"/>
            </w14:solidFill>
          </w14:textFill>
        </w:rPr>
        <w:t>的详细</w:t>
      </w:r>
      <w:r>
        <w:rPr>
          <w:rFonts w:hint="eastAsia" w:ascii="宋体" w:hAnsi="宋体" w:eastAsia="宋体" w:cs="宋体"/>
          <w:color w:val="000000" w:themeColor="text1"/>
          <w:sz w:val="24"/>
          <w:szCs w:val="24"/>
          <w:highlight w:val="none"/>
          <w14:textFill>
            <w14:solidFill>
              <w14:schemeClr w14:val="tx1"/>
            </w14:solidFill>
          </w14:textFill>
        </w:rPr>
        <w:t>报告</w:t>
      </w:r>
      <w:r>
        <w:rPr>
          <w:rFonts w:hint="eastAsia" w:ascii="宋体" w:hAnsi="宋体" w:eastAsia="宋体" w:cs="宋体"/>
          <w:color w:val="000000" w:themeColor="text1"/>
          <w:sz w:val="24"/>
          <w:szCs w:val="24"/>
          <w:highlight w:val="none"/>
          <w:lang w:eastAsia="zh-CN"/>
          <w14:textFill>
            <w14:solidFill>
              <w14:schemeClr w14:val="tx1"/>
            </w14:solidFill>
          </w14:textFill>
        </w:rPr>
        <w:t>，以</w:t>
      </w:r>
      <w:r>
        <w:rPr>
          <w:rFonts w:hint="eastAsia" w:ascii="宋体" w:hAnsi="宋体" w:eastAsia="宋体" w:cs="宋体"/>
          <w:color w:val="000000" w:themeColor="text1"/>
          <w:sz w:val="24"/>
          <w:szCs w:val="24"/>
          <w:highlight w:val="none"/>
          <w:lang w:val="en-US" w:eastAsia="zh-CN"/>
          <w14:textFill>
            <w14:solidFill>
              <w14:schemeClr w14:val="tx1"/>
            </w14:solidFill>
          </w14:textFill>
        </w:rPr>
        <w:t>及证明不可抗力发生及其持续时间的证据</w:t>
      </w:r>
      <w:r>
        <w:rPr>
          <w:rFonts w:hint="eastAsia" w:ascii="宋体" w:hAnsi="宋体" w:eastAsia="宋体" w:cs="宋体"/>
          <w:color w:val="000000" w:themeColor="text1"/>
          <w:sz w:val="24"/>
          <w:szCs w:val="24"/>
          <w:highlight w:val="none"/>
          <w14:textFill>
            <w14:solidFill>
              <w14:schemeClr w14:val="tx1"/>
            </w14:solidFill>
          </w14:textFill>
        </w:rPr>
        <w:t>。</w:t>
      </w:r>
    </w:p>
    <w:p w14:paraId="1CD531D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19</w:t>
      </w:r>
      <w:r>
        <w:rPr>
          <w:rFonts w:hint="eastAsia" w:ascii="宋体" w:hAnsi="宋体" w:eastAsia="宋体" w:cs="宋体"/>
          <w:b/>
          <w:bCs/>
          <w:color w:val="000000" w:themeColor="text1"/>
          <w:sz w:val="24"/>
          <w:szCs w:val="24"/>
          <w:highlight w:val="none"/>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解决争议的方法</w:t>
      </w:r>
    </w:p>
    <w:p w14:paraId="6B37DECA">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.1 因本合同及合同有关事项发生的争议，由</w:t>
      </w:r>
      <w:r>
        <w:rPr>
          <w:rFonts w:hint="eastAsia" w:ascii="宋体" w:hAnsi="宋体" w:eastAsia="宋体" w:cs="宋体"/>
          <w:color w:val="000000" w:themeColor="text1"/>
          <w:sz w:val="24"/>
          <w:szCs w:val="24"/>
          <w:lang w:eastAsia="zh-CN"/>
          <w14:textFill>
            <w14:solidFill>
              <w14:schemeClr w14:val="tx1"/>
            </w14:solidFill>
          </w14:textFill>
        </w:rPr>
        <w:t>甲乙双</w:t>
      </w:r>
      <w:r>
        <w:rPr>
          <w:rFonts w:hint="eastAsia" w:ascii="宋体" w:hAnsi="宋体" w:eastAsia="宋体" w:cs="宋体"/>
          <w:color w:val="000000" w:themeColor="text1"/>
          <w:sz w:val="24"/>
          <w:szCs w:val="24"/>
          <w14:textFill>
            <w14:solidFill>
              <w14:schemeClr w14:val="tx1"/>
            </w14:solidFill>
          </w14:textFill>
        </w:rPr>
        <w:t>方友好协商解决。协商不成时，可以</w:t>
      </w:r>
      <w:r>
        <w:rPr>
          <w:rFonts w:hint="eastAsia" w:ascii="宋体" w:hAnsi="宋体" w:eastAsia="宋体" w:cs="宋体"/>
          <w:color w:val="000000" w:themeColor="text1"/>
          <w:sz w:val="24"/>
          <w:szCs w:val="24"/>
          <w:lang w:eastAsia="zh-CN"/>
          <w14:textFill>
            <w14:solidFill>
              <w14:schemeClr w14:val="tx1"/>
            </w14:solidFill>
          </w14:textFill>
        </w:rPr>
        <w:t>向有关组织申请</w:t>
      </w:r>
      <w:r>
        <w:rPr>
          <w:rFonts w:hint="eastAsia" w:ascii="宋体" w:hAnsi="宋体" w:eastAsia="宋体" w:cs="宋体"/>
          <w:color w:val="000000" w:themeColor="text1"/>
          <w:sz w:val="24"/>
          <w:szCs w:val="24"/>
          <w14:textFill>
            <w14:solidFill>
              <w14:schemeClr w14:val="tx1"/>
            </w14:solidFill>
          </w14:textFill>
        </w:rPr>
        <w:t>调解。合同一方或</w:t>
      </w:r>
      <w:r>
        <w:rPr>
          <w:rFonts w:hint="eastAsia" w:ascii="宋体" w:hAnsi="宋体" w:eastAsia="宋体" w:cs="宋体"/>
          <w:color w:val="000000" w:themeColor="text1"/>
          <w:sz w:val="24"/>
          <w:szCs w:val="24"/>
          <w:lang w:eastAsia="zh-CN"/>
          <w14:textFill>
            <w14:solidFill>
              <w14:schemeClr w14:val="tx1"/>
            </w14:solidFill>
          </w14:textFill>
        </w:rPr>
        <w:t>双</w:t>
      </w:r>
      <w:r>
        <w:rPr>
          <w:rFonts w:hint="eastAsia" w:ascii="宋体" w:hAnsi="宋体" w:eastAsia="宋体" w:cs="宋体"/>
          <w:color w:val="000000" w:themeColor="text1"/>
          <w:sz w:val="24"/>
          <w:szCs w:val="24"/>
          <w14:textFill>
            <w14:solidFill>
              <w14:schemeClr w14:val="tx1"/>
            </w14:solidFill>
          </w14:textFill>
        </w:rPr>
        <w:t>方不愿调解或调解不成的，可以通过仲裁或诉讼的方式解决争议。</w:t>
      </w:r>
    </w:p>
    <w:p w14:paraId="28A75799">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 选择仲裁的，应在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【政府采购合同专用条款】</w:t>
      </w:r>
      <w:r>
        <w:rPr>
          <w:rFonts w:hint="eastAsia" w:ascii="宋体" w:hAnsi="宋体" w:eastAsia="宋体" w:cs="宋体"/>
          <w:color w:val="000000" w:themeColor="text1"/>
          <w:sz w:val="24"/>
          <w:szCs w:val="24"/>
          <w14:textFill>
            <w14:solidFill>
              <w14:schemeClr w14:val="tx1"/>
            </w14:solidFill>
          </w14:textFill>
        </w:rPr>
        <w:t>中进一步约定选择与争议有实际联系的地点的人民法院管辖，但管辖法院的约定不得违反级别管辖和专属管辖的规定。</w:t>
      </w:r>
    </w:p>
    <w:p w14:paraId="45CC7C72">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.3 如</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14:textFill>
            <w14:solidFill>
              <w14:schemeClr w14:val="tx1"/>
            </w14:solidFill>
          </w14:textFill>
        </w:rPr>
        <w:t>有争议的事项不影响合同其他部分的履行，在争议解决期间，合同其他部分应</w:t>
      </w:r>
      <w:r>
        <w:rPr>
          <w:rFonts w:hint="eastAsia" w:ascii="宋体" w:hAnsi="宋体" w:eastAsia="宋体" w:cs="宋体"/>
          <w:color w:val="000000" w:themeColor="text1"/>
          <w:sz w:val="24"/>
          <w:szCs w:val="24"/>
          <w:lang w:eastAsia="zh-CN"/>
          <w14:textFill>
            <w14:solidFill>
              <w14:schemeClr w14:val="tx1"/>
            </w14:solidFill>
          </w14:textFill>
        </w:rPr>
        <w:t>当</w:t>
      </w:r>
      <w:r>
        <w:rPr>
          <w:rFonts w:hint="eastAsia" w:ascii="宋体" w:hAnsi="宋体" w:eastAsia="宋体" w:cs="宋体"/>
          <w:color w:val="000000" w:themeColor="text1"/>
          <w:sz w:val="24"/>
          <w:szCs w:val="24"/>
          <w14:textFill>
            <w14:solidFill>
              <w14:schemeClr w14:val="tx1"/>
            </w14:solidFill>
          </w14:textFill>
        </w:rPr>
        <w:t>继续履行。</w:t>
      </w:r>
    </w:p>
    <w:p w14:paraId="7678841B">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政府采购政策</w:t>
      </w:r>
    </w:p>
    <w:p w14:paraId="43D8813D">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20.1 </w:t>
      </w:r>
      <w:r>
        <w:rPr>
          <w:rFonts w:hint="eastAsia" w:ascii="宋体" w:hAnsi="宋体" w:eastAsia="宋体" w:cs="宋体"/>
          <w:color w:val="000000" w:themeColor="text1"/>
          <w:sz w:val="24"/>
          <w:szCs w:val="24"/>
          <w:lang w:val="en-GB"/>
          <w14:textFill>
            <w14:solidFill>
              <w14:schemeClr w14:val="tx1"/>
            </w14:solidFill>
          </w14:textFill>
        </w:rPr>
        <w:t>本合同应当按照规定执行政府采购政策。</w:t>
      </w:r>
    </w:p>
    <w:p w14:paraId="2CF3A5CC">
      <w:pPr>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本合同依法执行政府采购政策的方式和内容，属于合同履约验收的范围。</w:t>
      </w:r>
      <w:r>
        <w:rPr>
          <w:rFonts w:hint="eastAsia" w:ascii="宋体" w:hAnsi="宋体" w:eastAsia="宋体" w:cs="宋体"/>
          <w:color w:val="000000" w:themeColor="text1"/>
          <w:sz w:val="24"/>
          <w:szCs w:val="24"/>
          <w:lang w:eastAsia="zh-CN"/>
          <w14:textFill>
            <w14:solidFill>
              <w14:schemeClr w14:val="tx1"/>
            </w14:solidFill>
          </w14:textFill>
        </w:rPr>
        <w:t>甲乙双方</w:t>
      </w:r>
      <w:r>
        <w:rPr>
          <w:rFonts w:hint="eastAsia" w:ascii="宋体" w:hAnsi="宋体" w:eastAsia="宋体" w:cs="宋体"/>
          <w:color w:val="000000" w:themeColor="text1"/>
          <w:sz w:val="24"/>
          <w:szCs w:val="24"/>
          <w:lang w:val="en-GB"/>
          <w14:textFill>
            <w14:solidFill>
              <w14:schemeClr w14:val="tx1"/>
            </w14:solidFill>
          </w14:textFill>
        </w:rPr>
        <w:t>未按规定要求执行政府采购政策造成损失的</w:t>
      </w:r>
      <w:r>
        <w:rPr>
          <w:rFonts w:hint="eastAsia" w:ascii="宋体" w:hAnsi="宋体" w:eastAsia="宋体" w:cs="宋体"/>
          <w:color w:val="000000" w:themeColor="text1"/>
          <w:sz w:val="24"/>
          <w:szCs w:val="24"/>
          <w:highlight w:val="none"/>
          <w14:textFill>
            <w14:solidFill>
              <w14:schemeClr w14:val="tx1"/>
            </w14:solidFill>
          </w14:textFill>
        </w:rPr>
        <w:t>，有过错的一方应当承担赔偿责任，双方都有过错的，各自承担相应的责任。</w:t>
      </w:r>
    </w:p>
    <w:p w14:paraId="4DFE30BA">
      <w:pPr>
        <w:pStyle w:val="11"/>
        <w:pageBreakBefore w:val="0"/>
        <w:kinsoku/>
        <w:wordWrap/>
        <w:overflowPunct/>
        <w:topLinePunct w:val="0"/>
        <w:bidi w:val="0"/>
        <w:spacing w:after="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对于</w:t>
      </w:r>
      <w:r>
        <w:rPr>
          <w:rFonts w:hint="eastAsia" w:ascii="宋体" w:hAnsi="宋体" w:eastAsia="宋体" w:cs="宋体"/>
          <w:color w:val="000000" w:themeColor="text1"/>
          <w:sz w:val="24"/>
          <w:szCs w:val="24"/>
          <w:highlight w:val="none"/>
          <w:lang w:eastAsia="zh-CN"/>
          <w14:textFill>
            <w14:solidFill>
              <w14:schemeClr w14:val="tx1"/>
            </w14:solidFill>
          </w14:textFill>
        </w:rPr>
        <w:t>为落实中小企业支持政策，</w:t>
      </w:r>
      <w:r>
        <w:rPr>
          <w:rFonts w:hint="eastAsia" w:ascii="宋体" w:hAnsi="宋体" w:eastAsia="宋体" w:cs="宋体"/>
          <w:color w:val="000000" w:themeColor="text1"/>
          <w:sz w:val="24"/>
          <w:szCs w:val="24"/>
          <w:highlight w:val="none"/>
          <w14:textFill>
            <w14:solidFill>
              <w14:schemeClr w14:val="tx1"/>
            </w14:solidFill>
          </w14:textFill>
        </w:rPr>
        <w:t>通过采购项目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整体</w:t>
      </w:r>
      <w:r>
        <w:rPr>
          <w:rFonts w:hint="eastAsia" w:ascii="宋体" w:hAnsi="宋体" w:eastAsia="宋体" w:cs="宋体"/>
          <w:color w:val="000000" w:themeColor="text1"/>
          <w:sz w:val="24"/>
          <w:szCs w:val="24"/>
          <w:highlight w:val="none"/>
          <w14:textFill>
            <w14:solidFill>
              <w14:schemeClr w14:val="tx1"/>
            </w14:solidFill>
          </w14:textFill>
        </w:rPr>
        <w:t>预留、</w:t>
      </w:r>
      <w:r>
        <w:rPr>
          <w:rFonts w:hint="eastAsia" w:ascii="宋体" w:hAnsi="宋体" w:eastAsia="宋体" w:cs="宋体"/>
          <w:color w:val="000000" w:themeColor="text1"/>
          <w:sz w:val="24"/>
          <w:szCs w:val="24"/>
          <w:highlight w:val="none"/>
          <w:lang w:eastAsia="zh-CN"/>
          <w14:textFill>
            <w14:solidFill>
              <w14:schemeClr w14:val="tx1"/>
            </w14:solidFill>
          </w14:textFill>
        </w:rPr>
        <w:t>设置</w:t>
      </w:r>
      <w:r>
        <w:rPr>
          <w:rFonts w:hint="eastAsia" w:ascii="宋体" w:hAnsi="宋体" w:eastAsia="宋体" w:cs="宋体"/>
          <w:color w:val="000000" w:themeColor="text1"/>
          <w:sz w:val="24"/>
          <w:szCs w:val="24"/>
          <w:highlight w:val="none"/>
          <w14:textFill>
            <w14:solidFill>
              <w14:schemeClr w14:val="tx1"/>
            </w14:solidFill>
          </w14:textFill>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B117557">
      <w:pPr>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法律适用</w:t>
      </w:r>
    </w:p>
    <w:p w14:paraId="663DD76F">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.1 本合同的订立、生效、解释、履行及与本合同有关的争议解决，均适用法律、行政法规。</w:t>
      </w:r>
    </w:p>
    <w:p w14:paraId="15B89813">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w:t>
      </w:r>
      <w:r>
        <w:rPr>
          <w:rFonts w:hint="eastAsia" w:ascii="宋体" w:hAnsi="宋体" w:eastAsia="宋体" w:cs="宋体"/>
          <w:color w:val="000000" w:themeColor="text1"/>
          <w:sz w:val="24"/>
          <w:szCs w:val="24"/>
          <w14:textFill>
            <w14:solidFill>
              <w14:schemeClr w14:val="tx1"/>
            </w14:solidFill>
          </w14:textFill>
        </w:rPr>
        <w:t>.2 本合同条款与法律、行政法规的强制性规定不一致的，双方当事人应按照法律、行政法规的强制性规定修改本合同的相关条款。</w:t>
      </w:r>
    </w:p>
    <w:p w14:paraId="49390193">
      <w:pPr>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22. </w:t>
      </w:r>
      <w:r>
        <w:rPr>
          <w:rFonts w:hint="eastAsia" w:ascii="宋体" w:hAnsi="宋体" w:eastAsia="宋体" w:cs="宋体"/>
          <w:b/>
          <w:color w:val="000000" w:themeColor="text1"/>
          <w:sz w:val="24"/>
          <w:szCs w:val="24"/>
          <w:highlight w:val="none"/>
          <w14:textFill>
            <w14:solidFill>
              <w14:schemeClr w14:val="tx1"/>
            </w14:solidFill>
          </w14:textFill>
        </w:rPr>
        <w:t>通知</w:t>
      </w:r>
    </w:p>
    <w:p w14:paraId="08F13B51">
      <w:pPr>
        <w:pStyle w:val="113"/>
        <w:pageBreakBefore w:val="0"/>
        <w:kinsoku/>
        <w:wordWrap/>
        <w:overflowPunct/>
        <w:topLinePunct w:val="0"/>
        <w:bidi w:val="0"/>
        <w:spacing w:line="560" w:lineRule="exact"/>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本合同任何一方向对方发出的通知、信件、数据电文等，应当发送至本合同第一部分《政府采购合同协议书》所约定的通讯地址、联系人、联系电话或电子邮箱。</w:t>
      </w:r>
    </w:p>
    <w:p w14:paraId="23DC6B7F">
      <w:pPr>
        <w:pStyle w:val="113"/>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一方当事人变更名称、</w:t>
      </w:r>
      <w:r>
        <w:rPr>
          <w:rFonts w:hint="eastAsia" w:ascii="宋体" w:hAnsi="宋体" w:eastAsia="宋体" w:cs="宋体"/>
          <w:color w:val="000000" w:themeColor="text1"/>
          <w:sz w:val="24"/>
          <w:szCs w:val="24"/>
          <w:lang w:eastAsia="zh-CN"/>
          <w14:textFill>
            <w14:solidFill>
              <w14:schemeClr w14:val="tx1"/>
            </w14:solidFill>
          </w14:textFill>
        </w:rPr>
        <w:t>住所</w:t>
      </w:r>
      <w:r>
        <w:rPr>
          <w:rFonts w:hint="eastAsia" w:ascii="宋体" w:hAnsi="宋体" w:eastAsia="宋体" w:cs="宋体"/>
          <w:color w:val="000000" w:themeColor="text1"/>
          <w:sz w:val="24"/>
          <w:szCs w:val="24"/>
          <w14:textFill>
            <w14:solidFill>
              <w14:schemeClr w14:val="tx1"/>
            </w14:solidFill>
          </w14:textFill>
        </w:rPr>
        <w:t>、联系人、联系电话或电子邮箱</w:t>
      </w:r>
      <w:r>
        <w:rPr>
          <w:rFonts w:hint="eastAsia" w:ascii="宋体" w:hAnsi="宋体" w:eastAsia="宋体" w:cs="宋体"/>
          <w:color w:val="000000" w:themeColor="text1"/>
          <w:sz w:val="24"/>
          <w:szCs w:val="24"/>
          <w:lang w:eastAsia="zh-CN"/>
          <w14:textFill>
            <w14:solidFill>
              <w14:schemeClr w14:val="tx1"/>
            </w14:solidFill>
          </w14:textFill>
        </w:rPr>
        <w:t>等信息</w:t>
      </w:r>
      <w:r>
        <w:rPr>
          <w:rFonts w:hint="eastAsia" w:ascii="宋体" w:hAnsi="宋体" w:eastAsia="宋体" w:cs="宋体"/>
          <w:color w:val="000000" w:themeColor="text1"/>
          <w:sz w:val="24"/>
          <w:szCs w:val="24"/>
          <w14:textFill>
            <w14:solidFill>
              <w14:schemeClr w14:val="tx1"/>
            </w14:solidFill>
          </w14:textFill>
        </w:rPr>
        <w:t>的，应当在变更后3日内及时书面通知对方，对方实际收到变更通知前的送达仍为有效送达。</w:t>
      </w:r>
    </w:p>
    <w:p w14:paraId="2F189085">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本合同一方给另一方的通知均应采用书面形式，传真或快递送到本合同中规定的对方的地址和办理签收手续。</w:t>
      </w:r>
    </w:p>
    <w:p w14:paraId="0B2208F9">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通知以送达之日或通知书中规定的生效之日起生效，两者中以较迟之日为准。</w:t>
      </w:r>
    </w:p>
    <w:p w14:paraId="2C5966A1">
      <w:pPr>
        <w:pageBreakBefore w:val="0"/>
        <w:numPr>
          <w:ilvl w:val="0"/>
          <w:numId w:val="12"/>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合同未尽事项</w:t>
      </w:r>
    </w:p>
    <w:p w14:paraId="4DA908C3">
      <w:pPr>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Cs/>
          <w:color w:val="000000" w:themeColor="text1"/>
          <w:sz w:val="24"/>
          <w:szCs w:val="24"/>
          <w:highlight w:val="none"/>
          <w14:textFill>
            <w14:solidFill>
              <w14:schemeClr w14:val="tx1"/>
            </w14:solidFill>
          </w14:textFill>
        </w:rPr>
        <w:t>.1合同未尽事项见</w:t>
      </w:r>
      <w:r>
        <w:rPr>
          <w:rFonts w:hint="eastAsia" w:ascii="宋体" w:hAnsi="宋体" w:eastAsia="宋体" w:cs="宋体"/>
          <w:b/>
          <w:color w:val="000000" w:themeColor="text1"/>
          <w:sz w:val="24"/>
          <w:szCs w:val="24"/>
          <w:highlight w:val="none"/>
          <w14:textFill>
            <w14:solidFill>
              <w14:schemeClr w14:val="tx1"/>
            </w14:solidFill>
          </w14:textFill>
        </w:rPr>
        <w:t>【政府采购合同专用条款】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w:t>
      </w:r>
    </w:p>
    <w:p w14:paraId="06638FAD">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23.2 合同附件与合同正文具有同等的法律效力。</w:t>
      </w:r>
      <w:bookmarkStart w:id="824" w:name="_Toc20313"/>
    </w:p>
    <w:p w14:paraId="61DA00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br w:type="page"/>
      </w:r>
      <w:r>
        <w:rPr>
          <w:rFonts w:hint="eastAsia" w:ascii="宋体" w:hAnsi="宋体" w:eastAsia="宋体" w:cs="宋体"/>
          <w:b/>
          <w:bCs/>
          <w:color w:val="000000" w:themeColor="text1"/>
          <w:sz w:val="24"/>
          <w:szCs w:val="24"/>
          <w14:textFill>
            <w14:solidFill>
              <w14:schemeClr w14:val="tx1"/>
            </w14:solidFill>
          </w14:textFill>
        </w:rPr>
        <w:t>第三节 政府采购合同专用条款</w:t>
      </w:r>
      <w:bookmarkEnd w:id="824"/>
    </w:p>
    <w:p w14:paraId="50E738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b w:val="0"/>
          <w:bCs w:val="0"/>
          <w:color w:val="000000" w:themeColor="text1"/>
          <w:sz w:val="24"/>
          <w:szCs w:val="24"/>
          <w14:textFill>
            <w14:solidFill>
              <w14:schemeClr w14:val="tx1"/>
            </w14:solidFill>
          </w14:textFill>
        </w:rPr>
      </w:pPr>
    </w:p>
    <w:tbl>
      <w:tblPr>
        <w:tblStyle w:val="35"/>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7694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5D00E8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E21FD3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14D5D27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联合体具体要求</w:t>
            </w:r>
          </w:p>
        </w:tc>
        <w:tc>
          <w:tcPr>
            <w:tcW w:w="5170" w:type="dxa"/>
            <w:noWrap w:val="0"/>
            <w:vAlign w:val="center"/>
          </w:tcPr>
          <w:p w14:paraId="0BE35BE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p>
        </w:tc>
      </w:tr>
      <w:tr w14:paraId="09401E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noWrap w:val="0"/>
            <w:vAlign w:val="center"/>
          </w:tcPr>
          <w:p w14:paraId="4EA197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7DCD04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第1.2（</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280DF9F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其他术语解释</w:t>
            </w:r>
          </w:p>
        </w:tc>
        <w:tc>
          <w:tcPr>
            <w:tcW w:w="5170" w:type="dxa"/>
            <w:noWrap w:val="0"/>
            <w:vAlign w:val="center"/>
          </w:tcPr>
          <w:p w14:paraId="7C9E89C9">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75D36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EA27D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F31EC3B">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4.4款</w:t>
            </w:r>
          </w:p>
        </w:tc>
        <w:tc>
          <w:tcPr>
            <w:tcW w:w="1742" w:type="dxa"/>
            <w:noWrap w:val="0"/>
            <w:vAlign w:val="center"/>
          </w:tcPr>
          <w:p w14:paraId="53F4D72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履约验收中甲方提出异议或作出说明的期限</w:t>
            </w:r>
          </w:p>
        </w:tc>
        <w:tc>
          <w:tcPr>
            <w:tcW w:w="5170" w:type="dxa"/>
            <w:noWrap w:val="0"/>
            <w:vAlign w:val="center"/>
          </w:tcPr>
          <w:p w14:paraId="3EBFC70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F53639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27085F0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7572A4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4.6款</w:t>
            </w:r>
          </w:p>
        </w:tc>
        <w:tc>
          <w:tcPr>
            <w:tcW w:w="1742" w:type="dxa"/>
            <w:noWrap w:val="0"/>
            <w:vAlign w:val="center"/>
          </w:tcPr>
          <w:p w14:paraId="208F539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约定甲方承担的其他义务和责任</w:t>
            </w:r>
          </w:p>
        </w:tc>
        <w:tc>
          <w:tcPr>
            <w:tcW w:w="5170" w:type="dxa"/>
            <w:noWrap w:val="0"/>
            <w:vAlign w:val="center"/>
          </w:tcPr>
          <w:p w14:paraId="3089D4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269FB3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DDF441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2C96888D">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5.4款</w:t>
            </w:r>
          </w:p>
        </w:tc>
        <w:tc>
          <w:tcPr>
            <w:tcW w:w="1742" w:type="dxa"/>
            <w:noWrap w:val="0"/>
            <w:vAlign w:val="center"/>
          </w:tcPr>
          <w:p w14:paraId="04E9D62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约定乙方承担的其他义务和责任</w:t>
            </w:r>
          </w:p>
        </w:tc>
        <w:tc>
          <w:tcPr>
            <w:tcW w:w="5170" w:type="dxa"/>
            <w:noWrap w:val="0"/>
            <w:vAlign w:val="center"/>
          </w:tcPr>
          <w:p w14:paraId="28DEE18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011212B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560C025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第二节</w:t>
            </w:r>
          </w:p>
          <w:p w14:paraId="65C56EEA">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6.1款</w:t>
            </w:r>
          </w:p>
        </w:tc>
        <w:tc>
          <w:tcPr>
            <w:tcW w:w="1742" w:type="dxa"/>
            <w:noWrap w:val="0"/>
            <w:vAlign w:val="center"/>
          </w:tcPr>
          <w:p w14:paraId="1C6C927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履行合同义务的顺序</w:t>
            </w:r>
          </w:p>
        </w:tc>
        <w:tc>
          <w:tcPr>
            <w:tcW w:w="5170" w:type="dxa"/>
            <w:noWrap w:val="0"/>
            <w:vAlign w:val="center"/>
          </w:tcPr>
          <w:p w14:paraId="7D986C4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r>
      <w:tr w14:paraId="18DDA6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noWrap w:val="0"/>
            <w:vAlign w:val="center"/>
          </w:tcPr>
          <w:p w14:paraId="0EED7FA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0747B5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36A8023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包装</w:t>
            </w:r>
            <w:r>
              <w:rPr>
                <w:rFonts w:hint="eastAsia" w:ascii="宋体" w:hAnsi="宋体" w:eastAsia="宋体" w:cs="宋体"/>
                <w:color w:val="000000" w:themeColor="text1"/>
                <w:sz w:val="24"/>
                <w:szCs w:val="24"/>
                <w:lang w:eastAsia="zh-CN"/>
                <w14:textFill>
                  <w14:solidFill>
                    <w14:schemeClr w14:val="tx1"/>
                  </w14:solidFill>
                </w14:textFill>
              </w:rPr>
              <w:t>特殊要求</w:t>
            </w:r>
          </w:p>
        </w:tc>
        <w:tc>
          <w:tcPr>
            <w:tcW w:w="5170" w:type="dxa"/>
            <w:noWrap w:val="0"/>
            <w:vAlign w:val="center"/>
          </w:tcPr>
          <w:p w14:paraId="39540457">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5D8778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noWrap w:val="0"/>
            <w:vAlign w:val="center"/>
          </w:tcPr>
          <w:p w14:paraId="0FE81AA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p>
        </w:tc>
        <w:tc>
          <w:tcPr>
            <w:tcW w:w="1742" w:type="dxa"/>
            <w:noWrap w:val="0"/>
            <w:vAlign w:val="center"/>
          </w:tcPr>
          <w:p w14:paraId="267A74C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指定现场</w:t>
            </w:r>
          </w:p>
        </w:tc>
        <w:tc>
          <w:tcPr>
            <w:tcW w:w="5170" w:type="dxa"/>
            <w:noWrap w:val="0"/>
            <w:vAlign w:val="center"/>
          </w:tcPr>
          <w:p w14:paraId="2617272B">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20637DB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noWrap w:val="0"/>
            <w:vAlign w:val="center"/>
          </w:tcPr>
          <w:p w14:paraId="09BC12E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991B8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614973D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运输特殊要求</w:t>
            </w:r>
          </w:p>
        </w:tc>
        <w:tc>
          <w:tcPr>
            <w:tcW w:w="5170" w:type="dxa"/>
            <w:noWrap w:val="0"/>
            <w:vAlign w:val="center"/>
          </w:tcPr>
          <w:p w14:paraId="0AE9B8DF">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1DEB72B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noWrap w:val="0"/>
            <w:vAlign w:val="center"/>
          </w:tcPr>
          <w:p w14:paraId="1D1C12D1">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0AFA737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7</w:t>
            </w:r>
            <w:r>
              <w:rPr>
                <w:rFonts w:hint="eastAsia" w:ascii="宋体" w:hAnsi="宋体" w:eastAsia="宋体" w:cs="宋体"/>
                <w:color w:val="000000" w:themeColor="text1"/>
                <w:sz w:val="24"/>
                <w:szCs w:val="24"/>
                <w14:textFill>
                  <w14:solidFill>
                    <w14:schemeClr w14:val="tx1"/>
                  </w14:solidFill>
                </w14:textFill>
              </w:rPr>
              <w:t>.3</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noWrap w:val="0"/>
            <w:vAlign w:val="center"/>
          </w:tcPr>
          <w:p w14:paraId="563DFF2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保险要求</w:t>
            </w:r>
          </w:p>
        </w:tc>
        <w:tc>
          <w:tcPr>
            <w:tcW w:w="5170" w:type="dxa"/>
            <w:noWrap w:val="0"/>
            <w:vAlign w:val="center"/>
          </w:tcPr>
          <w:p w14:paraId="3699D4FA">
            <w:pPr>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14:textFill>
                  <w14:solidFill>
                    <w14:schemeClr w14:val="tx1"/>
                  </w14:solidFill>
                </w14:textFill>
              </w:rPr>
            </w:pPr>
          </w:p>
        </w:tc>
      </w:tr>
      <w:tr w14:paraId="7069C7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ECE368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4B179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.2（1）项</w:t>
            </w:r>
          </w:p>
        </w:tc>
        <w:tc>
          <w:tcPr>
            <w:tcW w:w="1742" w:type="dxa"/>
            <w:noWrap w:val="0"/>
            <w:vAlign w:val="center"/>
          </w:tcPr>
          <w:p w14:paraId="509B18F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质量保证期</w:t>
            </w:r>
          </w:p>
        </w:tc>
        <w:tc>
          <w:tcPr>
            <w:tcW w:w="5170" w:type="dxa"/>
            <w:noWrap w:val="0"/>
            <w:vAlign w:val="center"/>
          </w:tcPr>
          <w:p w14:paraId="38F3EEF2">
            <w:pPr>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1E584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8EC139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7E6FC50">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8</w:t>
            </w:r>
            <w:r>
              <w:rPr>
                <w:rFonts w:hint="eastAsia" w:ascii="宋体" w:hAnsi="宋体" w:eastAsia="宋体" w:cs="宋体"/>
                <w:color w:val="000000" w:themeColor="text1"/>
                <w:sz w:val="24"/>
                <w:szCs w:val="24"/>
                <w14:textFill>
                  <w14:solidFill>
                    <w14:schemeClr w14:val="tx1"/>
                  </w14:solidFill>
                </w14:textFill>
              </w:rPr>
              <w:t>.2（3）项</w:t>
            </w:r>
          </w:p>
        </w:tc>
        <w:tc>
          <w:tcPr>
            <w:tcW w:w="1742" w:type="dxa"/>
            <w:noWrap w:val="0"/>
            <w:vAlign w:val="center"/>
          </w:tcPr>
          <w:p w14:paraId="1A8E7C9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货物质量缺陷</w:t>
            </w:r>
          </w:p>
          <w:p w14:paraId="2EEB49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响应时间</w:t>
            </w:r>
          </w:p>
        </w:tc>
        <w:tc>
          <w:tcPr>
            <w:tcW w:w="5170" w:type="dxa"/>
            <w:noWrap w:val="0"/>
            <w:vAlign w:val="center"/>
          </w:tcPr>
          <w:p w14:paraId="46C46DD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A47F0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0F94D84C">
            <w:pPr>
              <w:pageBreakBefore w:val="0"/>
              <w:kinsoku/>
              <w:wordWrap/>
              <w:overflowPunct/>
              <w:topLinePunct w:val="0"/>
              <w:bidi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第二节</w:t>
            </w:r>
          </w:p>
          <w:p w14:paraId="4D6CE74D">
            <w:pPr>
              <w:pStyle w:val="113"/>
              <w:pageBreakBefore w:val="0"/>
              <w:kinsoku/>
              <w:wordWrap/>
              <w:overflowPunct/>
              <w:topLinePunct w:val="0"/>
              <w:bidi w:val="0"/>
              <w:spacing w:line="560" w:lineRule="exact"/>
              <w:ind w:firstLine="0" w:firstLineChars="0"/>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第11.1款</w:t>
            </w:r>
          </w:p>
        </w:tc>
        <w:tc>
          <w:tcPr>
            <w:tcW w:w="1742" w:type="dxa"/>
            <w:noWrap w:val="0"/>
            <w:vAlign w:val="center"/>
          </w:tcPr>
          <w:p w14:paraId="5DE45323">
            <w:pPr>
              <w:pageBreakBefore w:val="0"/>
              <w:kinsoku/>
              <w:wordWrap/>
              <w:overflowPunct/>
              <w:topLinePunct w:val="0"/>
              <w:bidi w:val="0"/>
              <w:adjustRightInd w:val="0"/>
              <w:snapToGrid w:val="0"/>
              <w:spacing w:line="560" w:lineRule="exact"/>
              <w:jc w:val="both"/>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其他应当保密的信息</w:t>
            </w:r>
          </w:p>
        </w:tc>
        <w:tc>
          <w:tcPr>
            <w:tcW w:w="5170" w:type="dxa"/>
            <w:noWrap w:val="0"/>
            <w:vAlign w:val="center"/>
          </w:tcPr>
          <w:p w14:paraId="4229FAC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451AF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4E9FEDF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A7FAD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14:textFill>
                  <w14:solidFill>
                    <w14:schemeClr w14:val="tx1"/>
                  </w14:solidFill>
                </w14:textFill>
              </w:rPr>
              <w:t>.2款</w:t>
            </w:r>
          </w:p>
        </w:tc>
        <w:tc>
          <w:tcPr>
            <w:tcW w:w="1742" w:type="dxa"/>
            <w:noWrap w:val="0"/>
            <w:vAlign w:val="center"/>
          </w:tcPr>
          <w:p w14:paraId="04DFC95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合同价款支付</w:t>
            </w:r>
            <w:r>
              <w:rPr>
                <w:rFonts w:hint="eastAsia" w:ascii="宋体" w:hAnsi="宋体" w:eastAsia="宋体" w:cs="宋体"/>
                <w:color w:val="000000" w:themeColor="text1"/>
                <w:sz w:val="24"/>
                <w:szCs w:val="24"/>
                <w:lang w:eastAsia="zh-CN"/>
                <w14:textFill>
                  <w14:solidFill>
                    <w14:schemeClr w14:val="tx1"/>
                  </w14:solidFill>
                </w14:textFill>
              </w:rPr>
              <w:t>时间</w:t>
            </w:r>
          </w:p>
        </w:tc>
        <w:tc>
          <w:tcPr>
            <w:tcW w:w="5170" w:type="dxa"/>
            <w:noWrap w:val="0"/>
            <w:vAlign w:val="center"/>
          </w:tcPr>
          <w:p w14:paraId="777A872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3E1B1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noWrap w:val="0"/>
            <w:vAlign w:val="center"/>
          </w:tcPr>
          <w:p w14:paraId="1C3237E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1DFA22E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13.2</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20AC8353">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履约保证金不予退还的情形</w:t>
            </w:r>
          </w:p>
        </w:tc>
        <w:tc>
          <w:tcPr>
            <w:tcW w:w="5170" w:type="dxa"/>
            <w:noWrap w:val="0"/>
            <w:vAlign w:val="center"/>
          </w:tcPr>
          <w:p w14:paraId="19C6A69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9AE2D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938710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27C8F1A">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13.3</w:t>
            </w:r>
            <w:r>
              <w:rPr>
                <w:rFonts w:hint="eastAsia" w:ascii="宋体" w:hAnsi="宋体" w:eastAsia="宋体" w:cs="宋体"/>
                <w:color w:val="000000" w:themeColor="text1"/>
                <w:sz w:val="24"/>
                <w:szCs w:val="24"/>
                <w14:textFill>
                  <w14:solidFill>
                    <w14:schemeClr w14:val="tx1"/>
                  </w14:solidFill>
                </w14:textFill>
              </w:rPr>
              <w:t>款</w:t>
            </w:r>
          </w:p>
        </w:tc>
        <w:tc>
          <w:tcPr>
            <w:tcW w:w="1742" w:type="dxa"/>
            <w:noWrap w:val="0"/>
            <w:vAlign w:val="center"/>
          </w:tcPr>
          <w:p w14:paraId="1CA9F738">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履约保证金退还时间及</w:t>
            </w:r>
            <w:r>
              <w:rPr>
                <w:rFonts w:hint="eastAsia" w:ascii="宋体" w:hAnsi="宋体" w:eastAsia="宋体" w:cs="宋体"/>
                <w:color w:val="000000" w:themeColor="text1"/>
                <w:sz w:val="24"/>
                <w:szCs w:val="24"/>
                <w:lang w:eastAsia="zh-CN"/>
                <w14:textFill>
                  <w14:solidFill>
                    <w14:schemeClr w14:val="tx1"/>
                  </w14:solidFill>
                </w14:textFill>
              </w:rPr>
              <w:t>逾期退还的</w:t>
            </w:r>
            <w:r>
              <w:rPr>
                <w:rFonts w:hint="eastAsia" w:ascii="宋体" w:hAnsi="宋体" w:eastAsia="宋体" w:cs="宋体"/>
                <w:color w:val="000000" w:themeColor="text1"/>
                <w:sz w:val="24"/>
                <w:szCs w:val="24"/>
                <w14:textFill>
                  <w14:solidFill>
                    <w14:schemeClr w14:val="tx1"/>
                  </w14:solidFill>
                </w14:textFill>
              </w:rPr>
              <w:t>违约金</w:t>
            </w:r>
          </w:p>
        </w:tc>
        <w:tc>
          <w:tcPr>
            <w:tcW w:w="5170" w:type="dxa"/>
            <w:noWrap w:val="0"/>
            <w:vAlign w:val="center"/>
          </w:tcPr>
          <w:p w14:paraId="0DFFF37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849CC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7E957C95">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2D71349">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F68108D">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运行监督、维修期限</w:t>
            </w:r>
          </w:p>
        </w:tc>
        <w:tc>
          <w:tcPr>
            <w:tcW w:w="5170" w:type="dxa"/>
            <w:noWrap w:val="0"/>
            <w:vAlign w:val="center"/>
          </w:tcPr>
          <w:p w14:paraId="095B421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72C174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noWrap w:val="0"/>
            <w:vAlign w:val="center"/>
          </w:tcPr>
          <w:p w14:paraId="47FF353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3CD8C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63BB748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货物回收的约定</w:t>
            </w:r>
          </w:p>
        </w:tc>
        <w:tc>
          <w:tcPr>
            <w:tcW w:w="5170" w:type="dxa"/>
            <w:noWrap w:val="0"/>
            <w:vAlign w:val="center"/>
          </w:tcPr>
          <w:p w14:paraId="5150FA4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F99AE8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6483530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52C8C336">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4</w:t>
            </w: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eastAsia="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14:textFill>
                  <w14:solidFill>
                    <w14:schemeClr w14:val="tx1"/>
                  </w14:solidFill>
                </w14:textFill>
              </w:rPr>
              <w:t>）项</w:t>
            </w:r>
          </w:p>
        </w:tc>
        <w:tc>
          <w:tcPr>
            <w:tcW w:w="1742" w:type="dxa"/>
            <w:noWrap w:val="0"/>
            <w:vAlign w:val="center"/>
          </w:tcPr>
          <w:p w14:paraId="7DCE9EA2">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乙方提供的其他服务</w:t>
            </w:r>
          </w:p>
        </w:tc>
        <w:tc>
          <w:tcPr>
            <w:tcW w:w="5170" w:type="dxa"/>
            <w:noWrap w:val="0"/>
            <w:vAlign w:val="center"/>
          </w:tcPr>
          <w:p w14:paraId="51B69F06">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3D63E5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45A110E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2A13656E">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1款</w:t>
            </w:r>
          </w:p>
        </w:tc>
        <w:tc>
          <w:tcPr>
            <w:tcW w:w="1742" w:type="dxa"/>
            <w:noWrap w:val="0"/>
            <w:vAlign w:val="center"/>
          </w:tcPr>
          <w:p w14:paraId="28BF4F9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修理、重作、更换相关具体规定</w:t>
            </w:r>
          </w:p>
        </w:tc>
        <w:tc>
          <w:tcPr>
            <w:tcW w:w="5170" w:type="dxa"/>
            <w:noWrap w:val="0"/>
            <w:vAlign w:val="center"/>
          </w:tcPr>
          <w:p w14:paraId="2FBD788F">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p>
        </w:tc>
      </w:tr>
      <w:tr w14:paraId="67F1FC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19349DC8">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4C1D980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.2（2）项</w:t>
            </w:r>
          </w:p>
        </w:tc>
        <w:tc>
          <w:tcPr>
            <w:tcW w:w="1742" w:type="dxa"/>
            <w:noWrap w:val="0"/>
            <w:vAlign w:val="center"/>
          </w:tcPr>
          <w:p w14:paraId="4EA23E77">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迟延交货赔偿费</w:t>
            </w:r>
          </w:p>
        </w:tc>
        <w:tc>
          <w:tcPr>
            <w:tcW w:w="5170" w:type="dxa"/>
            <w:noWrap w:val="0"/>
            <w:vAlign w:val="center"/>
          </w:tcPr>
          <w:p w14:paraId="0FDF6060">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753EC27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noWrap w:val="0"/>
            <w:vAlign w:val="center"/>
          </w:tcPr>
          <w:p w14:paraId="37CEC25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396031AD">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3款</w:t>
            </w:r>
          </w:p>
        </w:tc>
        <w:tc>
          <w:tcPr>
            <w:tcW w:w="1742" w:type="dxa"/>
            <w:noWrap w:val="0"/>
            <w:vAlign w:val="center"/>
          </w:tcPr>
          <w:p w14:paraId="20F91F2E">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逾期付款利息</w:t>
            </w:r>
          </w:p>
        </w:tc>
        <w:tc>
          <w:tcPr>
            <w:tcW w:w="5170" w:type="dxa"/>
            <w:noWrap w:val="0"/>
            <w:vAlign w:val="center"/>
          </w:tcPr>
          <w:p w14:paraId="3452A9C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1660A1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noWrap w:val="0"/>
            <w:vAlign w:val="center"/>
          </w:tcPr>
          <w:p w14:paraId="41820C02">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C649FCC">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第1</w:t>
            </w:r>
            <w:r>
              <w:rPr>
                <w:rFonts w:hint="eastAsia" w:ascii="宋体" w:hAnsi="宋体" w:eastAsia="宋体" w:cs="宋体"/>
                <w:color w:val="000000" w:themeColor="text1"/>
                <w:sz w:val="24"/>
                <w:szCs w:val="24"/>
                <w:lang w:val="en-US" w:eastAsia="zh-CN"/>
                <w14:textFill>
                  <w14:solidFill>
                    <w14:schemeClr w14:val="tx1"/>
                  </w14:solidFill>
                </w14:textFill>
              </w:rPr>
              <w:t>5</w:t>
            </w:r>
            <w:r>
              <w:rPr>
                <w:rFonts w:hint="eastAsia" w:ascii="宋体" w:hAnsi="宋体" w:eastAsia="宋体" w:cs="宋体"/>
                <w:color w:val="000000" w:themeColor="text1"/>
                <w:sz w:val="24"/>
                <w:szCs w:val="24"/>
                <w14:textFill>
                  <w14:solidFill>
                    <w14:schemeClr w14:val="tx1"/>
                  </w14:solidFill>
                </w14:textFill>
              </w:rPr>
              <w:t>.4</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left w:val="single" w:color="auto" w:sz="2" w:space="0"/>
              <w:bottom w:val="single" w:color="auto" w:sz="2" w:space="0"/>
              <w:right w:val="single" w:color="auto" w:sz="2" w:space="0"/>
            </w:tcBorders>
            <w:noWrap w:val="0"/>
            <w:vAlign w:val="center"/>
          </w:tcPr>
          <w:p w14:paraId="5B6D6C6B">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其他违约责任</w:t>
            </w:r>
          </w:p>
        </w:tc>
        <w:tc>
          <w:tcPr>
            <w:tcW w:w="5170" w:type="dxa"/>
            <w:tcBorders>
              <w:left w:val="single" w:color="auto" w:sz="2" w:space="0"/>
              <w:bottom w:val="single" w:color="auto" w:sz="2" w:space="0"/>
            </w:tcBorders>
            <w:noWrap w:val="0"/>
            <w:vAlign w:val="center"/>
          </w:tcPr>
          <w:p w14:paraId="4C8B9E7A">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u w:val="single"/>
                <w14:textFill>
                  <w14:solidFill>
                    <w14:schemeClr w14:val="tx1"/>
                  </w14:solidFill>
                </w14:textFill>
              </w:rPr>
            </w:pPr>
          </w:p>
        </w:tc>
      </w:tr>
      <w:tr w14:paraId="35CED5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noWrap w:val="0"/>
            <w:vAlign w:val="center"/>
          </w:tcPr>
          <w:p w14:paraId="400B8F8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7D7F8D1F">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w:t>
            </w:r>
            <w:r>
              <w:rPr>
                <w:rFonts w:hint="eastAsia" w:ascii="宋体" w:hAnsi="宋体" w:eastAsia="宋体" w:cs="宋体"/>
                <w:color w:val="000000" w:themeColor="text1"/>
                <w:sz w:val="24"/>
                <w:szCs w:val="24"/>
                <w:lang w:val="en-US" w:eastAsia="zh-CN"/>
                <w14:textFill>
                  <w14:solidFill>
                    <w14:schemeClr w14:val="tx1"/>
                  </w14:solidFill>
                </w14:textFill>
              </w:rPr>
              <w:t>19</w:t>
            </w: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款</w:t>
            </w:r>
          </w:p>
        </w:tc>
        <w:tc>
          <w:tcPr>
            <w:tcW w:w="1742" w:type="dxa"/>
            <w:tcBorders>
              <w:top w:val="single" w:color="auto" w:sz="2" w:space="0"/>
              <w:left w:val="single" w:color="auto" w:sz="2" w:space="0"/>
              <w:right w:val="single" w:color="auto" w:sz="2" w:space="0"/>
            </w:tcBorders>
            <w:noWrap w:val="0"/>
            <w:vAlign w:val="center"/>
          </w:tcPr>
          <w:p w14:paraId="10D04D1C">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解决争议的方法</w:t>
            </w:r>
          </w:p>
        </w:tc>
        <w:tc>
          <w:tcPr>
            <w:tcW w:w="5170" w:type="dxa"/>
            <w:tcBorders>
              <w:top w:val="single" w:color="auto" w:sz="2" w:space="0"/>
              <w:left w:val="single" w:color="auto" w:sz="2" w:space="0"/>
            </w:tcBorders>
            <w:noWrap w:val="0"/>
            <w:vAlign w:val="center"/>
          </w:tcPr>
          <w:p w14:paraId="1378D429">
            <w:pPr>
              <w:pageBreakBefore w:val="0"/>
              <w:kinsoku/>
              <w:wordWrap/>
              <w:overflowPunct/>
              <w:topLinePunct w:val="0"/>
              <w:autoSpaceDE w:val="0"/>
              <w:autoSpaceDN w:val="0"/>
              <w:bidi w:val="0"/>
              <w:adjustRightInd w:val="0"/>
              <w:snapToGrid w:val="0"/>
              <w:spacing w:line="560" w:lineRule="exact"/>
              <w:ind w:left="480" w:hanging="480" w:hangingChars="200"/>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因本合同及合同有关事项发生的争议，按下列第</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种方式解决：</w:t>
            </w:r>
          </w:p>
          <w:p w14:paraId="159D1894">
            <w:pPr>
              <w:pageBreakBefore w:val="0"/>
              <w:kinsoku/>
              <w:wordWrap/>
              <w:overflowPunct/>
              <w:topLinePunct w:val="0"/>
              <w:autoSpaceDE w:val="0"/>
              <w:autoSpaceDN w:val="0"/>
              <w:bidi w:val="0"/>
              <w:adjustRightInd w:val="0"/>
              <w:snapToGrid w:val="0"/>
              <w:spacing w:line="560" w:lineRule="exact"/>
              <w:jc w:val="left"/>
              <w:textAlignment w:val="auto"/>
              <w:rPr>
                <w:rFonts w:hint="eastAsia" w:ascii="宋体" w:hAnsi="宋体" w:eastAsia="宋体" w:cs="宋体"/>
                <w:b w:val="0"/>
                <w:bCs w:val="0"/>
                <w:iCs/>
                <w:color w:val="000000" w:themeColor="text1"/>
                <w:sz w:val="24"/>
                <w:szCs w:val="24"/>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（1）向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仲裁委员会申请仲裁，仲裁地点为</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w:t>
            </w:r>
          </w:p>
          <w:p w14:paraId="76C8F523">
            <w:pPr>
              <w:pageBreakBefore w:val="0"/>
              <w:kinsoku/>
              <w:wordWrap/>
              <w:overflowPunct/>
              <w:topLinePunct w:val="0"/>
              <w:bidi w:val="0"/>
              <w:adjustRightInd w:val="0"/>
              <w:snapToGrid w:val="0"/>
              <w:spacing w:line="560" w:lineRule="exact"/>
              <w:ind w:firstLine="0" w:firstLineChars="0"/>
              <w:jc w:val="left"/>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b w:val="0"/>
                <w:bCs w:val="0"/>
                <w:iCs/>
                <w:color w:val="000000" w:themeColor="text1"/>
                <w:sz w:val="24"/>
                <w:szCs w:val="24"/>
                <w14:textFill>
                  <w14:solidFill>
                    <w14:schemeClr w14:val="tx1"/>
                  </w14:solidFill>
                </w14:textFill>
              </w:rPr>
              <w:t>（2）向</w:t>
            </w:r>
            <w:r>
              <w:rPr>
                <w:rFonts w:hint="eastAsia" w:ascii="宋体" w:hAnsi="宋体" w:eastAsia="宋体" w:cs="宋体"/>
                <w:b w:val="0"/>
                <w:bCs w:val="0"/>
                <w:iCs/>
                <w:color w:val="000000" w:themeColor="text1"/>
                <w:sz w:val="24"/>
                <w:szCs w:val="24"/>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14:textFill>
                  <w14:solidFill>
                    <w14:schemeClr w14:val="tx1"/>
                  </w14:solidFill>
                </w14:textFill>
              </w:rPr>
              <w:t>人民法院起诉。</w:t>
            </w:r>
          </w:p>
        </w:tc>
      </w:tr>
      <w:tr w14:paraId="600691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noWrap w:val="0"/>
            <w:vAlign w:val="center"/>
          </w:tcPr>
          <w:p w14:paraId="68F930E3">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第二节</w:t>
            </w:r>
          </w:p>
          <w:p w14:paraId="6A0A5987">
            <w:pPr>
              <w:pageBreakBefore w:val="0"/>
              <w:kinsoku/>
              <w:wordWrap/>
              <w:overflowPunct/>
              <w:topLinePunct w:val="0"/>
              <w:bidi w:val="0"/>
              <w:adjustRightInd w:val="0"/>
              <w:snapToGrid w:val="0"/>
              <w:spacing w:line="560" w:lineRule="exact"/>
              <w:jc w:val="center"/>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第2</w:t>
            </w:r>
            <w:r>
              <w:rPr>
                <w:rFonts w:hint="eastAsia" w:ascii="宋体" w:hAnsi="宋体" w:eastAsia="宋体" w:cs="宋体"/>
                <w:color w:val="000000" w:themeColor="text1"/>
                <w:sz w:val="24"/>
                <w:szCs w:val="24"/>
                <w:lang w:val="en-US" w:eastAsia="zh-CN"/>
                <w14:textFill>
                  <w14:solidFill>
                    <w14:schemeClr w14:val="tx1"/>
                  </w14:solidFill>
                </w14:textFill>
              </w:rPr>
              <w:t>3.1</w:t>
            </w:r>
            <w:r>
              <w:rPr>
                <w:rFonts w:hint="eastAsia" w:ascii="宋体" w:hAnsi="宋体" w:eastAsia="宋体" w:cs="宋体"/>
                <w:color w:val="000000" w:themeColor="text1"/>
                <w:sz w:val="24"/>
                <w:szCs w:val="24"/>
                <w:lang w:eastAsia="zh-CN"/>
                <w14:textFill>
                  <w14:solidFill>
                    <w14:schemeClr w14:val="tx1"/>
                  </w14:solidFill>
                </w14:textFill>
              </w:rPr>
              <w:t>款</w:t>
            </w:r>
          </w:p>
        </w:tc>
        <w:tc>
          <w:tcPr>
            <w:tcW w:w="1742" w:type="dxa"/>
            <w:noWrap w:val="0"/>
            <w:vAlign w:val="center"/>
          </w:tcPr>
          <w:p w14:paraId="46F7D661">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其他专用条款</w:t>
            </w:r>
          </w:p>
        </w:tc>
        <w:tc>
          <w:tcPr>
            <w:tcW w:w="5170" w:type="dxa"/>
            <w:noWrap w:val="0"/>
            <w:vAlign w:val="center"/>
          </w:tcPr>
          <w:p w14:paraId="0D0ACC85">
            <w:pPr>
              <w:pageBreakBefore w:val="0"/>
              <w:kinsoku/>
              <w:wordWrap/>
              <w:overflowPunct/>
              <w:topLinePunct w:val="0"/>
              <w:bidi w:val="0"/>
              <w:adjustRightInd w:val="0"/>
              <w:snapToGrid w:val="0"/>
              <w:spacing w:line="560" w:lineRule="exact"/>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p>
        </w:tc>
      </w:tr>
    </w:tbl>
    <w:p w14:paraId="4576F294">
      <w:pPr>
        <w:pageBreakBefore w:val="0"/>
        <w:widowControl w:val="0"/>
        <w:numPr>
          <w:ilvl w:val="0"/>
          <w:numId w:val="0"/>
        </w:numPr>
        <w:wordWrap/>
        <w:overflowPunct/>
        <w:topLinePunct w:val="0"/>
        <w:autoSpaceDE/>
        <w:autoSpaceDN/>
        <w:bidi w:val="0"/>
        <w:spacing w:line="600" w:lineRule="exact"/>
        <w:textAlignment w:val="auto"/>
        <w:rPr>
          <w:rFonts w:hint="eastAsia" w:ascii="宋体" w:hAnsi="宋体" w:eastAsia="宋体" w:cs="宋体"/>
          <w:color w:val="000000" w:themeColor="text1"/>
          <w:sz w:val="24"/>
          <w:szCs w:val="24"/>
          <w14:textFill>
            <w14:solidFill>
              <w14:schemeClr w14:val="tx1"/>
            </w14:solidFill>
          </w14:textFill>
        </w:rPr>
      </w:pPr>
    </w:p>
    <w:bookmarkEnd w:id="819"/>
    <w:bookmarkEnd w:id="820"/>
    <w:p w14:paraId="050A2E6B">
      <w:pPr>
        <w:bidi w:val="0"/>
        <w:rPr>
          <w:rFonts w:hint="eastAsia"/>
          <w:color w:val="000000" w:themeColor="text1"/>
          <w:lang w:val="en-US" w:eastAsia="zh-CN"/>
          <w14:textFill>
            <w14:solidFill>
              <w14:schemeClr w14:val="tx1"/>
            </w14:solidFill>
          </w14:textFill>
        </w:rPr>
      </w:pPr>
      <w:bookmarkStart w:id="825" w:name="_Toc16364"/>
      <w:bookmarkStart w:id="826" w:name="_Toc15815"/>
      <w:bookmarkStart w:id="827" w:name="_Toc22906"/>
      <w:bookmarkStart w:id="828" w:name="_Toc17609"/>
      <w:bookmarkStart w:id="829" w:name="_Toc29747"/>
      <w:bookmarkStart w:id="830" w:name="_Toc29759"/>
      <w:bookmarkStart w:id="831" w:name="_Toc18137"/>
      <w:bookmarkStart w:id="832" w:name="_Toc21232"/>
      <w:bookmarkStart w:id="833" w:name="_Toc13116"/>
      <w:bookmarkStart w:id="834" w:name="_Toc5721"/>
      <w:bookmarkStart w:id="835" w:name="_Toc27587"/>
      <w:bookmarkStart w:id="836" w:name="_Toc7968"/>
      <w:bookmarkStart w:id="837" w:name="_Toc9987"/>
    </w:p>
    <w:p w14:paraId="498280DB">
      <w:pPr>
        <w:bidi w:val="0"/>
        <w:rPr>
          <w:rFonts w:hint="eastAsia"/>
          <w:color w:val="000000" w:themeColor="text1"/>
          <w:lang w:val="en-US" w:eastAsia="zh-CN"/>
          <w14:textFill>
            <w14:solidFill>
              <w14:schemeClr w14:val="tx1"/>
            </w14:solidFill>
          </w14:textFill>
        </w:rPr>
      </w:pPr>
    </w:p>
    <w:p w14:paraId="7BFD9926">
      <w:pPr>
        <w:bidi w:val="0"/>
        <w:rPr>
          <w:rFonts w:hint="eastAsia"/>
          <w:color w:val="000000" w:themeColor="text1"/>
          <w:lang w:val="en-US" w:eastAsia="zh-CN"/>
          <w14:textFill>
            <w14:solidFill>
              <w14:schemeClr w14:val="tx1"/>
            </w14:solidFill>
          </w14:textFill>
        </w:rPr>
      </w:pPr>
    </w:p>
    <w:p w14:paraId="71F3B008">
      <w:pPr>
        <w:bidi w:val="0"/>
        <w:rPr>
          <w:rFonts w:hint="eastAsia"/>
          <w:color w:val="000000" w:themeColor="text1"/>
          <w:lang w:val="en-US" w:eastAsia="zh-CN"/>
          <w14:textFill>
            <w14:solidFill>
              <w14:schemeClr w14:val="tx1"/>
            </w14:solidFill>
          </w14:textFill>
        </w:rPr>
      </w:pPr>
    </w:p>
    <w:p w14:paraId="2CD3A808">
      <w:pPr>
        <w:bidi w:val="0"/>
        <w:rPr>
          <w:rFonts w:hint="eastAsia"/>
          <w:color w:val="000000" w:themeColor="text1"/>
          <w:lang w:val="en-US" w:eastAsia="zh-CN"/>
          <w14:textFill>
            <w14:solidFill>
              <w14:schemeClr w14:val="tx1"/>
            </w14:solidFill>
          </w14:textFill>
        </w:rPr>
      </w:pPr>
    </w:p>
    <w:p w14:paraId="547B6704">
      <w:pPr>
        <w:bidi w:val="0"/>
        <w:rPr>
          <w:rFonts w:hint="eastAsia"/>
          <w:color w:val="000000" w:themeColor="text1"/>
          <w:lang w:val="en-US" w:eastAsia="zh-CN"/>
          <w14:textFill>
            <w14:solidFill>
              <w14:schemeClr w14:val="tx1"/>
            </w14:solidFill>
          </w14:textFill>
        </w:rPr>
      </w:pPr>
    </w:p>
    <w:p w14:paraId="1556D1A4">
      <w:pPr>
        <w:bidi w:val="0"/>
        <w:rPr>
          <w:rFonts w:hint="eastAsia"/>
          <w:color w:val="000000" w:themeColor="text1"/>
          <w:lang w:val="en-US" w:eastAsia="zh-CN"/>
          <w14:textFill>
            <w14:solidFill>
              <w14:schemeClr w14:val="tx1"/>
            </w14:solidFill>
          </w14:textFill>
        </w:rPr>
      </w:pPr>
    </w:p>
    <w:p w14:paraId="333FF715">
      <w:pPr>
        <w:bidi w:val="0"/>
        <w:rPr>
          <w:rFonts w:hint="eastAsia"/>
          <w:color w:val="000000" w:themeColor="text1"/>
          <w:lang w:val="en-US" w:eastAsia="zh-CN"/>
          <w14:textFill>
            <w14:solidFill>
              <w14:schemeClr w14:val="tx1"/>
            </w14:solidFill>
          </w14:textFill>
        </w:rPr>
      </w:pPr>
    </w:p>
    <w:p w14:paraId="23AEB521">
      <w:pPr>
        <w:bidi w:val="0"/>
        <w:rPr>
          <w:rFonts w:hint="eastAsia"/>
          <w:color w:val="000000" w:themeColor="text1"/>
          <w:lang w:val="en-US" w:eastAsia="zh-CN"/>
          <w14:textFill>
            <w14:solidFill>
              <w14:schemeClr w14:val="tx1"/>
            </w14:solidFill>
          </w14:textFill>
        </w:rPr>
      </w:pPr>
    </w:p>
    <w:p w14:paraId="4912855F">
      <w:pPr>
        <w:bidi w:val="0"/>
        <w:rPr>
          <w:rFonts w:hint="eastAsia"/>
          <w:color w:val="000000" w:themeColor="text1"/>
          <w:lang w:val="en-US" w:eastAsia="zh-CN"/>
          <w14:textFill>
            <w14:solidFill>
              <w14:schemeClr w14:val="tx1"/>
            </w14:solidFill>
          </w14:textFill>
        </w:rPr>
      </w:pPr>
    </w:p>
    <w:p w14:paraId="376E2C56">
      <w:pPr>
        <w:bidi w:val="0"/>
        <w:rPr>
          <w:rFonts w:hint="eastAsia"/>
          <w:color w:val="000000" w:themeColor="text1"/>
          <w:lang w:val="en-US" w:eastAsia="zh-CN"/>
          <w14:textFill>
            <w14:solidFill>
              <w14:schemeClr w14:val="tx1"/>
            </w14:solidFill>
          </w14:textFill>
        </w:rPr>
      </w:pPr>
    </w:p>
    <w:p w14:paraId="5E5A8988">
      <w:pPr>
        <w:bidi w:val="0"/>
        <w:rPr>
          <w:rFonts w:hint="eastAsia"/>
          <w:color w:val="000000" w:themeColor="text1"/>
          <w:lang w:val="en-US" w:eastAsia="zh-CN"/>
          <w14:textFill>
            <w14:solidFill>
              <w14:schemeClr w14:val="tx1"/>
            </w14:solidFill>
          </w14:textFill>
        </w:rPr>
      </w:pPr>
    </w:p>
    <w:p w14:paraId="03860D77">
      <w:pPr>
        <w:bidi w:val="0"/>
        <w:rPr>
          <w:rFonts w:hint="eastAsia"/>
          <w:color w:val="000000" w:themeColor="text1"/>
          <w:lang w:val="en-US" w:eastAsia="zh-CN"/>
          <w14:textFill>
            <w14:solidFill>
              <w14:schemeClr w14:val="tx1"/>
            </w14:solidFill>
          </w14:textFill>
        </w:rPr>
      </w:pPr>
    </w:p>
    <w:p w14:paraId="153B96C2">
      <w:pPr>
        <w:rPr>
          <w:rFonts w:hint="eastAsia"/>
          <w:color w:val="000000" w:themeColor="text1"/>
          <w:lang w:val="en-US" w:eastAsia="zh-CN"/>
          <w14:textFill>
            <w14:solidFill>
              <w14:schemeClr w14:val="tx1"/>
            </w14:solidFill>
          </w14:textFill>
        </w:rPr>
        <w:sectPr>
          <w:headerReference r:id="rId12" w:type="default"/>
          <w:footerReference r:id="rId13"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D2CF74B">
      <w:pPr>
        <w:rPr>
          <w:rFonts w:hint="eastAsia"/>
          <w:color w:val="000000" w:themeColor="text1"/>
          <w:lang w:val="en-US" w:eastAsia="zh-CN"/>
          <w14:textFill>
            <w14:solidFill>
              <w14:schemeClr w14:val="tx1"/>
            </w14:solidFill>
          </w14:textFill>
        </w:rPr>
      </w:pPr>
    </w:p>
    <w:p w14:paraId="6D72D1F3">
      <w:pPr>
        <w:pStyle w:val="2"/>
        <w:keepNext/>
        <w:keepLines/>
        <w:pageBreakBefore w:val="0"/>
        <w:widowControl w:val="0"/>
        <w:kinsoku/>
        <w:wordWrap/>
        <w:overflowPunct/>
        <w:topLinePunct w:val="0"/>
        <w:autoSpaceDE/>
        <w:autoSpaceDN/>
        <w:bidi w:val="0"/>
        <w:adjustRightInd/>
        <w:snapToGrid/>
        <w:spacing w:before="0" w:after="0" w:line="579" w:lineRule="auto"/>
        <w:textAlignment w:val="auto"/>
        <w:rPr>
          <w:rFonts w:hint="eastAsia"/>
          <w:color w:val="000000" w:themeColor="text1"/>
          <w:sz w:val="28"/>
          <w:szCs w:val="28"/>
          <w:lang w:val="en-US" w:eastAsia="zh-CN"/>
          <w14:textFill>
            <w14:solidFill>
              <w14:schemeClr w14:val="tx1"/>
            </w14:solidFill>
          </w14:textFill>
        </w:rPr>
      </w:pPr>
      <w:bookmarkStart w:id="838" w:name="_Toc7956"/>
      <w:r>
        <w:rPr>
          <w:rFonts w:hint="eastAsia"/>
          <w:color w:val="000000" w:themeColor="text1"/>
          <w:sz w:val="28"/>
          <w:szCs w:val="28"/>
          <w:lang w:val="en-US" w:eastAsia="zh-CN"/>
          <w14:textFill>
            <w14:solidFill>
              <w14:schemeClr w14:val="tx1"/>
            </w14:solidFill>
          </w14:textFill>
        </w:rPr>
        <w:t xml:space="preserve">第六章 </w:t>
      </w:r>
      <w:r>
        <w:rPr>
          <w:rFonts w:hint="eastAsia"/>
          <w:color w:val="000000" w:themeColor="text1"/>
          <w:sz w:val="28"/>
          <w:szCs w:val="28"/>
          <w14:textFill>
            <w14:solidFill>
              <w14:schemeClr w14:val="tx1"/>
            </w14:solidFill>
          </w14:textFill>
        </w:rPr>
        <w:t>技术</w:t>
      </w:r>
      <w:bookmarkEnd w:id="825"/>
      <w:r>
        <w:rPr>
          <w:rFonts w:hint="eastAsia"/>
          <w:color w:val="000000" w:themeColor="text1"/>
          <w:sz w:val="28"/>
          <w:szCs w:val="28"/>
          <w14:textFill>
            <w14:solidFill>
              <w14:schemeClr w14:val="tx1"/>
            </w14:solidFill>
          </w14:textFill>
        </w:rPr>
        <w:t>要</w:t>
      </w:r>
      <w:r>
        <w:rPr>
          <w:rFonts w:hint="eastAsia"/>
          <w:color w:val="000000" w:themeColor="text1"/>
          <w:sz w:val="28"/>
          <w:szCs w:val="28"/>
          <w:lang w:val="en-US" w:eastAsia="zh-CN"/>
          <w14:textFill>
            <w14:solidFill>
              <w14:schemeClr w14:val="tx1"/>
            </w14:solidFill>
          </w14:textFill>
        </w:rPr>
        <w:t>求</w:t>
      </w:r>
      <w:bookmarkEnd w:id="826"/>
      <w:bookmarkEnd w:id="827"/>
      <w:bookmarkEnd w:id="828"/>
      <w:bookmarkEnd w:id="829"/>
      <w:bookmarkEnd w:id="830"/>
      <w:bookmarkEnd w:id="831"/>
      <w:bookmarkEnd w:id="832"/>
      <w:bookmarkEnd w:id="833"/>
      <w:bookmarkEnd w:id="834"/>
      <w:bookmarkEnd w:id="835"/>
      <w:bookmarkEnd w:id="836"/>
      <w:bookmarkEnd w:id="837"/>
      <w:bookmarkEnd w:id="838"/>
      <w:bookmarkStart w:id="839" w:name="_Toc22812"/>
      <w:bookmarkStart w:id="840" w:name="_Toc32472"/>
      <w:bookmarkStart w:id="841" w:name="_Toc9578"/>
      <w:bookmarkStart w:id="842" w:name="_Toc20261"/>
      <w:bookmarkStart w:id="843" w:name="_Toc15622"/>
      <w:bookmarkStart w:id="844" w:name="_Toc4693"/>
      <w:bookmarkStart w:id="845" w:name="_Toc28143"/>
      <w:bookmarkStart w:id="846" w:name="_Toc27208"/>
      <w:bookmarkStart w:id="847" w:name="_Toc11784"/>
      <w:bookmarkStart w:id="848" w:name="_Toc22670"/>
    </w:p>
    <w:tbl>
      <w:tblPr>
        <w:tblStyle w:val="35"/>
        <w:tblW w:w="9574" w:type="dxa"/>
        <w:tblInd w:w="-6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9"/>
        <w:gridCol w:w="6771"/>
        <w:gridCol w:w="738"/>
        <w:gridCol w:w="816"/>
      </w:tblGrid>
      <w:tr w14:paraId="3685FD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trPr>
        <w:tc>
          <w:tcPr>
            <w:tcW w:w="1249" w:type="dxa"/>
            <w:tcBorders>
              <w:top w:val="single" w:color="auto" w:sz="4" w:space="0"/>
              <w:left w:val="single" w:color="auto" w:sz="4" w:space="0"/>
              <w:bottom w:val="single" w:color="000000" w:sz="4" w:space="0"/>
              <w:right w:val="single" w:color="000000" w:sz="4" w:space="0"/>
            </w:tcBorders>
            <w:shd w:val="clear" w:color="auto" w:fill="D9D9D9"/>
            <w:vAlign w:val="center"/>
          </w:tcPr>
          <w:p w14:paraId="251C1805">
            <w:pPr>
              <w:keepNext w:val="0"/>
              <w:keepLines w:val="0"/>
              <w:widowControl/>
              <w:suppressLineNumbers w:val="0"/>
              <w:spacing w:line="360" w:lineRule="auto"/>
              <w:jc w:val="center"/>
              <w:textAlignment w:val="center"/>
              <w:rPr>
                <w:rFonts w:hint="default" w:asciiTheme="minorEastAsia" w:hAnsiTheme="minorEastAsia" w:eastAsiaTheme="minorEastAsia" w:cstheme="minorEastAsia"/>
                <w:b/>
                <w:bCs/>
                <w:i w:val="0"/>
                <w:iCs w:val="0"/>
                <w:color w:val="000000"/>
                <w:sz w:val="24"/>
                <w:szCs w:val="24"/>
                <w:u w:val="none"/>
                <w:lang w:val="en-US"/>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标的名称</w:t>
            </w:r>
          </w:p>
        </w:tc>
        <w:tc>
          <w:tcPr>
            <w:tcW w:w="6771" w:type="dxa"/>
            <w:tcBorders>
              <w:top w:val="single" w:color="auto" w:sz="4" w:space="0"/>
              <w:left w:val="single" w:color="000000" w:sz="4" w:space="0"/>
              <w:bottom w:val="single" w:color="000000" w:sz="4" w:space="0"/>
              <w:right w:val="single" w:color="000000" w:sz="4" w:space="0"/>
            </w:tcBorders>
            <w:shd w:val="clear" w:color="auto" w:fill="D9D9D9"/>
            <w:vAlign w:val="center"/>
          </w:tcPr>
          <w:p w14:paraId="2ECBF51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技术参数</w:t>
            </w:r>
          </w:p>
        </w:tc>
        <w:tc>
          <w:tcPr>
            <w:tcW w:w="738" w:type="dxa"/>
            <w:tcBorders>
              <w:top w:val="single" w:color="auto" w:sz="4" w:space="0"/>
              <w:left w:val="single" w:color="000000" w:sz="4" w:space="0"/>
              <w:bottom w:val="single" w:color="000000" w:sz="4" w:space="0"/>
              <w:right w:val="single" w:color="000000" w:sz="4" w:space="0"/>
            </w:tcBorders>
            <w:shd w:val="clear" w:color="auto" w:fill="D9D9D9"/>
            <w:vAlign w:val="center"/>
          </w:tcPr>
          <w:p w14:paraId="321AD2D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单位</w:t>
            </w:r>
          </w:p>
        </w:tc>
        <w:tc>
          <w:tcPr>
            <w:tcW w:w="816" w:type="dxa"/>
            <w:tcBorders>
              <w:top w:val="single" w:color="auto" w:sz="4" w:space="0"/>
              <w:left w:val="single" w:color="000000" w:sz="4" w:space="0"/>
              <w:bottom w:val="single" w:color="000000" w:sz="4" w:space="0"/>
              <w:right w:val="single" w:color="auto" w:sz="4" w:space="0"/>
            </w:tcBorders>
            <w:shd w:val="clear" w:color="auto" w:fill="D9D9D9"/>
            <w:vAlign w:val="center"/>
          </w:tcPr>
          <w:p w14:paraId="2B25021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b/>
                <w:bCs/>
                <w:i w:val="0"/>
                <w:iCs w:val="0"/>
                <w:color w:val="000000"/>
                <w:sz w:val="24"/>
                <w:szCs w:val="24"/>
                <w:u w:val="none"/>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数量</w:t>
            </w:r>
          </w:p>
        </w:tc>
      </w:tr>
      <w:tr w14:paraId="6655C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67" w:hRule="atLeast"/>
        </w:trPr>
        <w:tc>
          <w:tcPr>
            <w:tcW w:w="1249" w:type="dxa"/>
            <w:tcBorders>
              <w:top w:val="single" w:color="000000" w:sz="4" w:space="0"/>
              <w:left w:val="single" w:color="auto" w:sz="4" w:space="0"/>
              <w:bottom w:val="single" w:color="auto" w:sz="4" w:space="0"/>
              <w:right w:val="single" w:color="000000" w:sz="4" w:space="0"/>
            </w:tcBorders>
            <w:shd w:val="clear" w:color="auto" w:fill="auto"/>
            <w:vAlign w:val="center"/>
          </w:tcPr>
          <w:p w14:paraId="419498E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作战调度系统升级</w:t>
            </w:r>
          </w:p>
        </w:tc>
        <w:tc>
          <w:tcPr>
            <w:tcW w:w="6771" w:type="dxa"/>
            <w:tcBorders>
              <w:top w:val="single" w:color="000000" w:sz="4" w:space="0"/>
              <w:left w:val="single" w:color="000000" w:sz="4" w:space="0"/>
              <w:bottom w:val="single" w:color="auto" w:sz="4" w:space="0"/>
              <w:right w:val="single" w:color="000000" w:sz="4" w:space="0"/>
            </w:tcBorders>
            <w:shd w:val="clear" w:color="auto" w:fill="auto"/>
            <w:vAlign w:val="center"/>
          </w:tcPr>
          <w:p w14:paraId="2AE9A4E3">
            <w:pPr>
              <w:keepNext w:val="0"/>
              <w:keepLines w:val="0"/>
              <w:widowControl/>
              <w:suppressLineNumbers w:val="0"/>
              <w:spacing w:line="360" w:lineRule="auto"/>
              <w:jc w:val="left"/>
              <w:textAlignment w:val="center"/>
              <w:rPr>
                <w:rFonts w:hint="default" w:asciiTheme="minorEastAsia" w:hAnsiTheme="minorEastAsia" w:eastAsiaTheme="minorEastAsia" w:cstheme="minorEastAsia"/>
                <w:i w:val="0"/>
                <w:iCs w:val="0"/>
                <w:color w:val="000000"/>
                <w:kern w:val="0"/>
                <w:sz w:val="24"/>
                <w:szCs w:val="24"/>
                <w:u w:val="none"/>
                <w:lang w:val="en-US" w:eastAsia="zh-CN" w:bidi="ar"/>
              </w:rPr>
            </w:pPr>
            <w:r>
              <w:rPr>
                <w:rFonts w:hint="eastAsia" w:asciiTheme="minorEastAsia" w:hAnsiTheme="minorEastAsia" w:eastAsiaTheme="minorEastAsia" w:cstheme="minorEastAsia"/>
                <w:i w:val="0"/>
                <w:iCs w:val="0"/>
                <w:color w:val="000000"/>
                <w:kern w:val="0"/>
                <w:sz w:val="24"/>
                <w:szCs w:val="24"/>
                <w:u w:val="none"/>
                <w:lang w:val="en-US" w:eastAsia="zh-CN" w:bidi="ar"/>
              </w:rPr>
              <w:t>▲1）对接GB28181国标监控平台，实现最多1万路监控点位（含符合国标的执法记录仪、无人机、车载监控、布控球）的接入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2）通过电话网关，实现最多2000个电话号码的接入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▲3）通过标准H.323协议，实现最多100路视频会议终端的接入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▲4）内置指挥调度APP模块，支持100路移动终端的指挥调度APP应用；支持手机APP端与PC端、手机APP端与手机APP端之间的即时通信。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内置基础版地图引擎；支持在电子地图上框选设备，并可对这些设备进行组会、监看、聊天、移除操作。支持地图基本功能，包含截图、清除、面积测量、距离测量、鹰眼、复位等操作。支持设备的框线、圈选、自定义图形选择，支持图上选择不同的终端设备直接进行组会，最多支持16路终端入会</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▲6）支持512路音视频设备并发调度</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调度功能模块</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1）地图屏、操作屏、业务屏，一机三屏操作模式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设备、通信录以分类列表形式展示，并支持搜索，资源列表中显示所有的设备资源，包含全局列表、调度列表、接收端列表、人员组织列表、视信通群组列表、网络摄像机列表、视频会议终端列表、执法记录仪列表、单兵列表、对讲机列表、电话列表、移动终端列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3）支持调度资源的视频预览功能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▲4）支持调度预案，将调度资源、大屏风格、画面合成风格等做成预案配置，一键启动；可将调度场景保存为预案；系统可配置多个预案</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5）将多路调度资源进行画面合成，投放大屏或广播到各分会场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6）将多路调度资源进行混音，并广播到各分会场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7）可对每路调度资源进行单独的静音、哑音、云镜控制等操作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8）支持三种点名方式，广播、点名人、广播被点名人、广播点名人与被点名人合成画面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9）支持设备分组展示、支持资源本地监看；支持主席轮询、通道轮询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10）从拼控设备动态读取大屏分辨率及尺寸，并向拼控设备设置大屏开窗风格。在操作屏上模拟大屏显示风格，实现所见即所得的大屏控制方式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11）支持调度台与移动设备之间的即时消息（文字、图片、短视频、短语音等）收发，支持点对点和群组方式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12）支持对多类型终端音视频码流转码、调度、画面合成、混音等功能。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13）支持将网络摄像机、视频会议终端、手机、固话、执法记录仪、即时通信APP等设备进行组会功能。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▲14）支持提供指挥系统平台API接口，供第三方业务系统调用，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15）系统为延安市公安局情指调度平台的重要主要组成部分，各模块需要与其无缝接入。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b/>
                <w:bCs/>
                <w:i w:val="0"/>
                <w:iCs w:val="0"/>
                <w:color w:val="000000"/>
                <w:kern w:val="0"/>
                <w:sz w:val="24"/>
                <w:szCs w:val="24"/>
                <w:u w:val="none"/>
                <w:lang w:val="en-US" w:eastAsia="zh-CN" w:bidi="ar"/>
              </w:rPr>
              <w:t>带“▲”号参数，需提供省级及以上市场监管部门颁发的有效期内的检验检测机构出具的具有CMA或CNAS标识的检测报告并加盖原厂公章。</w:t>
            </w:r>
          </w:p>
        </w:tc>
        <w:tc>
          <w:tcPr>
            <w:tcW w:w="738" w:type="dxa"/>
            <w:tcBorders>
              <w:top w:val="single" w:color="000000" w:sz="4" w:space="0"/>
              <w:left w:val="single" w:color="000000" w:sz="4" w:space="0"/>
              <w:bottom w:val="single" w:color="auto" w:sz="4" w:space="0"/>
              <w:right w:val="single" w:color="000000" w:sz="4" w:space="0"/>
            </w:tcBorders>
            <w:shd w:val="clear" w:color="auto" w:fill="auto"/>
            <w:vAlign w:val="center"/>
          </w:tcPr>
          <w:p w14:paraId="1D9230F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套</w:t>
            </w:r>
          </w:p>
        </w:tc>
        <w:tc>
          <w:tcPr>
            <w:tcW w:w="816" w:type="dxa"/>
            <w:tcBorders>
              <w:top w:val="single" w:color="000000" w:sz="4" w:space="0"/>
              <w:left w:val="single" w:color="000000" w:sz="4" w:space="0"/>
              <w:bottom w:val="single" w:color="auto" w:sz="4" w:space="0"/>
              <w:right w:val="single" w:color="auto" w:sz="4" w:space="0"/>
            </w:tcBorders>
            <w:shd w:val="clear" w:color="auto" w:fill="auto"/>
            <w:vAlign w:val="center"/>
          </w:tcPr>
          <w:p w14:paraId="15DFA38A">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43FB0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6" w:hRule="atLeast"/>
        </w:trPr>
        <w:tc>
          <w:tcPr>
            <w:tcW w:w="1249" w:type="dxa"/>
            <w:tcBorders>
              <w:top w:val="single" w:color="auto" w:sz="4" w:space="0"/>
              <w:left w:val="single" w:color="000000" w:sz="4" w:space="0"/>
              <w:bottom w:val="single" w:color="000000" w:sz="4" w:space="0"/>
              <w:right w:val="single" w:color="000000" w:sz="4" w:space="0"/>
            </w:tcBorders>
            <w:shd w:val="clear" w:color="auto" w:fill="auto"/>
            <w:vAlign w:val="center"/>
          </w:tcPr>
          <w:p w14:paraId="70CAD017">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小间距LED屏幕</w:t>
            </w:r>
          </w:p>
        </w:tc>
        <w:tc>
          <w:tcPr>
            <w:tcW w:w="6771" w:type="dxa"/>
            <w:tcBorders>
              <w:top w:val="single" w:color="auto" w:sz="4" w:space="0"/>
              <w:left w:val="single" w:color="000000" w:sz="4" w:space="0"/>
              <w:bottom w:val="single" w:color="000000" w:sz="4" w:space="0"/>
              <w:right w:val="single" w:color="000000" w:sz="4" w:space="0"/>
            </w:tcBorders>
            <w:shd w:val="clear" w:color="auto" w:fill="auto"/>
            <w:vAlign w:val="center"/>
          </w:tcPr>
          <w:p w14:paraId="53554D45">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1.▲由于场地尺寸限制，屏幕尺寸应≤宽×高 12.136m×3.4m，面积≥41.26㎡，整屏分辨率≥ 7680*4320；长宽尺寸及面积误差要求≤2%；</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2.▲像素间距：≤1.25mm，封装方式：倒装COB；单元箱体宽高比例 16：9；屏幕实像素密度≥640000点/㎡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3.▲高精度压铸铝合金材质，一体成型（框架、背板、后盖）整体压铸成型，抗压抗拉，全金属自然散热结构，无风扇、无散热孔、密封防尘、静音设计；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4.LED显示屏峰值功耗≤435W/㎡，平均功耗≤140W/㎡；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5.▲静态对比度≥10000:1，峰值对比度：≥10000:1；</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6.可视角度（水平/垂直）：≥170°/ 170°</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7.色温调节范围：1000K—20000K；调节步长100K，色温值可自定义，当色温为6500K时，100%，75%，50%，25% 四档电平白场调节色温误差应&lt;200k；</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8.▲刷新率（Hz）：≥3840Hz；</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9.换帧频率≥30Hz，其最高可支持120HZ模式下的主动立3D；</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10.▲支持125%的sRGB、支持≥120%的DCI-P3、支持≥128%的NTSC、支持115%的Adobe RGB、支持≥90%BT2020，支持高动态范围图像，支持HDR10，符合SMPTE ST 2084/SMPTE ST 2086标准；支持HLG；</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11.▲发光芯片采用全倒装COB（RGB全倒装，1R1G1B）封装方式，发光芯片固定在灯板上，减少失效率，寿命更长； COB无金属支架，不会因支架反光，影响对比度；具备防水防尘、防盐雾、耐高温、防撞、大视角防串光、广色域、面光源等功能特点；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12.亮度鉴别等级≥24，具有随环境照度的变化而自动亮度调整的功能，支持手动、自动、程控（0~100%可调），支持无级调节；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13.▲采用三轴（X,Y,Z）调节机构，可实现屏幕上下左右拼缝及前后平整度任意调节 六向调节/六轴调节； 支持精密微调，从屏体前面可以对任何一个模块进行亚毫米级的精细微调；</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14.▲要求所投产品红、绿、蓝灰度非线性纠偏后各256级、灰度处理能力≥16bit；具备低亮高灰50%—100%亮度时，16bit; 15%亮度时，15bit。在不大于700cd/㎡亮度条件下，原生单通道色彩深度要求不低于12Bit，灰度等级：65536级，通过配置高端驱动芯片支持8-22bit灰度任意设置；支持存储高亮和低亮双级校正数据，对LED屏在高亮状态下进行 255 级颜色测试，真实还原纯净原色。对 LED 屏在极低亮度下进行高灰阶校正，确保屏幕在降低亮度时不损失灰度第一阶亮度达到0.008NIT；</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15.▲PCB应满足V-0阻燃等级要求。试验要求： 每组燃烧时间≥50s 试验结果：A组燃烧时间3s、B组燃烧时间2s；屏幕符合电工电子产品着火危险试验。防火等级符合 Class 1等级；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16.▲带有智能（黑屏）节电点检功能，当屏体黑屏时，屏体启动自动节电模式，可智能调节正常工作状态下的节能效果（动态节能、智能息屏）能有效降低内耗，且能保护发光芯片过热损耗，开启智能节电功能比没有开启，节能50%以上； LED显示屏符合能效一级，带电黑屏功率≤30W/㎡ ；</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17.具有开机或定时能够自动切入除湿保护功能，支持手动或自动方式进行防潮除湿功能；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18.模块，接收卡与转接板之间采用金手指接插件设计，无排线，支持带电维护，热插拔；支持数据N+1信号冗余备份功能；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19.▲采用多层印制线路板设计，PCB电路、表面及焊盘使用沉金处理工艺，采用FR-4材质，符合CQC13-471301-2018标准，有消隐、节能处理设计，一体化驱动设计，灯驱合一，充分保证模块安装的稳定性和抗氧化性，PCB设计、板材选用、加工过程的管控，能有效耐受CAF离子迁移异常，板厚≥2.0mm，铜厚≥1盎司，TG≥170，防潮/防尘/防静电/抗氧化/防霉等级都≤1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21.支持前安装、后安装，常规座装、贴墙、壁挂、吊装、内弧安装等多类型快速安装方式；</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20.▲支持完全前维护：屏体无需后部维护空间，模组、电源、接收卡、HUB板可全部从正面进行维护，支持模组级的LED防撞灯保护装置；</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22.▲显示屏应符合CSA035.2-2017 （VICO 指数） 1级要求，人眼在视光学角度下无视觉疲劳。</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23.框架应采用40国标镀锌方管，根据现场使用要求定制，设计符合国家标准；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24. 含四周40mm-60mm不锈钢包边，具体根据现场情况调整；</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25.要求整体美观大方，稳定牢固。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26.所采购屏幕为一套整体，需要包含所需要的所有配件辅材，</w:t>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t>需要安装到位并达到交付使用标准。</w:t>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br w:type="textWrapping"/>
            </w:r>
            <w:r>
              <w:rPr>
                <w:rFonts w:hint="eastAsia" w:asciiTheme="minorEastAsia" w:hAnsiTheme="minorEastAsia" w:eastAsiaTheme="minorEastAsia" w:cstheme="minorEastAsia"/>
                <w:i w:val="0"/>
                <w:iCs w:val="0"/>
                <w:color w:val="000000" w:themeColor="text1"/>
                <w:kern w:val="0"/>
                <w:sz w:val="24"/>
                <w:szCs w:val="24"/>
                <w:u w:val="none"/>
                <w:lang w:val="en-US" w:eastAsia="zh-CN" w:bidi="ar"/>
                <w14:textFill>
                  <w14:solidFill>
                    <w14:schemeClr w14:val="tx1"/>
                  </w14:solidFill>
                </w14:textFill>
              </w:rPr>
              <w:t>以上1-20项技术参数</w:t>
            </w:r>
            <w:r>
              <w:rPr>
                <w:rFonts w:hint="eastAsia" w:asciiTheme="minorEastAsia" w:hAnsiTheme="minorEastAsia" w:eastAsiaTheme="minorEastAsia" w:cstheme="minorEastAsia"/>
                <w:i w:val="0"/>
                <w:iCs w:val="0"/>
                <w:color w:val="000000"/>
                <w:kern w:val="0"/>
                <w:sz w:val="24"/>
                <w:szCs w:val="24"/>
                <w:u w:val="none"/>
                <w:lang w:val="en-US" w:eastAsia="zh-CN" w:bidi="ar"/>
              </w:rPr>
              <w:t>需提供省级及以上市场监管部门颁发的有效期内的检验检测机构出具的具有CMA或CNAS标识的检测报告并加盖原厂公章。</w:t>
            </w:r>
          </w:p>
        </w:tc>
        <w:tc>
          <w:tcPr>
            <w:tcW w:w="738" w:type="dxa"/>
            <w:tcBorders>
              <w:top w:val="single" w:color="auto" w:sz="4" w:space="0"/>
              <w:left w:val="single" w:color="000000" w:sz="4" w:space="0"/>
              <w:bottom w:val="single" w:color="000000" w:sz="4" w:space="0"/>
              <w:right w:val="single" w:color="000000" w:sz="4" w:space="0"/>
            </w:tcBorders>
            <w:shd w:val="clear" w:color="auto" w:fill="auto"/>
            <w:vAlign w:val="center"/>
          </w:tcPr>
          <w:p w14:paraId="0CD3974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auto" w:sz="4" w:space="0"/>
              <w:left w:val="single" w:color="000000" w:sz="4" w:space="0"/>
              <w:bottom w:val="single" w:color="000000" w:sz="4" w:space="0"/>
              <w:right w:val="single" w:color="000000" w:sz="4" w:space="0"/>
            </w:tcBorders>
            <w:shd w:val="clear" w:color="auto" w:fill="auto"/>
            <w:vAlign w:val="center"/>
          </w:tcPr>
          <w:p w14:paraId="6D0E11E0">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9663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6"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DEF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LED钢构支架</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1486C">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定制40镀锌方管现场根据尺寸图纸焊接、安装、高空作业.</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2C4F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平米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60AA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41.26</w:t>
            </w:r>
          </w:p>
        </w:tc>
      </w:tr>
      <w:tr w14:paraId="52ADC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7C158">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视频处理发送器</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67F6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1.单设备最大带载能力≥230万像素点。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支持不少于3种输入接口:(1)1路SL-DVI接口(支持输入输出双向);(2)1路HDMI1.3接口(支持输入输出双向):支持最大分辨率1920x1200@60Hz，支持自定义分辨率;极限宽度3840像素(3840x600@60Hz)，极限高度3840像素(548x3840@60Hz);(3)1路音频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3.支持不少于6路干兆网口输出，单路网口最大带载≥65万像素点，支持网口间信号冗余备份功能。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4.支持1路方口USB控制接口。</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5.设备采用19英寸1U标准机架式设计。</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6.支持不少于2路UART控制接口，用于设备级联;单链路最大支持级联不少于20台设备。</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7.额定功率≤12W,净重≤2.6kg,外形尺寸约为482.0mmx268.5mmx44.4mm(宽x深x高)。</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8.电源接口:AC100V-240V~50/60Hz，支持宽电压输入。</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7179E">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7D3C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14</w:t>
            </w:r>
          </w:p>
        </w:tc>
      </w:tr>
      <w:tr w14:paraId="12744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744"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44DC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LED显示屏配电柜</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A6A82">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1.设备额定功率:30kW。</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2.主要电气元器件采用一线品牌产品。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3.控制系统采用PLC可编程逻辑控制器，支持远程控制功能。</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4.输入方式:三相五线制供电输入。</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5.输出方式:AC220V交流输出。</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631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台</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0DC69">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w:t>
            </w:r>
          </w:p>
        </w:tc>
      </w:tr>
      <w:tr w14:paraId="33C4C2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DEF66">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LED拼接处理器板卡</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E4F8">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1080p、D1视频解码；</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支持H.265/H.264/SVAC/MPEG4/MJPEG视频标准；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支持信号多路复制，同一路信号复制路数不少于32路；</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支持web浏览器、PC客户端、移动客户端、网络键盘等控制切换；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支持拼接缩放/视频融合/漫游/开窗/层叠；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支持1/4/6/8/9/16/25/36画面分割显示，支持自由分割；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支持点对点高清底图显示；</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支持字幕叠加功能，文字字体、颜色、字符间距、背景色、滚动速度可调节；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支持双电源冗余；</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F7E8D">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块</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BA1FC">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4</w:t>
            </w:r>
          </w:p>
        </w:tc>
      </w:tr>
      <w:tr w14:paraId="171664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31"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2D173">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控制操作台</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BE08A">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操作台技术要求: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1.外观及颜色:柜体颜色为RAL7035(浅灰色);台面采用白色防火板;手枕、后起沿、键盘抽屉扶手为黑</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色</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2.结构及材质:</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(1)操作台采用拼装式结构，配备可调节标准19英寸机架;</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(2)整体框架材料采用1.2mm厚首钢优质冷轧钢板;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(3)承重梁采用2.0mm厚优质覆铝锌板制作;</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(4)主机固定板、前后门、键盘抽屉采用1.2mm厚首钢优质冷轧钢板;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(5)加工工艺:采用激光切割、数控冲压、数控剪板、数控折弯、数控焊接等现代化加工工艺加工而成。</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3.台面要求: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(1)操作台台面采用优质环保实木颗粒板为基材，上下双贴面;</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(2)前端镶有30mm 宽鸭嘴型聚氨酯手枕，使操作人员长时间工作时更加舒适;(3)台面应具备耐磨、耐腐蚀、高强度、耐用、使用方便、整体美观整洁等特点。</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4.表面处理:钢板表面应经过脱脂、酸洗、防锈磷化、纯水清洗、静电喷塑等多道工序处理。</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5.背板及内部配置:采用单层铝型材背板，内置1层隔板。</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6.走线设计:台面可预留显示器、鼠标等设备毛刷进出线孔。</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7.装饰配置:配备亚克力装饰板及灯带。</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85D5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米</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0DDB4">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32.8</w:t>
            </w:r>
          </w:p>
        </w:tc>
      </w:tr>
      <w:tr w14:paraId="6BDE5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2" w:hRule="atLeast"/>
        </w:trPr>
        <w:tc>
          <w:tcPr>
            <w:tcW w:w="12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25B62">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人体工学椅</w:t>
            </w:r>
          </w:p>
        </w:tc>
        <w:tc>
          <w:tcPr>
            <w:tcW w:w="67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C8A10">
            <w:pPr>
              <w:keepNext w:val="0"/>
              <w:keepLines w:val="0"/>
              <w:widowControl/>
              <w:suppressLineNumbers w:val="0"/>
              <w:spacing w:line="360" w:lineRule="auto"/>
              <w:jc w:val="left"/>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1.产品类型:人体工学办公椅。</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2.升降气杆:采用4级液压气杆，安全可靠。</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3.椅面材质:采用国内一线品牌网布，透气舒适。</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4.坐垫设计:人体工学设计坐垫，采用3层3弹力结构，具备良好的支撑性和舒适性。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5.底盘结构:采用螺旋动力底盘，胡克经典力学结构设计，确保座椅稳定性和调节灵活性。</w:t>
            </w:r>
            <w:r>
              <w:rPr>
                <w:rFonts w:hint="eastAsia" w:asciiTheme="minorEastAsia" w:hAnsiTheme="minorEastAsia" w:eastAsiaTheme="minorEastAsia" w:cstheme="minorEastAsia"/>
                <w:i w:val="0"/>
                <w:iCs w:val="0"/>
                <w:color w:val="000000"/>
                <w:kern w:val="0"/>
                <w:sz w:val="24"/>
                <w:szCs w:val="24"/>
                <w:u w:val="none"/>
                <w:lang w:val="en-US" w:eastAsia="zh-CN" w:bidi="ar"/>
              </w:rPr>
              <w:br w:type="textWrapping"/>
            </w:r>
            <w:r>
              <w:rPr>
                <w:rFonts w:hint="eastAsia" w:asciiTheme="minorEastAsia" w:hAnsiTheme="minorEastAsia" w:eastAsiaTheme="minorEastAsia" w:cstheme="minorEastAsia"/>
                <w:i w:val="0"/>
                <w:iCs w:val="0"/>
                <w:color w:val="000000"/>
                <w:kern w:val="0"/>
                <w:sz w:val="24"/>
                <w:szCs w:val="24"/>
                <w:u w:val="none"/>
                <w:lang w:val="en-US" w:eastAsia="zh-CN" w:bidi="ar"/>
              </w:rPr>
              <w:t>6.服务要求:包含现场组装及施工服务。</w:t>
            </w:r>
          </w:p>
        </w:tc>
        <w:tc>
          <w:tcPr>
            <w:tcW w:w="7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E0DF1">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把</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62C9F">
            <w:pPr>
              <w:keepNext w:val="0"/>
              <w:keepLines w:val="0"/>
              <w:widowControl/>
              <w:suppressLineNumbers w:val="0"/>
              <w:spacing w:line="360" w:lineRule="auto"/>
              <w:jc w:val="center"/>
              <w:textAlignment w:val="center"/>
              <w:rPr>
                <w:rFonts w:hint="eastAsia" w:asciiTheme="minorEastAsia" w:hAnsiTheme="minorEastAsia" w:eastAsiaTheme="minorEastAsia" w:cstheme="minorEastAsia"/>
                <w:i w:val="0"/>
                <w:iCs w:val="0"/>
                <w:color w:val="000000"/>
                <w:sz w:val="24"/>
                <w:szCs w:val="24"/>
                <w:u w:val="none"/>
              </w:rPr>
            </w:pPr>
            <w:r>
              <w:rPr>
                <w:rFonts w:hint="eastAsia" w:asciiTheme="minorEastAsia" w:hAnsiTheme="minorEastAsia" w:eastAsiaTheme="minorEastAsia" w:cstheme="minorEastAsia"/>
                <w:i w:val="0"/>
                <w:iCs w:val="0"/>
                <w:color w:val="000000"/>
                <w:kern w:val="0"/>
                <w:sz w:val="24"/>
                <w:szCs w:val="24"/>
                <w:u w:val="none"/>
                <w:lang w:val="en-US" w:eastAsia="zh-CN" w:bidi="ar"/>
              </w:rPr>
              <w:t>24</w:t>
            </w:r>
          </w:p>
        </w:tc>
      </w:tr>
    </w:tbl>
    <w:p w14:paraId="49ED3C56">
      <w:pPr>
        <w:rPr>
          <w:rFonts w:hint="eastAsia"/>
          <w:lang w:val="en-US" w:eastAsia="zh-CN"/>
        </w:rPr>
      </w:pPr>
    </w:p>
    <w:p w14:paraId="5674A0B8">
      <w:pPr>
        <w:rPr>
          <w:rFonts w:hint="eastAsia"/>
          <w:lang w:val="en-US" w:eastAsia="zh-CN"/>
        </w:rPr>
      </w:pPr>
    </w:p>
    <w:p w14:paraId="40D26EA5">
      <w:pPr>
        <w:bidi w:val="0"/>
        <w:rPr>
          <w:rFonts w:hint="eastAsia"/>
          <w:b/>
          <w:bCs/>
          <w:sz w:val="24"/>
          <w:szCs w:val="22"/>
        </w:rPr>
      </w:pPr>
      <w:bookmarkStart w:id="849" w:name="_Toc2255"/>
    </w:p>
    <w:p w14:paraId="38774389">
      <w:pPr>
        <w:pStyle w:val="2"/>
        <w:bidi w:val="0"/>
        <w:rPr>
          <w:rFonts w:hint="eastAsia"/>
        </w:rPr>
      </w:pPr>
    </w:p>
    <w:p w14:paraId="261C04DE">
      <w:pPr>
        <w:bidi w:val="0"/>
        <w:rPr>
          <w:rFonts w:hint="eastAsia"/>
        </w:rPr>
      </w:pPr>
    </w:p>
    <w:p w14:paraId="7E1FE622">
      <w:pPr>
        <w:bidi w:val="0"/>
        <w:rPr>
          <w:rFonts w:hint="eastAsia"/>
        </w:rPr>
      </w:pPr>
    </w:p>
    <w:p w14:paraId="72AB10F8">
      <w:pPr>
        <w:bidi w:val="0"/>
        <w:rPr>
          <w:rFonts w:hint="eastAsia"/>
        </w:rPr>
      </w:pPr>
    </w:p>
    <w:p w14:paraId="192B4BA5">
      <w:pPr>
        <w:pStyle w:val="2"/>
        <w:bidi w:val="0"/>
        <w:rPr>
          <w:rFonts w:hint="eastAsia"/>
        </w:rPr>
      </w:pPr>
      <w:r>
        <w:rPr>
          <w:rFonts w:hint="eastAsia"/>
        </w:rPr>
        <w:t>第七章 投标文件格式</w:t>
      </w:r>
      <w:bookmarkEnd w:id="839"/>
      <w:bookmarkEnd w:id="840"/>
      <w:bookmarkEnd w:id="841"/>
      <w:bookmarkEnd w:id="842"/>
      <w:bookmarkEnd w:id="843"/>
      <w:bookmarkEnd w:id="844"/>
      <w:bookmarkEnd w:id="845"/>
      <w:bookmarkEnd w:id="846"/>
      <w:bookmarkEnd w:id="847"/>
      <w:bookmarkEnd w:id="848"/>
      <w:bookmarkEnd w:id="849"/>
    </w:p>
    <w:p w14:paraId="5E5F885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1.投标文件格式由本章目录所列第1部分至第</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cs="宋体"/>
          <w:color w:val="000000" w:themeColor="text1"/>
          <w:sz w:val="28"/>
          <w:szCs w:val="28"/>
          <w14:textFill>
            <w14:solidFill>
              <w14:schemeClr w14:val="tx1"/>
            </w14:solidFill>
          </w14:textFill>
        </w:rPr>
        <w:t>部分构成。</w:t>
      </w:r>
    </w:p>
    <w:p w14:paraId="2ABD2B48">
      <w:pPr>
        <w:keepNext w:val="0"/>
        <w:keepLines w:val="0"/>
        <w:pageBreakBefore w:val="0"/>
        <w:widowControl w:val="0"/>
        <w:kinsoku/>
        <w:wordWrap/>
        <w:overflowPunct/>
        <w:topLinePunct w:val="0"/>
        <w:autoSpaceDE/>
        <w:autoSpaceDN/>
        <w:bidi w:val="0"/>
        <w:adjustRightInd/>
        <w:snapToGrid/>
        <w:spacing w:line="480" w:lineRule="auto"/>
        <w:ind w:firstLine="560" w:firstLineChars="200"/>
        <w:textAlignment w:val="auto"/>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2.供应商应认真审阅本章内容，并参照格式要求编制投标文件。凡未按格式要求编制投标文件而造成的不利后果，由供应商自行承担。</w:t>
      </w:r>
    </w:p>
    <w:p w14:paraId="7F96CF49">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1363CECA">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33F2502">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816347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50AF4F6">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4F1D0C41">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5F4A91E5">
      <w:pPr>
        <w:spacing w:line="440" w:lineRule="exact"/>
        <w:ind w:firstLine="560" w:firstLineChars="200"/>
        <w:rPr>
          <w:rFonts w:hint="eastAsia" w:ascii="宋体" w:hAnsi="宋体" w:cs="宋体"/>
          <w:color w:val="000000" w:themeColor="text1"/>
          <w:sz w:val="28"/>
          <w:szCs w:val="28"/>
          <w14:textFill>
            <w14:solidFill>
              <w14:schemeClr w14:val="tx1"/>
            </w14:solidFill>
          </w14:textFill>
        </w:rPr>
      </w:pPr>
    </w:p>
    <w:p w14:paraId="7FF8B0D4">
      <w:pPr>
        <w:jc w:val="right"/>
        <w:rPr>
          <w:rFonts w:hint="eastAsia" w:ascii="宋体" w:hAnsi="宋体" w:cs="宋体"/>
          <w:color w:val="000000" w:themeColor="text1"/>
          <w:sz w:val="32"/>
          <w:szCs w:val="32"/>
          <w14:textFill>
            <w14:solidFill>
              <w14:schemeClr w14:val="tx1"/>
            </w14:solidFill>
          </w14:textFill>
        </w:rPr>
      </w:pPr>
    </w:p>
    <w:p w14:paraId="07517129">
      <w:pPr>
        <w:jc w:val="right"/>
        <w:rPr>
          <w:rFonts w:hint="eastAsia" w:ascii="宋体" w:hAnsi="宋体" w:cs="宋体"/>
          <w:color w:val="000000" w:themeColor="text1"/>
          <w:sz w:val="32"/>
          <w:szCs w:val="32"/>
          <w14:textFill>
            <w14:solidFill>
              <w14:schemeClr w14:val="tx1"/>
            </w14:solidFill>
          </w14:textFill>
        </w:rPr>
      </w:pPr>
    </w:p>
    <w:p w14:paraId="6234C10A">
      <w:pPr>
        <w:jc w:val="right"/>
        <w:rPr>
          <w:rFonts w:hint="eastAsia" w:ascii="宋体" w:hAnsi="宋体" w:cs="宋体"/>
          <w:color w:val="000000" w:themeColor="text1"/>
          <w:sz w:val="32"/>
          <w:szCs w:val="32"/>
          <w14:textFill>
            <w14:solidFill>
              <w14:schemeClr w14:val="tx1"/>
            </w14:solidFill>
          </w14:textFill>
        </w:rPr>
      </w:pPr>
    </w:p>
    <w:p w14:paraId="5557BF71">
      <w:pPr>
        <w:jc w:val="right"/>
        <w:rPr>
          <w:rFonts w:hint="eastAsia" w:ascii="宋体" w:hAnsi="宋体" w:cs="宋体"/>
          <w:color w:val="000000" w:themeColor="text1"/>
          <w:sz w:val="32"/>
          <w:szCs w:val="32"/>
          <w14:textFill>
            <w14:solidFill>
              <w14:schemeClr w14:val="tx1"/>
            </w14:solidFill>
          </w14:textFill>
        </w:rPr>
      </w:pPr>
    </w:p>
    <w:p w14:paraId="6E6F0716">
      <w:pPr>
        <w:jc w:val="right"/>
        <w:rPr>
          <w:rFonts w:hint="eastAsia" w:ascii="宋体" w:hAnsi="宋体" w:cs="宋体"/>
          <w:color w:val="000000" w:themeColor="text1"/>
          <w:sz w:val="32"/>
          <w:szCs w:val="32"/>
          <w14:textFill>
            <w14:solidFill>
              <w14:schemeClr w14:val="tx1"/>
            </w14:solidFill>
          </w14:textFill>
        </w:rPr>
      </w:pPr>
    </w:p>
    <w:p w14:paraId="20105C9B">
      <w:pPr>
        <w:jc w:val="right"/>
        <w:rPr>
          <w:rFonts w:hint="eastAsia" w:ascii="宋体" w:hAnsi="宋体" w:cs="宋体"/>
          <w:color w:val="000000" w:themeColor="text1"/>
          <w:sz w:val="32"/>
          <w:szCs w:val="32"/>
          <w14:textFill>
            <w14:solidFill>
              <w14:schemeClr w14:val="tx1"/>
            </w14:solidFill>
          </w14:textFill>
        </w:rPr>
      </w:pPr>
    </w:p>
    <w:p w14:paraId="2968528F">
      <w:pPr>
        <w:jc w:val="right"/>
        <w:rPr>
          <w:rFonts w:hint="eastAsia" w:ascii="宋体" w:hAnsi="宋体" w:cs="宋体"/>
          <w:color w:val="000000" w:themeColor="text1"/>
          <w:sz w:val="32"/>
          <w:szCs w:val="32"/>
          <w14:textFill>
            <w14:solidFill>
              <w14:schemeClr w14:val="tx1"/>
            </w14:solidFill>
          </w14:textFill>
        </w:rPr>
      </w:pPr>
    </w:p>
    <w:p w14:paraId="36D2D7C9">
      <w:pPr>
        <w:jc w:val="right"/>
        <w:rPr>
          <w:rFonts w:hint="eastAsia" w:ascii="宋体" w:hAnsi="宋体" w:cs="宋体"/>
          <w:color w:val="000000" w:themeColor="text1"/>
          <w:sz w:val="32"/>
          <w:szCs w:val="32"/>
          <w14:textFill>
            <w14:solidFill>
              <w14:schemeClr w14:val="tx1"/>
            </w14:solidFill>
          </w14:textFill>
        </w:rPr>
      </w:pPr>
    </w:p>
    <w:p w14:paraId="6EA74D9D">
      <w:pPr>
        <w:jc w:val="right"/>
        <w:rPr>
          <w:rFonts w:hint="eastAsia" w:ascii="宋体" w:hAnsi="宋体" w:cs="宋体"/>
          <w:color w:val="000000" w:themeColor="text1"/>
          <w:sz w:val="32"/>
          <w:szCs w:val="32"/>
          <w14:textFill>
            <w14:solidFill>
              <w14:schemeClr w14:val="tx1"/>
            </w14:solidFill>
          </w14:textFill>
        </w:rPr>
      </w:pPr>
    </w:p>
    <w:p w14:paraId="37DC23DA">
      <w:pPr>
        <w:jc w:val="right"/>
        <w:rPr>
          <w:rFonts w:hint="eastAsia" w:ascii="宋体" w:hAnsi="宋体" w:cs="宋体"/>
          <w:color w:val="000000" w:themeColor="text1"/>
          <w:sz w:val="32"/>
          <w:szCs w:val="32"/>
          <w14:textFill>
            <w14:solidFill>
              <w14:schemeClr w14:val="tx1"/>
            </w14:solidFill>
          </w14:textFill>
        </w:rPr>
      </w:pPr>
    </w:p>
    <w:p w14:paraId="1308F7B0">
      <w:pPr>
        <w:jc w:val="right"/>
        <w:rPr>
          <w:rFonts w:hint="eastAsia" w:ascii="宋体" w:hAnsi="宋体" w:cs="宋体"/>
          <w:color w:val="000000" w:themeColor="text1"/>
          <w:sz w:val="32"/>
          <w:szCs w:val="32"/>
          <w14:textFill>
            <w14:solidFill>
              <w14:schemeClr w14:val="tx1"/>
            </w14:solidFill>
          </w14:textFill>
        </w:rPr>
      </w:pPr>
    </w:p>
    <w:p w14:paraId="1261E733">
      <w:pPr>
        <w:rPr>
          <w:rFonts w:hint="eastAsia" w:ascii="宋体" w:hAnsi="宋体" w:cs="宋体"/>
          <w:color w:val="000000" w:themeColor="text1"/>
          <w:sz w:val="32"/>
          <w:szCs w:val="32"/>
          <w14:textFill>
            <w14:solidFill>
              <w14:schemeClr w14:val="tx1"/>
            </w14:solidFill>
          </w14:textFill>
        </w:rPr>
      </w:pPr>
    </w:p>
    <w:p w14:paraId="498E2A16">
      <w:pPr>
        <w:jc w:val="right"/>
        <w:rPr>
          <w:rFonts w:hint="eastAsia" w:ascii="宋体" w:hAnsi="宋体" w:cs="宋体"/>
          <w:color w:val="000000" w:themeColor="text1"/>
          <w:sz w:val="32"/>
          <w:szCs w:val="32"/>
          <w14:textFill>
            <w14:solidFill>
              <w14:schemeClr w14:val="tx1"/>
            </w14:solidFill>
          </w14:textFill>
        </w:rPr>
      </w:pPr>
    </w:p>
    <w:p w14:paraId="4864D9B4">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7ECC0A70">
      <w:pPr>
        <w:jc w:val="center"/>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4403F0D1">
      <w:pPr>
        <w:jc w:val="center"/>
        <w:rPr>
          <w:rFonts w:hint="eastAsia" w:ascii="宋体" w:hAnsi="宋体" w:cs="宋体"/>
          <w:b/>
          <w:bCs/>
          <w:color w:val="000000" w:themeColor="text1"/>
          <w:spacing w:val="4"/>
          <w:sz w:val="28"/>
          <w:szCs w:val="28"/>
          <w14:textFill>
            <w14:solidFill>
              <w14:schemeClr w14:val="tx1"/>
            </w14:solidFill>
          </w14:textFill>
        </w:rPr>
      </w:pPr>
    </w:p>
    <w:p w14:paraId="1267AF26">
      <w:pPr>
        <w:jc w:val="both"/>
        <w:outlineLvl w:val="0"/>
        <w:rPr>
          <w:rFonts w:hint="eastAsia" w:ascii="宋体" w:hAnsi="宋体" w:cs="宋体"/>
          <w:b/>
          <w:bCs/>
          <w:color w:val="000000" w:themeColor="text1"/>
          <w:spacing w:val="4"/>
          <w:sz w:val="28"/>
          <w:szCs w:val="28"/>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13054BEC">
      <w:pPr>
        <w:ind w:firstLine="6938" w:firstLineChars="2400"/>
        <w:jc w:val="both"/>
        <w:outlineLvl w:val="0"/>
        <w:rPr>
          <w:rFonts w:hint="eastAsia"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pacing w:val="4"/>
          <w:sz w:val="28"/>
          <w:szCs w:val="28"/>
          <w14:textFill>
            <w14:solidFill>
              <w14:schemeClr w14:val="tx1"/>
            </w14:solidFill>
          </w14:textFill>
        </w:rPr>
        <w:t xml:space="preserve"> </w:t>
      </w:r>
    </w:p>
    <w:p w14:paraId="6CC2AA65">
      <w:pPr>
        <w:tabs>
          <w:tab w:val="center" w:pos="4698"/>
        </w:tabs>
        <w:spacing w:line="360" w:lineRule="auto"/>
        <w:outlineLvl w:val="0"/>
        <w:rPr>
          <w:rFonts w:ascii="宋体" w:hAnsi="宋体" w:cs="宋体"/>
          <w:b/>
          <w:bCs/>
          <w:color w:val="000000" w:themeColor="text1"/>
          <w:sz w:val="30"/>
          <w:szCs w:val="30"/>
          <w14:textFill>
            <w14:solidFill>
              <w14:schemeClr w14:val="tx1"/>
            </w14:solidFill>
          </w14:textFill>
        </w:rPr>
      </w:pPr>
      <w:bookmarkStart w:id="850" w:name="_Toc8114"/>
      <w:bookmarkStart w:id="851" w:name="_Toc30729"/>
      <w:bookmarkStart w:id="852" w:name="_Toc11980"/>
      <w:bookmarkStart w:id="853" w:name="_Toc16098"/>
      <w:bookmarkStart w:id="854" w:name="_Toc2518"/>
      <w:bookmarkStart w:id="855" w:name="_Toc11924"/>
      <w:bookmarkStart w:id="856" w:name="_Toc32216"/>
      <w:bookmarkStart w:id="857" w:name="_Toc19191"/>
      <w:r>
        <w:rPr>
          <w:rFonts w:hint="eastAsia" w:ascii="宋体" w:hAnsi="宋体" w:cs="宋体"/>
          <w:b/>
          <w:bCs/>
          <w:color w:val="000000" w:themeColor="text1"/>
          <w:sz w:val="30"/>
          <w:szCs w:val="30"/>
          <w:lang w:val="zh-CN"/>
          <w14:textFill>
            <w14:solidFill>
              <w14:schemeClr w14:val="tx1"/>
            </w14:solidFill>
          </w14:textFill>
        </w:rPr>
        <w:t>项目编号：</w:t>
      </w:r>
      <w:bookmarkEnd w:id="850"/>
      <w:bookmarkEnd w:id="851"/>
      <w:bookmarkEnd w:id="852"/>
      <w:bookmarkEnd w:id="853"/>
      <w:bookmarkEnd w:id="854"/>
      <w:bookmarkEnd w:id="855"/>
      <w:bookmarkEnd w:id="856"/>
      <w:bookmarkEnd w:id="857"/>
      <w:r>
        <w:rPr>
          <w:rFonts w:hint="eastAsia" w:ascii="宋体" w:hAnsi="宋体" w:cs="宋体"/>
          <w:b/>
          <w:bCs/>
          <w:color w:val="000000" w:themeColor="text1"/>
          <w:sz w:val="30"/>
          <w:szCs w:val="30"/>
          <w:lang w:val="zh-CN"/>
          <w14:textFill>
            <w14:solidFill>
              <w14:schemeClr w14:val="tx1"/>
            </w14:solidFill>
          </w14:textFill>
        </w:rPr>
        <w:t>SXCY2026-19-2</w:t>
      </w:r>
    </w:p>
    <w:p w14:paraId="6B3398B6">
      <w:pPr>
        <w:tabs>
          <w:tab w:val="center" w:pos="4698"/>
        </w:tabs>
        <w:spacing w:line="360" w:lineRule="auto"/>
        <w:rPr>
          <w:rFonts w:hint="eastAsia" w:ascii="宋体" w:hAnsi="宋体" w:cs="宋体"/>
          <w:b/>
          <w:bCs/>
          <w:color w:val="000000" w:themeColor="text1"/>
          <w:sz w:val="30"/>
          <w:szCs w:val="30"/>
          <w:lang w:val="zh-CN"/>
          <w14:textFill>
            <w14:solidFill>
              <w14:schemeClr w14:val="tx1"/>
            </w14:solidFill>
          </w14:textFill>
        </w:rPr>
      </w:pPr>
    </w:p>
    <w:p w14:paraId="11B096D9">
      <w:pPr>
        <w:pStyle w:val="11"/>
        <w:rPr>
          <w:rFonts w:hint="eastAsia"/>
          <w:color w:val="000000" w:themeColor="text1"/>
          <w:lang w:val="zh-CN"/>
          <w14:textFill>
            <w14:solidFill>
              <w14:schemeClr w14:val="tx1"/>
            </w14:solidFill>
          </w14:textFill>
        </w:rPr>
      </w:pPr>
    </w:p>
    <w:p w14:paraId="5DB9BD3A">
      <w:pPr>
        <w:pStyle w:val="11"/>
        <w:rPr>
          <w:rFonts w:hint="eastAsia"/>
          <w:color w:val="000000" w:themeColor="text1"/>
          <w:lang w:val="zh-CN"/>
          <w14:textFill>
            <w14:solidFill>
              <w14:schemeClr w14:val="tx1"/>
            </w14:solidFill>
          </w14:textFill>
        </w:rPr>
      </w:pPr>
    </w:p>
    <w:p w14:paraId="2EED3E9A">
      <w:pPr>
        <w:tabs>
          <w:tab w:val="center" w:pos="4698"/>
        </w:tabs>
        <w:spacing w:line="360" w:lineRule="auto"/>
        <w:rPr>
          <w:rFonts w:hint="eastAsia" w:ascii="宋体" w:hAnsi="宋体" w:cs="宋体"/>
          <w:color w:val="000000" w:themeColor="text1"/>
          <w:sz w:val="36"/>
          <w:szCs w:val="36"/>
          <w14:textFill>
            <w14:solidFill>
              <w14:schemeClr w14:val="tx1"/>
            </w14:solidFill>
          </w14:textFill>
        </w:rPr>
      </w:pPr>
    </w:p>
    <w:p w14:paraId="08455E63">
      <w:pPr>
        <w:jc w:val="center"/>
        <w:rPr>
          <w:rFonts w:hint="eastAsia"/>
          <w:b/>
          <w:bCs/>
          <w:color w:val="000000" w:themeColor="text1"/>
          <w:sz w:val="48"/>
          <w:szCs w:val="44"/>
          <w:lang w:eastAsia="zh-CN"/>
          <w14:textFill>
            <w14:solidFill>
              <w14:schemeClr w14:val="tx1"/>
            </w14:solidFill>
          </w14:textFill>
        </w:rPr>
      </w:pPr>
      <w:r>
        <w:rPr>
          <w:rFonts w:hint="eastAsia"/>
          <w:b/>
          <w:bCs/>
          <w:color w:val="000000" w:themeColor="text1"/>
          <w:sz w:val="48"/>
          <w:szCs w:val="44"/>
          <w:lang w:eastAsia="zh-CN"/>
          <w14:textFill>
            <w14:solidFill>
              <w14:schemeClr w14:val="tx1"/>
            </w14:solidFill>
          </w14:textFill>
        </w:rPr>
        <w:t>延安市公安局宝塔分局综合指挥作战装备购置项目</w:t>
      </w:r>
    </w:p>
    <w:p w14:paraId="1A12E73C">
      <w:pPr>
        <w:pStyle w:val="24"/>
        <w:rPr>
          <w:rFonts w:hint="eastAsia" w:cs="宋体"/>
          <w:b/>
          <w:bCs/>
          <w:color w:val="000000" w:themeColor="text1"/>
          <w:sz w:val="52"/>
          <w:szCs w:val="52"/>
          <w:lang w:eastAsia="zh-CN"/>
          <w14:textFill>
            <w14:solidFill>
              <w14:schemeClr w14:val="tx1"/>
            </w14:solidFill>
          </w14:textFill>
        </w:rPr>
      </w:pPr>
    </w:p>
    <w:p w14:paraId="526B03EF">
      <w:pPr>
        <w:rPr>
          <w:rFonts w:hint="eastAsia"/>
          <w:lang w:eastAsia="zh-CN"/>
        </w:rPr>
      </w:pPr>
    </w:p>
    <w:p w14:paraId="25C1E593">
      <w:pPr>
        <w:rPr>
          <w:rFonts w:hint="eastAsia" w:cs="宋体"/>
          <w:b/>
          <w:bCs/>
          <w:color w:val="000000" w:themeColor="text1"/>
          <w:sz w:val="52"/>
          <w:szCs w:val="52"/>
          <w:lang w:eastAsia="zh-CN"/>
          <w14:textFill>
            <w14:solidFill>
              <w14:schemeClr w14:val="tx1"/>
            </w14:solidFill>
          </w14:textFill>
        </w:rPr>
      </w:pPr>
    </w:p>
    <w:p w14:paraId="0814B761">
      <w:pPr>
        <w:pStyle w:val="11"/>
        <w:rPr>
          <w:rFonts w:hint="eastAsia"/>
          <w:color w:val="000000" w:themeColor="text1"/>
          <w:lang w:eastAsia="zh-CN"/>
          <w14:textFill>
            <w14:solidFill>
              <w14:schemeClr w14:val="tx1"/>
            </w14:solidFill>
          </w14:textFill>
        </w:rPr>
      </w:pPr>
    </w:p>
    <w:p w14:paraId="563CDC32">
      <w:pPr>
        <w:rPr>
          <w:rFonts w:hint="eastAsia"/>
          <w:color w:val="000000" w:themeColor="text1"/>
          <w:lang w:eastAsia="zh-CN"/>
          <w14:textFill>
            <w14:solidFill>
              <w14:schemeClr w14:val="tx1"/>
            </w14:solidFill>
          </w14:textFill>
        </w:rPr>
      </w:pPr>
    </w:p>
    <w:p w14:paraId="4956D668">
      <w:pPr>
        <w:rPr>
          <w:rFonts w:hint="eastAsia"/>
          <w:color w:val="000000" w:themeColor="text1"/>
          <w:lang w:val="zh-CN"/>
          <w14:textFill>
            <w14:solidFill>
              <w14:schemeClr w14:val="tx1"/>
            </w14:solidFill>
          </w14:textFill>
        </w:rPr>
      </w:pPr>
    </w:p>
    <w:p w14:paraId="7686D176">
      <w:pPr>
        <w:tabs>
          <w:tab w:val="left" w:pos="5670"/>
        </w:tabs>
        <w:autoSpaceDE w:val="0"/>
        <w:autoSpaceDN w:val="0"/>
        <w:adjustRightInd w:val="0"/>
        <w:snapToGrid w:val="0"/>
        <w:spacing w:line="360" w:lineRule="auto"/>
        <w:jc w:val="center"/>
        <w:rPr>
          <w:rFonts w:hint="eastAsia" w:ascii="宋体" w:hAnsi="宋体" w:cs="宋体"/>
          <w:b/>
          <w:bCs/>
          <w:color w:val="000000" w:themeColor="text1"/>
          <w:sz w:val="56"/>
          <w:szCs w:val="56"/>
          <w:lang w:val="zh-CN"/>
          <w14:textFill>
            <w14:solidFill>
              <w14:schemeClr w14:val="tx1"/>
            </w14:solidFill>
          </w14:textFill>
        </w:rPr>
      </w:pPr>
      <w:r>
        <w:rPr>
          <w:rFonts w:hint="eastAsia" w:ascii="宋体" w:hAnsi="宋体" w:cs="宋体"/>
          <w:b/>
          <w:bCs/>
          <w:color w:val="000000" w:themeColor="text1"/>
          <w:sz w:val="56"/>
          <w:szCs w:val="56"/>
          <w:lang w:val="zh-CN"/>
          <w14:textFill>
            <w14:solidFill>
              <w14:schemeClr w14:val="tx1"/>
            </w14:solidFill>
          </w14:textFill>
        </w:rPr>
        <w:t>投标文件</w:t>
      </w:r>
    </w:p>
    <w:p w14:paraId="61CDE928">
      <w:pPr>
        <w:tabs>
          <w:tab w:val="center" w:pos="4698"/>
        </w:tabs>
        <w:spacing w:line="360" w:lineRule="auto"/>
        <w:rPr>
          <w:rFonts w:hint="eastAsia" w:ascii="宋体" w:hAnsi="宋体" w:cs="宋体"/>
          <w:color w:val="000000" w:themeColor="text1"/>
          <w:sz w:val="30"/>
          <w:szCs w:val="30"/>
          <w14:textFill>
            <w14:solidFill>
              <w14:schemeClr w14:val="tx1"/>
            </w14:solidFill>
          </w14:textFill>
        </w:rPr>
      </w:pPr>
    </w:p>
    <w:p w14:paraId="3637D8D7">
      <w:pPr>
        <w:pStyle w:val="81"/>
        <w:rPr>
          <w:rFonts w:hint="eastAsia"/>
          <w:color w:val="000000" w:themeColor="text1"/>
          <w14:textFill>
            <w14:solidFill>
              <w14:schemeClr w14:val="tx1"/>
            </w14:solidFill>
          </w14:textFill>
        </w:rPr>
      </w:pPr>
    </w:p>
    <w:p w14:paraId="228B8531">
      <w:pPr>
        <w:pStyle w:val="81"/>
        <w:rPr>
          <w:rFonts w:hint="eastAsia"/>
          <w:color w:val="000000" w:themeColor="text1"/>
          <w14:textFill>
            <w14:solidFill>
              <w14:schemeClr w14:val="tx1"/>
            </w14:solidFill>
          </w14:textFill>
        </w:rPr>
      </w:pPr>
    </w:p>
    <w:p w14:paraId="5F4E1946">
      <w:pPr>
        <w:pStyle w:val="11"/>
        <w:rPr>
          <w:rFonts w:hint="eastAsia" w:ascii="宋体" w:hAnsi="宋体" w:cs="宋体"/>
          <w:color w:val="000000" w:themeColor="text1"/>
          <w14:textFill>
            <w14:solidFill>
              <w14:schemeClr w14:val="tx1"/>
            </w14:solidFill>
          </w14:textFill>
        </w:rPr>
      </w:pPr>
    </w:p>
    <w:p w14:paraId="28CDAABA">
      <w:pPr>
        <w:rPr>
          <w:rFonts w:hint="eastAsia" w:ascii="宋体" w:hAnsi="宋体" w:cs="宋体"/>
          <w:color w:val="000000" w:themeColor="text1"/>
          <w14:textFill>
            <w14:solidFill>
              <w14:schemeClr w14:val="tx1"/>
            </w14:solidFill>
          </w14:textFill>
        </w:rPr>
      </w:pPr>
    </w:p>
    <w:p w14:paraId="1D185B6E">
      <w:pPr>
        <w:rPr>
          <w:rFonts w:hint="eastAsia" w:ascii="宋体" w:hAnsi="宋体" w:cs="宋体"/>
          <w:color w:val="000000" w:themeColor="text1"/>
          <w14:textFill>
            <w14:solidFill>
              <w14:schemeClr w14:val="tx1"/>
            </w14:solidFill>
          </w14:textFill>
        </w:rPr>
      </w:pPr>
    </w:p>
    <w:p w14:paraId="34BFD8CC">
      <w:pPr>
        <w:rPr>
          <w:rFonts w:hint="eastAsia" w:ascii="宋体" w:hAnsi="宋体" w:cs="宋体"/>
          <w:color w:val="000000" w:themeColor="text1"/>
          <w14:textFill>
            <w14:solidFill>
              <w14:schemeClr w14:val="tx1"/>
            </w14:solidFill>
          </w14:textFill>
        </w:rPr>
      </w:pPr>
    </w:p>
    <w:p w14:paraId="0AFA396A">
      <w:pPr>
        <w:rPr>
          <w:rFonts w:hint="eastAsia" w:ascii="宋体" w:hAnsi="宋体" w:cs="宋体"/>
          <w:color w:val="000000" w:themeColor="text1"/>
          <w14:textFill>
            <w14:solidFill>
              <w14:schemeClr w14:val="tx1"/>
            </w14:solidFill>
          </w14:textFill>
        </w:rPr>
      </w:pPr>
    </w:p>
    <w:p w14:paraId="0141E1F2">
      <w:pPr>
        <w:rPr>
          <w:rFonts w:hint="eastAsia" w:ascii="宋体" w:hAnsi="宋体" w:cs="宋体"/>
          <w:color w:val="000000" w:themeColor="text1"/>
          <w14:textFill>
            <w14:solidFill>
              <w14:schemeClr w14:val="tx1"/>
            </w14:solidFill>
          </w14:textFill>
        </w:rPr>
      </w:pPr>
    </w:p>
    <w:p w14:paraId="71B464E5">
      <w:pPr>
        <w:rPr>
          <w:rFonts w:hint="eastAsia" w:ascii="宋体" w:hAnsi="宋体" w:cs="宋体"/>
          <w:color w:val="000000" w:themeColor="text1"/>
          <w14:textFill>
            <w14:solidFill>
              <w14:schemeClr w14:val="tx1"/>
            </w14:solidFill>
          </w14:textFill>
        </w:rPr>
      </w:pPr>
    </w:p>
    <w:p w14:paraId="44CD5A3B">
      <w:pPr>
        <w:rPr>
          <w:rFonts w:hint="eastAsia" w:ascii="宋体" w:hAnsi="宋体" w:cs="宋体"/>
          <w:color w:val="000000" w:themeColor="text1"/>
          <w14:textFill>
            <w14:solidFill>
              <w14:schemeClr w14:val="tx1"/>
            </w14:solidFill>
          </w14:textFill>
        </w:rPr>
      </w:pPr>
    </w:p>
    <w:p w14:paraId="4D421609">
      <w:pPr>
        <w:rPr>
          <w:rFonts w:hint="eastAsia" w:ascii="宋体" w:hAnsi="宋体" w:cs="宋体"/>
          <w:color w:val="000000" w:themeColor="text1"/>
          <w14:textFill>
            <w14:solidFill>
              <w14:schemeClr w14:val="tx1"/>
            </w14:solidFill>
          </w14:textFill>
        </w:rPr>
      </w:pPr>
    </w:p>
    <w:p w14:paraId="784D3206">
      <w:pPr>
        <w:rPr>
          <w:rFonts w:hint="eastAsia" w:ascii="宋体" w:hAnsi="宋体" w:cs="宋体"/>
          <w:color w:val="000000" w:themeColor="text1"/>
          <w:sz w:val="28"/>
          <w:szCs w:val="28"/>
          <w14:textFill>
            <w14:solidFill>
              <w14:schemeClr w14:val="tx1"/>
            </w14:solidFill>
          </w14:textFill>
        </w:rPr>
      </w:pPr>
    </w:p>
    <w:p w14:paraId="1CD3DBF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u w:val="single"/>
          <w14:textFill>
            <w14:solidFill>
              <w14:schemeClr w14:val="tx1"/>
            </w14:solidFill>
          </w14:textFill>
        </w:rPr>
      </w:pPr>
      <w:bookmarkStart w:id="858" w:name="_Toc31983"/>
      <w:bookmarkStart w:id="859" w:name="_Toc25034"/>
      <w:bookmarkStart w:id="860" w:name="_Toc6619"/>
      <w:bookmarkStart w:id="861" w:name="_Toc12328"/>
      <w:bookmarkStart w:id="862" w:name="_Toc26575"/>
      <w:bookmarkStart w:id="863" w:name="_Toc13959"/>
      <w:bookmarkStart w:id="864" w:name="_Toc20039"/>
      <w:bookmarkStart w:id="865" w:name="_Toc12193"/>
      <w:bookmarkStart w:id="866" w:name="_Hlk519177560"/>
      <w:r>
        <w:rPr>
          <w:rFonts w:hint="eastAsia" w:ascii="宋体" w:hAnsi="宋体" w:cs="宋体"/>
          <w:b/>
          <w:color w:val="000000" w:themeColor="text1"/>
          <w:sz w:val="28"/>
          <w:szCs w:val="28"/>
          <w14:textFill>
            <w14:solidFill>
              <w14:schemeClr w14:val="tx1"/>
            </w14:solidFill>
          </w14:textFill>
        </w:rPr>
        <w:t>投标人：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bCs w:val="0"/>
          <w:color w:val="000000" w:themeColor="text1"/>
          <w:sz w:val="28"/>
          <w:szCs w:val="28"/>
          <w:u w:val="single"/>
          <w14:textFill>
            <w14:solidFill>
              <w14:schemeClr w14:val="tx1"/>
            </w14:solidFill>
          </w14:textFill>
        </w:rPr>
        <w:t xml:space="preserve">（单位全称）  </w:t>
      </w:r>
      <w:r>
        <w:rPr>
          <w:rFonts w:hint="eastAsia" w:ascii="宋体" w:hAnsi="宋体" w:cs="宋体"/>
          <w:b/>
          <w:color w:val="000000" w:themeColor="text1"/>
          <w:sz w:val="28"/>
          <w:szCs w:val="28"/>
          <w14:textFill>
            <w14:solidFill>
              <w14:schemeClr w14:val="tx1"/>
            </w14:solidFill>
          </w14:textFill>
        </w:rPr>
        <w:t>（盖单位公章）</w:t>
      </w:r>
      <w:bookmarkEnd w:id="858"/>
      <w:bookmarkEnd w:id="859"/>
      <w:bookmarkEnd w:id="860"/>
      <w:bookmarkEnd w:id="861"/>
      <w:bookmarkEnd w:id="862"/>
      <w:bookmarkEnd w:id="863"/>
      <w:bookmarkEnd w:id="864"/>
      <w:bookmarkEnd w:id="865"/>
    </w:p>
    <w:p w14:paraId="2218EA37">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67" w:name="_Toc9955"/>
      <w:bookmarkStart w:id="868" w:name="_Toc23903"/>
      <w:bookmarkStart w:id="869" w:name="_Toc2875"/>
      <w:bookmarkStart w:id="870" w:name="_Toc7290"/>
      <w:bookmarkStart w:id="871" w:name="_Toc343512253"/>
      <w:bookmarkStart w:id="872" w:name="_Toc13879"/>
      <w:bookmarkStart w:id="873" w:name="_Toc24127"/>
      <w:bookmarkStart w:id="874" w:name="_Toc12443"/>
      <w:bookmarkStart w:id="875" w:name="_Toc1582"/>
      <w:r>
        <w:rPr>
          <w:rFonts w:hint="eastAsia" w:ascii="宋体" w:hAnsi="宋体" w:cs="宋体"/>
          <w:b/>
          <w:color w:val="000000" w:themeColor="text1"/>
          <w:sz w:val="28"/>
          <w:szCs w:val="28"/>
          <w14:textFill>
            <w14:solidFill>
              <w14:schemeClr w14:val="tx1"/>
            </w14:solidFill>
          </w14:textFill>
        </w:rPr>
        <w:t>法定代表人：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（签字或法人印鉴）</w:t>
      </w:r>
      <w:bookmarkEnd w:id="867"/>
      <w:bookmarkEnd w:id="868"/>
      <w:bookmarkEnd w:id="869"/>
      <w:bookmarkEnd w:id="870"/>
      <w:bookmarkEnd w:id="871"/>
      <w:bookmarkEnd w:id="872"/>
      <w:bookmarkEnd w:id="873"/>
      <w:bookmarkEnd w:id="874"/>
      <w:bookmarkEnd w:id="875"/>
    </w:p>
    <w:p w14:paraId="0CDD2298">
      <w:pPr>
        <w:keepNext w:val="0"/>
        <w:keepLines w:val="0"/>
        <w:pageBreakBefore w:val="0"/>
        <w:widowControl w:val="0"/>
        <w:kinsoku/>
        <w:wordWrap/>
        <w:overflowPunct/>
        <w:topLinePunct w:val="0"/>
        <w:autoSpaceDE/>
        <w:autoSpaceDN/>
        <w:bidi w:val="0"/>
        <w:adjustRightInd/>
        <w:snapToGrid/>
        <w:spacing w:line="480" w:lineRule="auto"/>
        <w:ind w:firstLine="1124" w:firstLineChars="400"/>
        <w:textAlignment w:val="auto"/>
        <w:outlineLvl w:val="0"/>
        <w:rPr>
          <w:rFonts w:hint="eastAsia" w:ascii="宋体" w:hAnsi="宋体" w:cs="宋体"/>
          <w:b/>
          <w:color w:val="000000" w:themeColor="text1"/>
          <w:sz w:val="28"/>
          <w:szCs w:val="28"/>
          <w14:textFill>
            <w14:solidFill>
              <w14:schemeClr w14:val="tx1"/>
            </w14:solidFill>
          </w14:textFill>
        </w:rPr>
      </w:pPr>
      <w:bookmarkStart w:id="876" w:name="_Toc29467"/>
      <w:bookmarkStart w:id="877" w:name="_Toc1301"/>
      <w:bookmarkStart w:id="878" w:name="_Toc11005"/>
      <w:bookmarkStart w:id="879" w:name="_Toc18563"/>
      <w:bookmarkStart w:id="880" w:name="_Toc27789"/>
      <w:bookmarkStart w:id="881" w:name="_Toc9488"/>
      <w:bookmarkStart w:id="882" w:name="_Toc23630"/>
      <w:bookmarkStart w:id="883" w:name="_Toc28259"/>
      <w:r>
        <w:rPr>
          <w:rFonts w:hint="eastAsia" w:ascii="宋体" w:hAnsi="宋体" w:cs="宋体"/>
          <w:b/>
          <w:color w:val="000000" w:themeColor="text1"/>
          <w:sz w:val="28"/>
          <w:szCs w:val="28"/>
          <w14:textFill>
            <w14:solidFill>
              <w14:schemeClr w14:val="tx1"/>
            </w14:solidFill>
          </w14:textFill>
        </w:rPr>
        <w:t>委托代理人：</w:t>
      </w:r>
      <w:r>
        <w:rPr>
          <w:rFonts w:hint="eastAsia" w:ascii="宋体" w:hAnsi="宋体" w:cs="宋体"/>
          <w:bCs/>
          <w:color w:val="000000" w:themeColor="text1"/>
          <w:sz w:val="28"/>
          <w:szCs w:val="28"/>
          <w:u w:val="single"/>
          <w14:textFill>
            <w14:solidFill>
              <w14:schemeClr w14:val="tx1"/>
            </w14:solidFill>
          </w14:textFill>
        </w:rPr>
        <w:t xml:space="preserve">        </w:t>
      </w:r>
      <w:r>
        <w:rPr>
          <w:rFonts w:hint="eastAsia" w:ascii="宋体" w:hAnsi="宋体" w:cs="宋体"/>
          <w:b/>
          <w:color w:val="000000" w:themeColor="text1"/>
          <w:sz w:val="28"/>
          <w:szCs w:val="28"/>
          <w14:textFill>
            <w14:solidFill>
              <w14:schemeClr w14:val="tx1"/>
            </w14:solidFill>
          </w14:textFill>
        </w:rPr>
        <w:t>（签字）</w:t>
      </w:r>
      <w:bookmarkEnd w:id="876"/>
      <w:bookmarkEnd w:id="877"/>
      <w:bookmarkEnd w:id="878"/>
      <w:bookmarkEnd w:id="879"/>
      <w:bookmarkEnd w:id="880"/>
      <w:bookmarkEnd w:id="881"/>
      <w:bookmarkEnd w:id="882"/>
      <w:bookmarkEnd w:id="883"/>
    </w:p>
    <w:p w14:paraId="7DBCE2E0">
      <w:pPr>
        <w:keepNext w:val="0"/>
        <w:keepLines w:val="0"/>
        <w:pageBreakBefore w:val="0"/>
        <w:widowControl w:val="0"/>
        <w:kinsoku/>
        <w:wordWrap/>
        <w:overflowPunct/>
        <w:topLinePunct w:val="0"/>
        <w:autoSpaceDE/>
        <w:autoSpaceDN/>
        <w:bidi w:val="0"/>
        <w:adjustRightInd/>
        <w:snapToGrid/>
        <w:spacing w:line="480" w:lineRule="auto"/>
        <w:ind w:firstLine="1405" w:firstLineChars="500"/>
        <w:jc w:val="both"/>
        <w:textAlignment w:val="auto"/>
        <w:rPr>
          <w:rFonts w:hint="eastAsia" w:ascii="宋体" w:hAnsi="宋体" w:cs="宋体"/>
          <w:b/>
          <w:color w:val="000000" w:themeColor="text1"/>
          <w:sz w:val="28"/>
          <w:szCs w:val="28"/>
          <w14:textFill>
            <w14:solidFill>
              <w14:schemeClr w14:val="tx1"/>
            </w14:solidFill>
          </w14:textFill>
        </w:rPr>
      </w:pPr>
      <w:bookmarkStart w:id="884" w:name="_Toc343512254"/>
      <w:r>
        <w:rPr>
          <w:rFonts w:hint="eastAsia" w:ascii="宋体" w:hAnsi="宋体" w:cs="宋体"/>
          <w:b/>
          <w:color w:val="000000" w:themeColor="text1"/>
          <w:sz w:val="28"/>
          <w:szCs w:val="28"/>
          <w14:textFill>
            <w14:solidFill>
              <w14:schemeClr w14:val="tx1"/>
            </w14:solidFill>
          </w14:textFill>
        </w:rPr>
        <w:t xml:space="preserve">  年    月    日</w:t>
      </w:r>
      <w:bookmarkEnd w:id="884"/>
    </w:p>
    <w:bookmarkEnd w:id="866"/>
    <w:p w14:paraId="25E8323C">
      <w:pPr>
        <w:spacing w:line="360" w:lineRule="auto"/>
        <w:ind w:firstLine="855"/>
        <w:rPr>
          <w:rFonts w:hint="eastAsia" w:ascii="宋体" w:hAnsi="宋体" w:cs="宋体"/>
          <w:color w:val="000000" w:themeColor="text1"/>
          <w:sz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FB97A9A">
      <w:pPr>
        <w:spacing w:line="360" w:lineRule="auto"/>
        <w:jc w:val="center"/>
        <w:rPr>
          <w:rFonts w:hint="eastAsia" w:ascii="宋体" w:hAnsi="宋体" w:cs="宋体"/>
          <w:b/>
          <w:color w:val="000000" w:themeColor="text1"/>
          <w:sz w:val="44"/>
          <w:szCs w:val="44"/>
          <w14:textFill>
            <w14:solidFill>
              <w14:schemeClr w14:val="tx1"/>
            </w14:solidFill>
          </w14:textFill>
        </w:rPr>
      </w:pPr>
      <w:bookmarkStart w:id="885" w:name="_Toc152042576"/>
      <w:bookmarkStart w:id="886" w:name="_Toc152045787"/>
      <w:bookmarkStart w:id="887" w:name="_Toc246996355"/>
      <w:bookmarkStart w:id="888" w:name="_Toc179632807"/>
      <w:bookmarkStart w:id="889" w:name="_Toc144974856"/>
      <w:bookmarkStart w:id="890" w:name="_Toc246997098"/>
      <w:bookmarkStart w:id="891" w:name="_Toc343512255"/>
      <w:bookmarkStart w:id="892" w:name="_Toc247085873"/>
      <w:bookmarkStart w:id="893" w:name="_Toc132684575"/>
      <w:bookmarkStart w:id="894" w:name="_Toc169940965"/>
      <w:bookmarkStart w:id="895" w:name="_Toc145989459"/>
      <w:r>
        <w:rPr>
          <w:rFonts w:hint="eastAsia" w:ascii="宋体" w:hAnsi="宋体" w:cs="宋体"/>
          <w:b/>
          <w:color w:val="000000" w:themeColor="text1"/>
          <w:sz w:val="44"/>
          <w:szCs w:val="44"/>
          <w14:textFill>
            <w14:solidFill>
              <w14:schemeClr w14:val="tx1"/>
            </w14:solidFill>
          </w14:textFill>
        </w:rPr>
        <w:t>目    录</w:t>
      </w:r>
      <w:bookmarkEnd w:id="885"/>
      <w:bookmarkEnd w:id="886"/>
      <w:bookmarkEnd w:id="887"/>
      <w:bookmarkEnd w:id="888"/>
      <w:bookmarkEnd w:id="889"/>
      <w:bookmarkEnd w:id="890"/>
      <w:bookmarkEnd w:id="891"/>
      <w:bookmarkEnd w:id="892"/>
    </w:p>
    <w:p w14:paraId="40109799">
      <w:pPr>
        <w:spacing w:line="360" w:lineRule="auto"/>
        <w:ind w:firstLine="643" w:firstLineChars="200"/>
        <w:rPr>
          <w:rFonts w:hint="eastAsia" w:ascii="宋体" w:hAnsi="宋体" w:cs="宋体"/>
          <w:b/>
          <w:color w:val="000000" w:themeColor="text1"/>
          <w:sz w:val="32"/>
          <w:szCs w:val="32"/>
          <w14:textFill>
            <w14:solidFill>
              <w14:schemeClr w14:val="tx1"/>
            </w14:solidFill>
          </w14:textFill>
        </w:rPr>
      </w:pPr>
    </w:p>
    <w:p w14:paraId="1C407E4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bookmarkStart w:id="896" w:name="_Toc343512258"/>
      <w:r>
        <w:rPr>
          <w:rFonts w:hint="eastAsia" w:ascii="宋体" w:hAnsi="宋体" w:cs="宋体"/>
          <w:b/>
          <w:color w:val="000000" w:themeColor="text1"/>
          <w:sz w:val="28"/>
          <w:szCs w:val="28"/>
          <w:lang w:val="en-US" w:eastAsia="zh-CN"/>
          <w14:textFill>
            <w14:solidFill>
              <w14:schemeClr w14:val="tx1"/>
            </w14:solidFill>
          </w14:textFill>
        </w:rPr>
        <w:t>一、</w:t>
      </w:r>
      <w:r>
        <w:rPr>
          <w:rFonts w:hint="eastAsia" w:ascii="宋体" w:hAnsi="宋体" w:cs="宋体"/>
          <w:b/>
          <w:color w:val="000000" w:themeColor="text1"/>
          <w:sz w:val="28"/>
          <w:szCs w:val="28"/>
          <w14:textFill>
            <w14:solidFill>
              <w14:schemeClr w14:val="tx1"/>
            </w14:solidFill>
          </w14:textFill>
        </w:rPr>
        <w:t>资格证明文件</w:t>
      </w:r>
    </w:p>
    <w:bookmarkEnd w:id="896"/>
    <w:p w14:paraId="65DB0C98">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p>
    <w:p w14:paraId="5F1EFF4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lang w:eastAsia="zh-CN"/>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三、开标一览表</w:t>
      </w:r>
    </w:p>
    <w:p w14:paraId="4201EE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lang w:eastAsia="zh-CN"/>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lang w:eastAsia="zh-CN"/>
          <w14:textFill>
            <w14:solidFill>
              <w14:schemeClr w14:val="tx1"/>
            </w14:solidFill>
          </w14:textFill>
        </w:rPr>
        <w:t>分项报价表</w:t>
      </w:r>
    </w:p>
    <w:p w14:paraId="4A6F95C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五、</w:t>
      </w:r>
      <w:r>
        <w:rPr>
          <w:rFonts w:hint="eastAsia" w:ascii="宋体" w:hAnsi="宋体" w:eastAsia="宋体" w:cs="宋体"/>
          <w:b/>
          <w:color w:val="000000" w:themeColor="text1"/>
          <w:sz w:val="28"/>
          <w:szCs w:val="28"/>
          <w:lang w:eastAsia="zh-CN"/>
          <w14:textFill>
            <w14:solidFill>
              <w14:schemeClr w14:val="tx1"/>
            </w14:solidFill>
          </w14:textFill>
        </w:rPr>
        <w:t>偏离表</w:t>
      </w:r>
    </w:p>
    <w:p w14:paraId="49DE0B30">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50573997">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、技术部分响应内容</w:t>
      </w:r>
    </w:p>
    <w:p w14:paraId="22523A7C">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、商务部分响应内容</w:t>
      </w:r>
    </w:p>
    <w:p w14:paraId="66DDA2DF">
      <w:pPr>
        <w:keepNext w:val="0"/>
        <w:keepLines w:val="0"/>
        <w:pageBreakBefore w:val="0"/>
        <w:widowControl w:val="0"/>
        <w:kinsoku/>
        <w:wordWrap/>
        <w:overflowPunct/>
        <w:topLinePunct w:val="0"/>
        <w:autoSpaceDE/>
        <w:autoSpaceDN/>
        <w:bidi w:val="0"/>
        <w:adjustRightInd/>
        <w:snapToGrid/>
        <w:spacing w:line="48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、其他资料</w:t>
      </w:r>
    </w:p>
    <w:p w14:paraId="1D51A844">
      <w:pPr>
        <w:pStyle w:val="16"/>
        <w:spacing w:line="360" w:lineRule="auto"/>
        <w:rPr>
          <w:rFonts w:hint="eastAsia" w:hAnsi="宋体"/>
          <w:b/>
          <w:color w:val="000000" w:themeColor="text1"/>
          <w:sz w:val="28"/>
          <w:szCs w:val="28"/>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bookmarkEnd w:id="893"/>
    <w:bookmarkEnd w:id="894"/>
    <w:bookmarkEnd w:id="895"/>
    <w:p w14:paraId="3DFFC03D">
      <w:pPr>
        <w:numPr>
          <w:ilvl w:val="0"/>
          <w:numId w:val="13"/>
        </w:numPr>
        <w:spacing w:line="360" w:lineRule="auto"/>
        <w:jc w:val="center"/>
        <w:outlineLvl w:val="1"/>
        <w:rPr>
          <w:rFonts w:hint="eastAsia" w:ascii="宋体" w:hAnsi="宋体" w:cs="宋体"/>
          <w:b/>
          <w:color w:val="000000" w:themeColor="text1"/>
          <w:sz w:val="28"/>
          <w:szCs w:val="28"/>
          <w14:textFill>
            <w14:solidFill>
              <w14:schemeClr w14:val="tx1"/>
            </w14:solidFill>
          </w14:textFill>
        </w:rPr>
      </w:pPr>
      <w:bookmarkStart w:id="897" w:name="_Toc394320941"/>
      <w:bookmarkStart w:id="898" w:name="_Toc152042596"/>
      <w:bookmarkStart w:id="899" w:name="_Toc179632827"/>
      <w:bookmarkStart w:id="900" w:name="_Toc246997115"/>
      <w:bookmarkStart w:id="901" w:name="_Toc361406472"/>
      <w:bookmarkStart w:id="902" w:name="_Toc247085890"/>
      <w:bookmarkStart w:id="903" w:name="_Toc246996372"/>
      <w:bookmarkStart w:id="904" w:name="_Toc152045807"/>
      <w:bookmarkStart w:id="905" w:name="_Toc343512414"/>
      <w:bookmarkStart w:id="906" w:name="_Toc144974875"/>
      <w:bookmarkStart w:id="907" w:name="_Toc456197116"/>
      <w:bookmarkStart w:id="908" w:name="_Toc397410506"/>
      <w:bookmarkStart w:id="909" w:name="_Toc394320935"/>
      <w:bookmarkStart w:id="910" w:name="_Toc522893843"/>
      <w:bookmarkStart w:id="911" w:name="_Toc490171582"/>
      <w:bookmarkStart w:id="912" w:name="_Toc395711854"/>
      <w:bookmarkStart w:id="913" w:name="_Toc361406466"/>
      <w:bookmarkStart w:id="914" w:name="_Toc397585273"/>
      <w:bookmarkStart w:id="915" w:name="_Toc397410693"/>
      <w:r>
        <w:rPr>
          <w:rFonts w:hint="eastAsia" w:ascii="宋体" w:hAnsi="宋体" w:cs="宋体"/>
          <w:b/>
          <w:color w:val="000000" w:themeColor="text1"/>
          <w:sz w:val="28"/>
          <w:szCs w:val="28"/>
          <w14:textFill>
            <w14:solidFill>
              <w14:schemeClr w14:val="tx1"/>
            </w14:solidFill>
          </w14:textFill>
        </w:rPr>
        <w:t>资格证明文件</w:t>
      </w:r>
    </w:p>
    <w:p w14:paraId="425CFC66">
      <w:pPr>
        <w:pStyle w:val="11"/>
        <w:numPr>
          <w:ilvl w:val="0"/>
          <w:numId w:val="0"/>
        </w:numPr>
        <w:rPr>
          <w:rFonts w:hint="eastAsia"/>
          <w:color w:val="000000" w:themeColor="text1"/>
          <w14:textFill>
            <w14:solidFill>
              <w14:schemeClr w14:val="tx1"/>
            </w14:solidFill>
          </w14:textFill>
        </w:rPr>
      </w:pPr>
    </w:p>
    <w:bookmarkEnd w:id="897"/>
    <w:bookmarkEnd w:id="898"/>
    <w:bookmarkEnd w:id="899"/>
    <w:bookmarkEnd w:id="900"/>
    <w:bookmarkEnd w:id="901"/>
    <w:bookmarkEnd w:id="902"/>
    <w:bookmarkEnd w:id="903"/>
    <w:bookmarkEnd w:id="904"/>
    <w:bookmarkEnd w:id="905"/>
    <w:bookmarkEnd w:id="906"/>
    <w:p w14:paraId="6956CB8E">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（1）基本资格条件：</w:t>
      </w:r>
    </w:p>
    <w:p w14:paraId="0B1B3A79">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符合《中华人民共和国政府采购法》第二十二条的规定；</w:t>
      </w:r>
    </w:p>
    <w:p w14:paraId="559D650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（2）特定资格条件：</w:t>
      </w:r>
    </w:p>
    <w:p w14:paraId="2439F84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1.具有独立承担民事责任能力的法人、其他组织或自然人，并出具合法有效的营业执照或事业单位法人证书等国家规定的相关证明，自然人参与的提供其身份证明；</w:t>
      </w:r>
    </w:p>
    <w:p w14:paraId="6AC8143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2</w:t>
      </w:r>
      <w:r>
        <w:rPr>
          <w:rFonts w:hint="eastAsia" w:ascii="宋体" w:hAnsi="宋体" w:eastAsia="宋体" w:cs="宋体"/>
          <w:bCs/>
          <w:color w:val="000000" w:themeColor="text1"/>
          <w:sz w:val="24"/>
          <w:szCs w:val="24"/>
          <w:lang w:val="en-US" w:eastAsia="zh-CN"/>
          <w14:textFill>
            <w14:solidFill>
              <w14:schemeClr w14:val="tx1"/>
            </w14:solidFill>
          </w14:textFill>
        </w:rPr>
        <w:t>.法定代表人授权委托书及被授权人身份证（法定代表人直接参加时，只须出示法定代表人身份证)；</w:t>
      </w:r>
    </w:p>
    <w:p w14:paraId="78E20D4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3</w:t>
      </w:r>
      <w:r>
        <w:rPr>
          <w:rFonts w:hint="eastAsia" w:ascii="宋体" w:hAnsi="宋体" w:eastAsia="宋体" w:cs="宋体"/>
          <w:bCs/>
          <w:color w:val="000000" w:themeColor="text1"/>
          <w:sz w:val="24"/>
          <w:szCs w:val="24"/>
          <w:lang w:val="en-US" w:eastAsia="zh-CN"/>
          <w14:textFill>
            <w14:solidFill>
              <w14:schemeClr w14:val="tx1"/>
            </w14:solidFill>
          </w14:textFill>
        </w:rPr>
        <w:t>.提供参加政府采购活动前3年内经营活动中没有重大违法记录声明；</w:t>
      </w:r>
    </w:p>
    <w:p w14:paraId="3A7DFA5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.税收缴纳证明：自202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月1日以来已缴纳的至少一个月的纳税证明或完税证明，纳税证明或完税证明上应有代收机构或税务机关的公章。依法免税的供应商应提供相关文件证明；</w:t>
      </w:r>
    </w:p>
    <w:p w14:paraId="508E199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.社会保障资金缴纳证明：自202</w:t>
      </w: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年</w:t>
      </w:r>
      <w:r>
        <w:rPr>
          <w:rFonts w:hint="eastAsia" w:ascii="宋体" w:hAnsi="宋体" w:cs="宋体"/>
          <w:bCs/>
          <w:color w:val="000000" w:themeColor="text1"/>
          <w:sz w:val="24"/>
          <w:szCs w:val="24"/>
          <w:lang w:val="en-US" w:eastAsia="zh-CN"/>
          <w14:textFill>
            <w14:solidFill>
              <w14:schemeClr w14:val="tx1"/>
            </w14:solidFill>
          </w14:textFill>
        </w:rPr>
        <w:t>1</w:t>
      </w:r>
      <w:r>
        <w:rPr>
          <w:rFonts w:hint="eastAsia" w:ascii="宋体" w:hAnsi="宋体" w:eastAsia="宋体" w:cs="宋体"/>
          <w:bCs/>
          <w:color w:val="000000" w:themeColor="text1"/>
          <w:sz w:val="24"/>
          <w:szCs w:val="24"/>
          <w:lang w:val="en-US" w:eastAsia="zh-CN"/>
          <w14:textFill>
            <w14:solidFill>
              <w14:schemeClr w14:val="tx1"/>
            </w14:solidFill>
          </w14:textFill>
        </w:rPr>
        <w:t>月1日以来已缴存的至少一个月的社会保障资金缴存单据或社保机构开具的社会保险参保缴费情况证明，依法不需要缴纳社会保障资金的供应商应提供相关文件证明；</w:t>
      </w:r>
    </w:p>
    <w:p w14:paraId="2F418DF3">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6</w:t>
      </w:r>
      <w:r>
        <w:rPr>
          <w:rFonts w:hint="eastAsia" w:ascii="宋体" w:hAnsi="宋体" w:eastAsia="宋体" w:cs="宋体"/>
          <w:bCs/>
          <w:color w:val="000000" w:themeColor="text1"/>
          <w:sz w:val="24"/>
          <w:szCs w:val="24"/>
          <w:lang w:val="en-US" w:eastAsia="zh-CN"/>
          <w14:textFill>
            <w14:solidFill>
              <w14:schemeClr w14:val="tx1"/>
            </w14:solidFill>
          </w14:textFill>
        </w:rPr>
        <w:t>.财务状况报告：提供202</w:t>
      </w:r>
      <w:r>
        <w:rPr>
          <w:rFonts w:hint="eastAsia" w:ascii="宋体" w:hAnsi="宋体" w:cs="宋体"/>
          <w:bCs/>
          <w:color w:val="000000" w:themeColor="text1"/>
          <w:sz w:val="24"/>
          <w:szCs w:val="24"/>
          <w:lang w:val="en-US" w:eastAsia="zh-CN"/>
          <w14:textFill>
            <w14:solidFill>
              <w14:schemeClr w14:val="tx1"/>
            </w14:solidFill>
          </w14:textFill>
        </w:rPr>
        <w:t>4</w:t>
      </w:r>
      <w:r>
        <w:rPr>
          <w:rFonts w:hint="eastAsia" w:ascii="宋体" w:hAnsi="宋体" w:eastAsia="宋体" w:cs="宋体"/>
          <w:bCs/>
          <w:color w:val="000000" w:themeColor="text1"/>
          <w:sz w:val="24"/>
          <w:szCs w:val="24"/>
          <w:lang w:val="en-US" w:eastAsia="zh-CN"/>
          <w14:textFill>
            <w14:solidFill>
              <w14:schemeClr w14:val="tx1"/>
            </w14:solidFill>
          </w14:textFill>
        </w:rPr>
        <w:t>或202</w:t>
      </w:r>
      <w:r>
        <w:rPr>
          <w:rFonts w:hint="eastAsia" w:ascii="宋体" w:hAnsi="宋体" w:cs="宋体"/>
          <w:bCs/>
          <w:color w:val="000000" w:themeColor="text1"/>
          <w:sz w:val="24"/>
          <w:szCs w:val="24"/>
          <w:lang w:val="en-US" w:eastAsia="zh-CN"/>
          <w14:textFill>
            <w14:solidFill>
              <w14:schemeClr w14:val="tx1"/>
            </w14:solidFill>
          </w14:textFill>
        </w:rPr>
        <w:t>5</w:t>
      </w:r>
      <w:r>
        <w:rPr>
          <w:rFonts w:hint="eastAsia" w:ascii="宋体" w:hAnsi="宋体" w:eastAsia="宋体" w:cs="宋体"/>
          <w:bCs/>
          <w:color w:val="000000" w:themeColor="text1"/>
          <w:sz w:val="24"/>
          <w:szCs w:val="24"/>
          <w:lang w:val="en-US" w:eastAsia="zh-CN"/>
          <w14:textFill>
            <w14:solidFill>
              <w14:schemeClr w14:val="tx1"/>
            </w14:solidFill>
          </w14:textFill>
        </w:rPr>
        <w:t>年度经审计的财务报告（至少包括审计报告、资产负债表和利润表，成立时间至提交投标文件截止时间不足一年的可提供成立后任意时段的资产负债表）或其开标前三个月内基本存款账户开户银行出具的资信证明及基本存款账户开户证明；</w:t>
      </w:r>
    </w:p>
    <w:p w14:paraId="73F25ED7">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7</w:t>
      </w:r>
      <w:r>
        <w:rPr>
          <w:rFonts w:hint="eastAsia" w:ascii="宋体" w:hAnsi="宋体" w:eastAsia="宋体" w:cs="宋体"/>
          <w:bCs/>
          <w:color w:val="000000" w:themeColor="text1"/>
          <w:sz w:val="24"/>
          <w:szCs w:val="24"/>
          <w:lang w:val="en-US" w:eastAsia="zh-CN"/>
          <w14:textFill>
            <w14:solidFill>
              <w14:schemeClr w14:val="tx1"/>
            </w14:solidFill>
          </w14:textFill>
        </w:rPr>
        <w:t>.根据财政部《关于在政府采购活动中查询及使用信用记录有关问题的通知》（财库〔2016〕125号）要求，供应商不得被列入【信用中国（https://www.creditchina.gov.cn/xinxigongshi/）】“重大税收违法失信主体名单”，【中国执行信息公开网（https://zxgk.court.gov.cn/）】“失信被执行人”，【中国政府采购网（www.ccgp.gov.cn）】“政府采购严重违法失信行为记录名单”；</w:t>
      </w:r>
    </w:p>
    <w:p w14:paraId="1A8BD0B8">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cs="宋体"/>
          <w:bCs/>
          <w:color w:val="000000" w:themeColor="text1"/>
          <w:sz w:val="24"/>
          <w:szCs w:val="24"/>
          <w:lang w:val="en-US" w:eastAsia="zh-CN"/>
          <w14:textFill>
            <w14:solidFill>
              <w14:schemeClr w14:val="tx1"/>
            </w14:solidFill>
          </w14:textFill>
        </w:rPr>
        <w:t>8</w:t>
      </w: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.提供投标保证金的银行转账或电汇凭证并确保投标文件递交截止时间前到达采购文件指定账户； </w:t>
      </w:r>
    </w:p>
    <w:p w14:paraId="469F67FD">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cs="宋体"/>
          <w:bCs/>
          <w:color w:val="000000" w:themeColor="text1"/>
          <w:sz w:val="24"/>
          <w:szCs w:val="24"/>
          <w:lang w:val="en-US" w:eastAsia="zh-CN"/>
          <w14:textFill>
            <w14:solidFill>
              <w14:schemeClr w14:val="tx1"/>
            </w14:solidFill>
          </w14:textFill>
        </w:rPr>
        <w:t>9</w:t>
      </w: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p w14:paraId="1CD1D555">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1</w:t>
      </w:r>
    </w:p>
    <w:tbl>
      <w:tblPr>
        <w:tblStyle w:val="35"/>
        <w:tblpPr w:leftFromText="180" w:rightFromText="180" w:vertAnchor="text" w:horzAnchor="page" w:tblpX="1187" w:tblpY="109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4C9D6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9200" w:type="dxa"/>
            <w:gridSpan w:val="5"/>
            <w:noWrap w:val="0"/>
            <w:vAlign w:val="top"/>
          </w:tcPr>
          <w:p w14:paraId="3022977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致：陕西宸永项目管理有限公司</w:t>
            </w:r>
          </w:p>
        </w:tc>
      </w:tr>
      <w:tr w14:paraId="41E47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restart"/>
            <w:noWrap w:val="0"/>
            <w:vAlign w:val="center"/>
          </w:tcPr>
          <w:p w14:paraId="2E77A54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w:t>
            </w:r>
          </w:p>
          <w:p w14:paraId="000893F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业</w:t>
            </w:r>
          </w:p>
          <w:p w14:paraId="729FD871">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w:t>
            </w:r>
          </w:p>
          <w:p w14:paraId="4846DD4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45172E2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企业名称</w:t>
            </w:r>
          </w:p>
        </w:tc>
        <w:tc>
          <w:tcPr>
            <w:tcW w:w="6140" w:type="dxa"/>
            <w:gridSpan w:val="3"/>
            <w:noWrap w:val="0"/>
            <w:vAlign w:val="top"/>
          </w:tcPr>
          <w:p w14:paraId="44A417A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F4D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820" w:type="dxa"/>
            <w:vMerge w:val="continue"/>
            <w:noWrap w:val="0"/>
            <w:vAlign w:val="top"/>
          </w:tcPr>
          <w:p w14:paraId="3A7F5F2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2EBE9CE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法定地址</w:t>
            </w:r>
          </w:p>
        </w:tc>
        <w:tc>
          <w:tcPr>
            <w:tcW w:w="6140" w:type="dxa"/>
            <w:gridSpan w:val="3"/>
            <w:noWrap w:val="0"/>
            <w:vAlign w:val="top"/>
          </w:tcPr>
          <w:p w14:paraId="5DA6396D">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62964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1B028951">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73ACC7F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邮政编码</w:t>
            </w:r>
          </w:p>
        </w:tc>
        <w:tc>
          <w:tcPr>
            <w:tcW w:w="6140" w:type="dxa"/>
            <w:gridSpan w:val="3"/>
            <w:noWrap w:val="0"/>
            <w:vAlign w:val="top"/>
          </w:tcPr>
          <w:p w14:paraId="763788F6">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41B02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641E6B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03B24026">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网    址</w:t>
            </w:r>
          </w:p>
        </w:tc>
        <w:tc>
          <w:tcPr>
            <w:tcW w:w="6140" w:type="dxa"/>
            <w:gridSpan w:val="3"/>
            <w:noWrap w:val="0"/>
            <w:vAlign w:val="top"/>
          </w:tcPr>
          <w:p w14:paraId="43689A79">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58B1F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820" w:type="dxa"/>
            <w:vMerge w:val="continue"/>
            <w:noWrap w:val="0"/>
            <w:vAlign w:val="top"/>
          </w:tcPr>
          <w:p w14:paraId="2CDCFA10">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2B3B1D31">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工商登记机关</w:t>
            </w:r>
          </w:p>
        </w:tc>
        <w:tc>
          <w:tcPr>
            <w:tcW w:w="6140" w:type="dxa"/>
            <w:gridSpan w:val="3"/>
            <w:noWrap w:val="0"/>
            <w:vAlign w:val="top"/>
          </w:tcPr>
          <w:p w14:paraId="1140E3EA">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0F47D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820" w:type="dxa"/>
            <w:vMerge w:val="continue"/>
            <w:noWrap w:val="0"/>
            <w:vAlign w:val="top"/>
          </w:tcPr>
          <w:p w14:paraId="377782CC">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16F647DF">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税务登记机关</w:t>
            </w:r>
          </w:p>
        </w:tc>
        <w:tc>
          <w:tcPr>
            <w:tcW w:w="6140" w:type="dxa"/>
            <w:gridSpan w:val="3"/>
            <w:noWrap w:val="0"/>
            <w:vAlign w:val="top"/>
          </w:tcPr>
          <w:p w14:paraId="7D48A2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0F7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trPr>
        <w:tc>
          <w:tcPr>
            <w:tcW w:w="820" w:type="dxa"/>
            <w:vMerge w:val="continue"/>
            <w:noWrap w:val="0"/>
            <w:vAlign w:val="top"/>
          </w:tcPr>
          <w:p w14:paraId="700742F7">
            <w:pPr>
              <w:rPr>
                <w:rFonts w:hint="eastAsia" w:ascii="宋体" w:hAnsi="宋体" w:eastAsia="宋体" w:cs="宋体"/>
                <w:color w:val="000000" w:themeColor="text1"/>
                <w:sz w:val="24"/>
                <w14:textFill>
                  <w14:solidFill>
                    <w14:schemeClr w14:val="tx1"/>
                  </w14:solidFill>
                </w14:textFill>
              </w:rPr>
            </w:pPr>
          </w:p>
        </w:tc>
        <w:tc>
          <w:tcPr>
            <w:tcW w:w="2240" w:type="dxa"/>
            <w:noWrap w:val="0"/>
            <w:vAlign w:val="top"/>
          </w:tcPr>
          <w:p w14:paraId="35CFE6AF">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机构代码证号（统一社会信用代码）</w:t>
            </w:r>
          </w:p>
        </w:tc>
        <w:tc>
          <w:tcPr>
            <w:tcW w:w="6140" w:type="dxa"/>
            <w:gridSpan w:val="3"/>
            <w:noWrap w:val="0"/>
            <w:vAlign w:val="top"/>
          </w:tcPr>
          <w:p w14:paraId="33D32907">
            <w:pPr>
              <w:tabs>
                <w:tab w:val="left" w:pos="1260"/>
              </w:tabs>
              <w:spacing w:line="440" w:lineRule="exact"/>
              <w:rPr>
                <w:rFonts w:hint="eastAsia" w:ascii="宋体" w:hAnsi="宋体" w:eastAsia="宋体" w:cs="宋体"/>
                <w:bCs/>
                <w:color w:val="000000" w:themeColor="text1"/>
                <w:sz w:val="24"/>
                <w14:textFill>
                  <w14:solidFill>
                    <w14:schemeClr w14:val="tx1"/>
                  </w14:solidFill>
                </w14:textFill>
              </w:rPr>
            </w:pPr>
          </w:p>
        </w:tc>
      </w:tr>
      <w:tr w14:paraId="18639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820" w:type="dxa"/>
            <w:vMerge w:val="restart"/>
            <w:noWrap w:val="0"/>
            <w:vAlign w:val="center"/>
          </w:tcPr>
          <w:p w14:paraId="6D278963">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  定</w:t>
            </w:r>
          </w:p>
          <w:p w14:paraId="6967B100">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代</w:t>
            </w:r>
          </w:p>
          <w:p w14:paraId="6746651E">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表</w:t>
            </w:r>
          </w:p>
          <w:p w14:paraId="332E7DCA">
            <w:pPr>
              <w:tabs>
                <w:tab w:val="left" w:pos="1260"/>
              </w:tabs>
              <w:spacing w:line="440" w:lineRule="exact"/>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人</w:t>
            </w:r>
          </w:p>
        </w:tc>
        <w:tc>
          <w:tcPr>
            <w:tcW w:w="2240" w:type="dxa"/>
            <w:noWrap w:val="0"/>
            <w:vAlign w:val="center"/>
          </w:tcPr>
          <w:p w14:paraId="28E24122">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姓    名</w:t>
            </w:r>
          </w:p>
        </w:tc>
        <w:tc>
          <w:tcPr>
            <w:tcW w:w="2950" w:type="dxa"/>
            <w:noWrap w:val="0"/>
            <w:vAlign w:val="center"/>
          </w:tcPr>
          <w:p w14:paraId="58650F53">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53044B17">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性  别</w:t>
            </w:r>
          </w:p>
        </w:tc>
        <w:tc>
          <w:tcPr>
            <w:tcW w:w="2151" w:type="dxa"/>
            <w:noWrap w:val="0"/>
            <w:vAlign w:val="top"/>
          </w:tcPr>
          <w:p w14:paraId="5DBC8508">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249D5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820" w:type="dxa"/>
            <w:vMerge w:val="continue"/>
            <w:noWrap w:val="0"/>
            <w:vAlign w:val="top"/>
          </w:tcPr>
          <w:p w14:paraId="205FC1EE">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52A4AB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职    务</w:t>
            </w:r>
          </w:p>
        </w:tc>
        <w:tc>
          <w:tcPr>
            <w:tcW w:w="2950" w:type="dxa"/>
            <w:noWrap w:val="0"/>
            <w:vAlign w:val="top"/>
          </w:tcPr>
          <w:p w14:paraId="61CC14DE">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c>
          <w:tcPr>
            <w:tcW w:w="1039" w:type="dxa"/>
            <w:noWrap w:val="0"/>
            <w:vAlign w:val="center"/>
          </w:tcPr>
          <w:p w14:paraId="3E8CDBD8">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联系</w:t>
            </w:r>
          </w:p>
          <w:p w14:paraId="4DF2BB8B">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电话</w:t>
            </w:r>
          </w:p>
        </w:tc>
        <w:tc>
          <w:tcPr>
            <w:tcW w:w="2151" w:type="dxa"/>
            <w:noWrap w:val="0"/>
            <w:vAlign w:val="top"/>
          </w:tcPr>
          <w:p w14:paraId="0300AEA0">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741FC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20" w:type="dxa"/>
            <w:vMerge w:val="continue"/>
            <w:noWrap w:val="0"/>
            <w:vAlign w:val="top"/>
          </w:tcPr>
          <w:p w14:paraId="7A37C299">
            <w:pPr>
              <w:rPr>
                <w:rFonts w:hint="eastAsia" w:ascii="宋体" w:hAnsi="宋体" w:eastAsia="宋体" w:cs="宋体"/>
                <w:color w:val="000000" w:themeColor="text1"/>
                <w:sz w:val="24"/>
                <w14:textFill>
                  <w14:solidFill>
                    <w14:schemeClr w14:val="tx1"/>
                  </w14:solidFill>
                </w14:textFill>
              </w:rPr>
            </w:pPr>
          </w:p>
        </w:tc>
        <w:tc>
          <w:tcPr>
            <w:tcW w:w="2240" w:type="dxa"/>
            <w:noWrap w:val="0"/>
            <w:vAlign w:val="center"/>
          </w:tcPr>
          <w:p w14:paraId="61399804">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传    真</w:t>
            </w:r>
          </w:p>
        </w:tc>
        <w:tc>
          <w:tcPr>
            <w:tcW w:w="6140" w:type="dxa"/>
            <w:gridSpan w:val="3"/>
            <w:noWrap w:val="0"/>
            <w:vAlign w:val="top"/>
          </w:tcPr>
          <w:p w14:paraId="1FF69759">
            <w:pPr>
              <w:tabs>
                <w:tab w:val="left" w:pos="1260"/>
              </w:tabs>
              <w:spacing w:line="440" w:lineRule="exact"/>
              <w:rPr>
                <w:rFonts w:hint="eastAsia" w:ascii="宋体" w:hAnsi="宋体" w:eastAsia="宋体" w:cs="宋体"/>
                <w:color w:val="000000" w:themeColor="text1"/>
                <w:sz w:val="24"/>
                <w14:textFill>
                  <w14:solidFill>
                    <w14:schemeClr w14:val="tx1"/>
                  </w14:solidFill>
                </w14:textFill>
              </w:rPr>
            </w:pPr>
          </w:p>
        </w:tc>
      </w:tr>
      <w:tr w14:paraId="60233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trPr>
        <w:tc>
          <w:tcPr>
            <w:tcW w:w="820" w:type="dxa"/>
            <w:vMerge w:val="restart"/>
            <w:noWrap w:val="0"/>
            <w:vAlign w:val="center"/>
          </w:tcPr>
          <w:p w14:paraId="6A95BE3A">
            <w:pPr>
              <w:tabs>
                <w:tab w:val="left" w:pos="1260"/>
              </w:tabs>
              <w:spacing w:line="30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法定代表人身份证复印件</w:t>
            </w:r>
          </w:p>
        </w:tc>
        <w:tc>
          <w:tcPr>
            <w:tcW w:w="5190" w:type="dxa"/>
            <w:gridSpan w:val="2"/>
            <w:vMerge w:val="restart"/>
            <w:noWrap w:val="0"/>
            <w:vAlign w:val="center"/>
          </w:tcPr>
          <w:p w14:paraId="034298DD">
            <w:pPr>
              <w:tabs>
                <w:tab w:val="left" w:pos="1260"/>
              </w:tabs>
              <w:jc w:val="center"/>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（正反面粘贴处）</w:t>
            </w:r>
          </w:p>
        </w:tc>
        <w:tc>
          <w:tcPr>
            <w:tcW w:w="3190" w:type="dxa"/>
            <w:gridSpan w:val="2"/>
            <w:noWrap w:val="0"/>
            <w:vAlign w:val="center"/>
          </w:tcPr>
          <w:p w14:paraId="6CFB129A">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p>
        </w:tc>
      </w:tr>
      <w:tr w14:paraId="1809F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3" w:hRule="atLeast"/>
        </w:trPr>
        <w:tc>
          <w:tcPr>
            <w:tcW w:w="820" w:type="dxa"/>
            <w:vMerge w:val="continue"/>
            <w:noWrap w:val="0"/>
            <w:vAlign w:val="top"/>
          </w:tcPr>
          <w:p w14:paraId="6C0D5A92">
            <w:pPr>
              <w:rPr>
                <w:rFonts w:hint="eastAsia" w:ascii="宋体" w:hAnsi="宋体" w:eastAsia="宋体" w:cs="宋体"/>
                <w:color w:val="000000" w:themeColor="text1"/>
                <w:sz w:val="24"/>
                <w14:textFill>
                  <w14:solidFill>
                    <w14:schemeClr w14:val="tx1"/>
                  </w14:solidFill>
                </w14:textFill>
              </w:rPr>
            </w:pPr>
          </w:p>
        </w:tc>
        <w:tc>
          <w:tcPr>
            <w:tcW w:w="5190" w:type="dxa"/>
            <w:gridSpan w:val="2"/>
            <w:vMerge w:val="continue"/>
            <w:noWrap w:val="0"/>
            <w:vAlign w:val="top"/>
          </w:tcPr>
          <w:p w14:paraId="47D8DB77">
            <w:pPr>
              <w:rPr>
                <w:rFonts w:hint="eastAsia" w:ascii="宋体" w:hAnsi="宋体" w:eastAsia="宋体" w:cs="宋体"/>
                <w:color w:val="000000" w:themeColor="text1"/>
                <w:sz w:val="24"/>
                <w14:textFill>
                  <w14:solidFill>
                    <w14:schemeClr w14:val="tx1"/>
                  </w14:solidFill>
                </w14:textFill>
              </w:rPr>
            </w:pPr>
          </w:p>
        </w:tc>
        <w:tc>
          <w:tcPr>
            <w:tcW w:w="3190" w:type="dxa"/>
            <w:gridSpan w:val="2"/>
            <w:noWrap w:val="0"/>
            <w:vAlign w:val="center"/>
          </w:tcPr>
          <w:p w14:paraId="5798C78C">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6B60E795">
            <w:pPr>
              <w:tabs>
                <w:tab w:val="left" w:pos="1260"/>
              </w:tabs>
              <w:spacing w:line="440" w:lineRule="exact"/>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（企业公章）</w:t>
            </w:r>
          </w:p>
          <w:p w14:paraId="77647AFF">
            <w:pPr>
              <w:tabs>
                <w:tab w:val="left" w:pos="1260"/>
              </w:tabs>
              <w:spacing w:line="440" w:lineRule="exact"/>
              <w:ind w:firstLine="459"/>
              <w:jc w:val="center"/>
              <w:rPr>
                <w:rFonts w:hint="eastAsia" w:ascii="宋体" w:hAnsi="宋体" w:eastAsia="宋体" w:cs="宋体"/>
                <w:color w:val="000000" w:themeColor="text1"/>
                <w:sz w:val="24"/>
                <w14:textFill>
                  <w14:solidFill>
                    <w14:schemeClr w14:val="tx1"/>
                  </w14:solidFill>
                </w14:textFill>
              </w:rPr>
            </w:pPr>
          </w:p>
          <w:p w14:paraId="2358C5E6">
            <w:pPr>
              <w:tabs>
                <w:tab w:val="left" w:pos="1260"/>
              </w:tabs>
              <w:spacing w:line="440" w:lineRule="exact"/>
              <w:ind w:right="280" w:firstLine="459"/>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年   月   日</w:t>
            </w:r>
          </w:p>
        </w:tc>
      </w:tr>
    </w:tbl>
    <w:p w14:paraId="4B6E2C99">
      <w:pPr>
        <w:jc w:val="center"/>
        <w:rPr>
          <w:rFonts w:hint="eastAsia" w:ascii="宋体" w:hAnsi="宋体" w:cs="宋体"/>
          <w:b/>
          <w:bCs/>
          <w:color w:val="000000" w:themeColor="text1"/>
          <w:sz w:val="28"/>
          <w:szCs w:val="36"/>
          <w14:textFill>
            <w14:solidFill>
              <w14:schemeClr w14:val="tx1"/>
            </w14:solidFill>
          </w14:textFill>
        </w:rPr>
      </w:pPr>
      <w:r>
        <w:rPr>
          <w:rFonts w:hint="eastAsia" w:ascii="宋体" w:hAnsi="宋体" w:cs="宋体"/>
          <w:b/>
          <w:bCs/>
          <w:color w:val="000000" w:themeColor="text1"/>
          <w:sz w:val="28"/>
          <w:szCs w:val="36"/>
          <w14:textFill>
            <w14:solidFill>
              <w14:schemeClr w14:val="tx1"/>
            </w14:solidFill>
          </w14:textFill>
        </w:rPr>
        <w:t>法定代表人身份证明书</w:t>
      </w:r>
    </w:p>
    <w:p w14:paraId="7826B506">
      <w:pPr>
        <w:widowControl/>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1030868C">
      <w:pPr>
        <w:widowControl/>
        <w:spacing w:line="360" w:lineRule="auto"/>
        <w:jc w:val="cente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t>法定代表人授权委托书</w:t>
      </w:r>
    </w:p>
    <w:tbl>
      <w:tblPr>
        <w:tblStyle w:val="35"/>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4264F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9460" w:type="dxa"/>
            <w:gridSpan w:val="7"/>
            <w:noWrap w:val="0"/>
            <w:vAlign w:val="center"/>
          </w:tcPr>
          <w:p w14:paraId="673F94FE">
            <w:pPr>
              <w:tabs>
                <w:tab w:val="left" w:pos="1260"/>
              </w:tabs>
              <w:spacing w:line="360" w:lineRule="auto"/>
              <w:ind w:firstLine="134" w:firstLineChars="56"/>
              <w:rPr>
                <w:rFonts w:hint="eastAsia"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lang w:eastAsia="zh-CN"/>
                <w14:textFill>
                  <w14:solidFill>
                    <w14:schemeClr w14:val="tx1"/>
                  </w14:solidFill>
                </w14:textFill>
              </w:rPr>
              <w:t>陕西宸永项目管理有限公司</w:t>
            </w:r>
          </w:p>
        </w:tc>
      </w:tr>
      <w:tr w14:paraId="6AA4B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7191747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w:t>
            </w:r>
          </w:p>
        </w:tc>
        <w:tc>
          <w:tcPr>
            <w:tcW w:w="2155" w:type="dxa"/>
            <w:gridSpan w:val="2"/>
            <w:noWrap w:val="0"/>
            <w:vAlign w:val="center"/>
          </w:tcPr>
          <w:p w14:paraId="2A7DD5BE">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姓    名</w:t>
            </w:r>
          </w:p>
        </w:tc>
        <w:tc>
          <w:tcPr>
            <w:tcW w:w="1960" w:type="dxa"/>
            <w:gridSpan w:val="2"/>
            <w:noWrap w:val="0"/>
            <w:vAlign w:val="top"/>
          </w:tcPr>
          <w:p w14:paraId="34D21FD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3B08F79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性    别</w:t>
            </w:r>
          </w:p>
        </w:tc>
        <w:tc>
          <w:tcPr>
            <w:tcW w:w="2370" w:type="dxa"/>
            <w:noWrap w:val="0"/>
            <w:vAlign w:val="top"/>
          </w:tcPr>
          <w:p w14:paraId="4F3A9011">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559B9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F4D26C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1C67A27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职    务</w:t>
            </w:r>
          </w:p>
        </w:tc>
        <w:tc>
          <w:tcPr>
            <w:tcW w:w="1960" w:type="dxa"/>
            <w:gridSpan w:val="2"/>
            <w:noWrap w:val="0"/>
            <w:vAlign w:val="top"/>
          </w:tcPr>
          <w:p w14:paraId="44C053F4">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82A0BAA">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手机号码</w:t>
            </w:r>
          </w:p>
        </w:tc>
        <w:tc>
          <w:tcPr>
            <w:tcW w:w="2370" w:type="dxa"/>
            <w:noWrap w:val="0"/>
            <w:vAlign w:val="top"/>
          </w:tcPr>
          <w:p w14:paraId="1FEF970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17D5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52F87E6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22D5EEE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联系电话</w:t>
            </w:r>
          </w:p>
        </w:tc>
        <w:tc>
          <w:tcPr>
            <w:tcW w:w="1960" w:type="dxa"/>
            <w:gridSpan w:val="2"/>
            <w:noWrap w:val="0"/>
            <w:vAlign w:val="top"/>
          </w:tcPr>
          <w:p w14:paraId="2BDE4CA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6" w:type="dxa"/>
            <w:noWrap w:val="0"/>
            <w:vAlign w:val="top"/>
          </w:tcPr>
          <w:p w14:paraId="6D39E216">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图文传真</w:t>
            </w:r>
          </w:p>
        </w:tc>
        <w:tc>
          <w:tcPr>
            <w:tcW w:w="2370" w:type="dxa"/>
            <w:noWrap w:val="0"/>
            <w:vAlign w:val="top"/>
          </w:tcPr>
          <w:p w14:paraId="1F0AB3C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19F7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1EFFBC9C">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3082BBC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通讯地址</w:t>
            </w:r>
          </w:p>
        </w:tc>
        <w:tc>
          <w:tcPr>
            <w:tcW w:w="6486" w:type="dxa"/>
            <w:gridSpan w:val="4"/>
            <w:noWrap w:val="0"/>
            <w:vAlign w:val="top"/>
          </w:tcPr>
          <w:p w14:paraId="65239A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70189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7AC899A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55" w:type="dxa"/>
            <w:gridSpan w:val="2"/>
            <w:noWrap w:val="0"/>
            <w:vAlign w:val="center"/>
          </w:tcPr>
          <w:p w14:paraId="4F223F4D">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网    址</w:t>
            </w:r>
          </w:p>
        </w:tc>
        <w:tc>
          <w:tcPr>
            <w:tcW w:w="6486" w:type="dxa"/>
            <w:gridSpan w:val="4"/>
            <w:noWrap w:val="0"/>
            <w:vAlign w:val="top"/>
          </w:tcPr>
          <w:p w14:paraId="1459DB1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B1C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309464F3">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被授权项目与内容</w:t>
            </w:r>
          </w:p>
        </w:tc>
        <w:tc>
          <w:tcPr>
            <w:tcW w:w="2145" w:type="dxa"/>
            <w:noWrap w:val="0"/>
            <w:vAlign w:val="center"/>
          </w:tcPr>
          <w:p w14:paraId="7CB94DA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项目名称</w:t>
            </w:r>
          </w:p>
        </w:tc>
        <w:tc>
          <w:tcPr>
            <w:tcW w:w="6496" w:type="dxa"/>
            <w:gridSpan w:val="5"/>
            <w:noWrap w:val="0"/>
            <w:vAlign w:val="top"/>
          </w:tcPr>
          <w:p w14:paraId="53C005D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03042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B04EE2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7D4038E0">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文件编号</w:t>
            </w:r>
          </w:p>
        </w:tc>
        <w:tc>
          <w:tcPr>
            <w:tcW w:w="6496" w:type="dxa"/>
            <w:gridSpan w:val="5"/>
            <w:noWrap w:val="0"/>
            <w:vAlign w:val="top"/>
          </w:tcPr>
          <w:p w14:paraId="6CD0BFF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r>
      <w:tr w14:paraId="3BA63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21" w:hRule="atLeast"/>
          <w:jc w:val="center"/>
        </w:trPr>
        <w:tc>
          <w:tcPr>
            <w:tcW w:w="819" w:type="dxa"/>
            <w:vMerge w:val="continue"/>
            <w:noWrap w:val="0"/>
            <w:vAlign w:val="center"/>
          </w:tcPr>
          <w:p w14:paraId="75C07F37">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40A598D9">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授权范围</w:t>
            </w:r>
          </w:p>
        </w:tc>
        <w:tc>
          <w:tcPr>
            <w:tcW w:w="6496" w:type="dxa"/>
            <w:gridSpan w:val="5"/>
            <w:noWrap w:val="0"/>
            <w:vAlign w:val="center"/>
          </w:tcPr>
          <w:p w14:paraId="66899EA2">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全权办理本采购项目的</w:t>
            </w:r>
            <w:r>
              <w:rPr>
                <w:rFonts w:hint="eastAsia" w:ascii="宋体" w:hAnsi="宋体" w:eastAsia="宋体" w:cs="宋体"/>
                <w:color w:val="000000" w:themeColor="text1"/>
                <w:sz w:val="24"/>
                <w:szCs w:val="24"/>
                <w:lang w:val="en-US" w:eastAsia="zh-CN"/>
                <w14:textFill>
                  <w14:solidFill>
                    <w14:schemeClr w14:val="tx1"/>
                  </w14:solidFill>
                </w14:textFill>
              </w:rPr>
              <w:t>投标</w:t>
            </w:r>
            <w:r>
              <w:rPr>
                <w:rFonts w:ascii="宋体" w:hAnsi="宋体" w:eastAsia="宋体" w:cs="宋体"/>
                <w:color w:val="000000" w:themeColor="text1"/>
                <w:sz w:val="24"/>
                <w:szCs w:val="24"/>
                <w14:textFill>
                  <w14:solidFill>
                    <w14:schemeClr w14:val="tx1"/>
                  </w14:solidFill>
                </w14:textFill>
              </w:rPr>
              <w:t>、联系、洽谈、签约、执行等具体事务，签署全部有关的文件、文书、协议及合同。</w:t>
            </w:r>
          </w:p>
        </w:tc>
      </w:tr>
      <w:tr w14:paraId="50977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74E0455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D9D26C5">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法律责任</w:t>
            </w:r>
          </w:p>
        </w:tc>
        <w:tc>
          <w:tcPr>
            <w:tcW w:w="6496" w:type="dxa"/>
            <w:gridSpan w:val="5"/>
            <w:noWrap w:val="0"/>
            <w:vAlign w:val="center"/>
          </w:tcPr>
          <w:p w14:paraId="4A5E31B7">
            <w:pPr>
              <w:tabs>
                <w:tab w:val="left" w:pos="1260"/>
              </w:tabs>
              <w:spacing w:line="360" w:lineRule="auto"/>
              <w:rPr>
                <w:rFonts w:ascii="宋体" w:hAnsi="宋体" w:eastAsia="宋体" w:cs="宋体"/>
                <w:color w:val="000000" w:themeColor="text1"/>
                <w:spacing w:val="-10"/>
                <w:sz w:val="24"/>
                <w:szCs w:val="24"/>
                <w14:textFill>
                  <w14:solidFill>
                    <w14:schemeClr w14:val="tx1"/>
                  </w14:solidFill>
                </w14:textFill>
              </w:rPr>
            </w:pPr>
            <w:r>
              <w:rPr>
                <w:rFonts w:ascii="宋体" w:hAnsi="宋体" w:eastAsia="宋体" w:cs="宋体"/>
                <w:color w:val="000000" w:themeColor="text1"/>
                <w:spacing w:val="-10"/>
                <w:sz w:val="24"/>
                <w:szCs w:val="24"/>
                <w14:textFill>
                  <w14:solidFill>
                    <w14:schemeClr w14:val="tx1"/>
                  </w14:solidFill>
                </w14:textFill>
              </w:rPr>
              <w:t>本公司对被授权人在本项目中的签名承担全部法律责任。</w:t>
            </w:r>
          </w:p>
        </w:tc>
      </w:tr>
      <w:tr w14:paraId="0053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43467668">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p>
        </w:tc>
        <w:tc>
          <w:tcPr>
            <w:tcW w:w="2145" w:type="dxa"/>
            <w:noWrap w:val="0"/>
            <w:vAlign w:val="center"/>
          </w:tcPr>
          <w:p w14:paraId="5115E34F">
            <w:pPr>
              <w:tabs>
                <w:tab w:val="left" w:pos="1260"/>
              </w:tabs>
              <w:spacing w:line="360" w:lineRule="auto"/>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授权期限</w:t>
            </w:r>
          </w:p>
        </w:tc>
        <w:tc>
          <w:tcPr>
            <w:tcW w:w="6496" w:type="dxa"/>
            <w:gridSpan w:val="5"/>
            <w:noWrap w:val="0"/>
            <w:vAlign w:val="center"/>
          </w:tcPr>
          <w:p w14:paraId="15F38478">
            <w:pPr>
              <w:tabs>
                <w:tab w:val="left" w:pos="1260"/>
              </w:tabs>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自本委托书签署之日起至投标有效期期满</w:t>
            </w:r>
          </w:p>
        </w:tc>
      </w:tr>
      <w:tr w14:paraId="49E5A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7" w:hRule="atLeast"/>
          <w:jc w:val="center"/>
        </w:trPr>
        <w:tc>
          <w:tcPr>
            <w:tcW w:w="4623" w:type="dxa"/>
            <w:gridSpan w:val="4"/>
            <w:noWrap w:val="0"/>
            <w:vAlign w:val="center"/>
          </w:tcPr>
          <w:p w14:paraId="22AB5B92">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法定代表人</w:t>
            </w:r>
            <w:r>
              <w:rPr>
                <w:rFonts w:ascii="宋体" w:hAnsi="宋体" w:eastAsia="宋体" w:cs="宋体"/>
                <w:color w:val="000000" w:themeColor="text1"/>
                <w:sz w:val="24"/>
                <w:szCs w:val="24"/>
                <w14:textFill>
                  <w14:solidFill>
                    <w14:schemeClr w14:val="tx1"/>
                  </w14:solidFill>
                </w14:textFill>
              </w:rPr>
              <w:t>身份证复印件</w:t>
            </w:r>
          </w:p>
          <w:p w14:paraId="76F1CE67">
            <w:pPr>
              <w:tabs>
                <w:tab w:val="left" w:pos="1260"/>
              </w:tabs>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（正反面粘贴处）</w:t>
            </w:r>
          </w:p>
        </w:tc>
        <w:tc>
          <w:tcPr>
            <w:tcW w:w="4837" w:type="dxa"/>
            <w:gridSpan w:val="3"/>
            <w:noWrap w:val="0"/>
            <w:vAlign w:val="center"/>
          </w:tcPr>
          <w:p w14:paraId="766644A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被授权人身份证复印件</w:t>
            </w:r>
          </w:p>
          <w:p w14:paraId="3A2AA121">
            <w:pPr>
              <w:tabs>
                <w:tab w:val="left" w:pos="1260"/>
              </w:tabs>
              <w:spacing w:line="360" w:lineRule="auto"/>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（正反面粘贴处）</w:t>
            </w:r>
          </w:p>
        </w:tc>
      </w:tr>
      <w:tr w14:paraId="13F6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1508E837">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法定代表人签字或盖章</w:t>
            </w:r>
            <w:r>
              <w:rPr>
                <w:rFonts w:hint="eastAsia" w:ascii="宋体" w:hAnsi="宋体" w:eastAsia="宋体" w:cs="宋体"/>
                <w:color w:val="000000" w:themeColor="text1"/>
                <w:sz w:val="24"/>
                <w:lang w:eastAsia="zh-CN"/>
                <w14:textFill>
                  <w14:solidFill>
                    <w14:schemeClr w14:val="tx1"/>
                  </w14:solidFill>
                </w14:textFill>
              </w:rPr>
              <w:t>：</w:t>
            </w:r>
          </w:p>
        </w:tc>
        <w:tc>
          <w:tcPr>
            <w:tcW w:w="4837" w:type="dxa"/>
            <w:gridSpan w:val="3"/>
            <w:noWrap w:val="0"/>
            <w:vAlign w:val="center"/>
          </w:tcPr>
          <w:p w14:paraId="6A87ACBE">
            <w:pPr>
              <w:tabs>
                <w:tab w:val="left" w:pos="1260"/>
              </w:tabs>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被授权人签字或盖章</w:t>
            </w:r>
            <w:r>
              <w:rPr>
                <w:rFonts w:hint="eastAsia" w:ascii="宋体" w:hAnsi="宋体" w:eastAsia="宋体" w:cs="宋体"/>
                <w:color w:val="000000" w:themeColor="text1"/>
                <w:sz w:val="24"/>
                <w:lang w:eastAsia="zh-CN"/>
                <w14:textFill>
                  <w14:solidFill>
                    <w14:schemeClr w14:val="tx1"/>
                  </w14:solidFill>
                </w14:textFill>
              </w:rPr>
              <w:t>：</w:t>
            </w:r>
          </w:p>
        </w:tc>
      </w:tr>
      <w:tr w14:paraId="74A86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7D182D4A">
            <w:pPr>
              <w:spacing w:line="360" w:lineRule="auto"/>
              <w:rPr>
                <w:rFonts w:hint="default"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b w:val="0"/>
                <w:bCs/>
                <w:color w:val="000000" w:themeColor="text1"/>
                <w:sz w:val="24"/>
                <w:szCs w:val="24"/>
                <w14:textFill>
                  <w14:solidFill>
                    <w14:schemeClr w14:val="tx1"/>
                  </w14:solidFill>
                </w14:textFill>
              </w:rPr>
              <w:t>投标人：</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u w:val="single"/>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（盖章）</w:t>
            </w:r>
            <w:r>
              <w:rPr>
                <w:rFonts w:hint="eastAsia" w:ascii="宋体" w:hAnsi="宋体" w:eastAsia="宋体" w:cs="宋体"/>
                <w:b w:val="0"/>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14:textFill>
                  <w14:solidFill>
                    <w14:schemeClr w14:val="tx1"/>
                  </w14:solidFill>
                </w14:textFill>
              </w:rPr>
              <w:t>日期：  年  月  日</w:t>
            </w:r>
          </w:p>
        </w:tc>
      </w:tr>
    </w:tbl>
    <w:p w14:paraId="3C3A8A13">
      <w:pPr>
        <w:spacing w:line="360" w:lineRule="auto"/>
        <w:jc w:val="left"/>
        <w:rPr>
          <w:rFonts w:hint="eastAsia" w:ascii="宋体" w:hAnsi="宋体" w:cs="宋体"/>
          <w:b/>
          <w:color w:val="000000" w:themeColor="text1"/>
          <w:sz w:val="24"/>
          <w:szCs w:val="22"/>
          <w14:textFill>
            <w14:solidFill>
              <w14:schemeClr w14:val="tx1"/>
            </w14:solidFill>
          </w14:textFill>
        </w:rPr>
      </w:pPr>
    </w:p>
    <w:p w14:paraId="3E39AAD0">
      <w:pPr>
        <w:spacing w:line="360" w:lineRule="auto"/>
        <w:jc w:val="left"/>
        <w:rPr>
          <w:rFonts w:hint="eastAsia" w:ascii="宋体" w:hAnsi="宋体" w:eastAsia="宋体" w:cs="宋体"/>
          <w:b/>
          <w:color w:val="000000" w:themeColor="text1"/>
          <w:sz w:val="24"/>
          <w:szCs w:val="22"/>
          <w:lang w:eastAsia="zh-CN"/>
          <w14:textFill>
            <w14:solidFill>
              <w14:schemeClr w14:val="tx1"/>
            </w14:solidFill>
          </w14:textFill>
        </w:rPr>
      </w:pPr>
      <w:r>
        <w:rPr>
          <w:rFonts w:hint="eastAsia" w:ascii="宋体" w:hAnsi="宋体" w:cs="宋体"/>
          <w:b/>
          <w:color w:val="000000" w:themeColor="text1"/>
          <w:sz w:val="24"/>
          <w:szCs w:val="22"/>
          <w14:textFill>
            <w14:solidFill>
              <w14:schemeClr w14:val="tx1"/>
            </w14:solidFill>
          </w14:textFill>
        </w:rPr>
        <w:t>附件</w:t>
      </w:r>
      <w:r>
        <w:rPr>
          <w:rFonts w:hint="eastAsia" w:ascii="宋体" w:hAnsi="宋体" w:cs="宋体"/>
          <w:b/>
          <w:color w:val="000000" w:themeColor="text1"/>
          <w:sz w:val="24"/>
          <w:szCs w:val="22"/>
          <w:lang w:val="en-US" w:eastAsia="zh-CN"/>
          <w14:textFill>
            <w14:solidFill>
              <w14:schemeClr w14:val="tx1"/>
            </w14:solidFill>
          </w14:textFill>
        </w:rPr>
        <w:t>3</w:t>
      </w:r>
    </w:p>
    <w:p w14:paraId="38C38674">
      <w:pPr>
        <w:pStyle w:val="33"/>
        <w:spacing w:line="360" w:lineRule="auto"/>
        <w:ind w:firstLine="440"/>
        <w:rPr>
          <w:rFonts w:hint="eastAsia" w:ascii="宋体" w:hAnsi="宋体" w:cs="宋体"/>
          <w:color w:val="000000" w:themeColor="text1"/>
          <w:sz w:val="44"/>
          <w:szCs w:val="44"/>
          <w14:textFill>
            <w14:solidFill>
              <w14:schemeClr w14:val="tx1"/>
            </w14:solidFill>
          </w14:textFill>
        </w:rPr>
      </w:pPr>
    </w:p>
    <w:p w14:paraId="60ECF7D2">
      <w:pPr>
        <w:pStyle w:val="33"/>
        <w:spacing w:line="360" w:lineRule="auto"/>
        <w:ind w:firstLine="442"/>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《中华人民共和国政府采购法》第二十二条的书面承诺函</w:t>
      </w:r>
    </w:p>
    <w:p w14:paraId="7E06FA1B">
      <w:pPr>
        <w:pStyle w:val="33"/>
        <w:spacing w:line="360" w:lineRule="auto"/>
        <w:ind w:firstLine="240"/>
        <w:rPr>
          <w:rFonts w:hint="eastAsia" w:ascii="仿宋" w:hAnsi="仿宋" w:eastAsia="仿宋" w:cs="仿宋"/>
          <w:color w:val="000000" w:themeColor="text1"/>
          <w:sz w:val="24"/>
          <w:szCs w:val="24"/>
          <w14:textFill>
            <w14:solidFill>
              <w14:schemeClr w14:val="tx1"/>
            </w14:solidFill>
          </w14:textFill>
        </w:rPr>
      </w:pPr>
    </w:p>
    <w:p w14:paraId="2EC3A10D">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1284DFFA">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我单位作为参加</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采购项目的</w:t>
      </w:r>
      <w:r>
        <w:rPr>
          <w:rFonts w:hint="eastAsia" w:cs="宋体"/>
          <w:color w:val="000000" w:themeColor="text1"/>
          <w:sz w:val="24"/>
          <w:szCs w:val="24"/>
          <w14:textFill>
            <w14:solidFill>
              <w14:schemeClr w14:val="tx1"/>
            </w14:solidFill>
          </w14:textFill>
        </w:rPr>
        <w:t>投标</w:t>
      </w:r>
      <w:r>
        <w:rPr>
          <w:rFonts w:hint="eastAsia" w:ascii="宋体" w:hAnsi="宋体" w:cs="宋体"/>
          <w:color w:val="000000" w:themeColor="text1"/>
          <w:sz w:val="24"/>
          <w:szCs w:val="24"/>
          <w14:textFill>
            <w14:solidFill>
              <w14:schemeClr w14:val="tx1"/>
            </w14:solidFill>
          </w14:textFill>
        </w:rPr>
        <w:t xml:space="preserve">单位，现郑重承诺我单位具备《中华人民共和国政府采购法》第二十二条供应商参加政府采购活动的基本资格条件： </w:t>
      </w:r>
    </w:p>
    <w:p w14:paraId="37E5265B">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（一）我单位具有独立承担民事责任的能力； </w:t>
      </w:r>
    </w:p>
    <w:p w14:paraId="7A89CF0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（二）我单位具有良好的商业信誉和健全的财务会计制度；</w:t>
      </w:r>
    </w:p>
    <w:p w14:paraId="3349EF9C">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（三）我单位具有履行合同所必需的设备和专业技术能力； </w:t>
      </w:r>
    </w:p>
    <w:p w14:paraId="50AA7000">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（四）我单位有依法缴纳税收和社会保障资金的良好记录； </w:t>
      </w:r>
    </w:p>
    <w:p w14:paraId="61050FA8">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（五）我单位参加政府采购活动前三年内，在经营活动中没有重大违法记录； </w:t>
      </w:r>
    </w:p>
    <w:p w14:paraId="29BD53C6">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（六）我单位满足法律、行政法规规定的其他条件。</w:t>
      </w:r>
    </w:p>
    <w:p w14:paraId="3E9F8DD3">
      <w:pPr>
        <w:pStyle w:val="33"/>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仿宋" w:hAnsi="仿宋" w:eastAsia="仿宋" w:cs="仿宋"/>
          <w:color w:val="000000" w:themeColor="text1"/>
          <w:sz w:val="24"/>
          <w:szCs w:val="24"/>
          <w14:textFill>
            <w14:solidFill>
              <w14:schemeClr w14:val="tx1"/>
            </w14:solidFill>
          </w14:textFill>
        </w:rPr>
      </w:pPr>
    </w:p>
    <w:p w14:paraId="10B5F824">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106FAF7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35DE8D8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622764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DB8E8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70E12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07BDDC08">
      <w:pPr>
        <w:spacing w:line="360" w:lineRule="auto"/>
        <w:ind w:firstLine="562" w:firstLineChars="200"/>
        <w:rPr>
          <w:rFonts w:hint="eastAsia" w:ascii="宋体" w:hAnsi="宋体" w:cs="宋体"/>
          <w:b/>
          <w:color w:val="000000" w:themeColor="text1"/>
          <w:sz w:val="28"/>
          <w:szCs w:val="28"/>
          <w14:textFill>
            <w14:solidFill>
              <w14:schemeClr w14:val="tx1"/>
            </w14:solidFill>
          </w14:textFill>
        </w:rPr>
      </w:pPr>
    </w:p>
    <w:p w14:paraId="0A97FC5D">
      <w:pPr>
        <w:spacing w:line="360" w:lineRule="auto"/>
        <w:jc w:val="left"/>
        <w:rPr>
          <w:rFonts w:hint="eastAsia" w:ascii="宋体" w:hAnsi="宋体" w:cs="宋体"/>
          <w:b/>
          <w:color w:val="000000" w:themeColor="text1"/>
          <w:sz w:val="24"/>
          <w14:textFill>
            <w14:solidFill>
              <w14:schemeClr w14:val="tx1"/>
            </w14:solidFill>
          </w14:textFill>
        </w:rPr>
      </w:pPr>
    </w:p>
    <w:p w14:paraId="678F4C30">
      <w:pPr>
        <w:spacing w:line="360" w:lineRule="auto"/>
        <w:jc w:val="left"/>
        <w:rPr>
          <w:rFonts w:hint="eastAsia" w:ascii="宋体" w:hAnsi="宋体" w:cs="宋体"/>
          <w:b/>
          <w:color w:val="000000" w:themeColor="text1"/>
          <w:sz w:val="24"/>
          <w14:textFill>
            <w14:solidFill>
              <w14:schemeClr w14:val="tx1"/>
            </w14:solidFill>
          </w14:textFill>
        </w:rPr>
      </w:pPr>
    </w:p>
    <w:p w14:paraId="0E3B4C30">
      <w:pPr>
        <w:spacing w:line="360" w:lineRule="auto"/>
        <w:jc w:val="left"/>
        <w:rPr>
          <w:rFonts w:hint="eastAsia" w:ascii="宋体" w:hAnsi="宋体" w:cs="宋体"/>
          <w:b/>
          <w:color w:val="000000" w:themeColor="text1"/>
          <w:sz w:val="24"/>
          <w14:textFill>
            <w14:solidFill>
              <w14:schemeClr w14:val="tx1"/>
            </w14:solidFill>
          </w14:textFill>
        </w:rPr>
      </w:pPr>
    </w:p>
    <w:p w14:paraId="0E575C10">
      <w:pPr>
        <w:spacing w:line="360" w:lineRule="auto"/>
        <w:jc w:val="left"/>
        <w:rPr>
          <w:rFonts w:hint="eastAsia" w:ascii="宋体" w:hAnsi="宋体" w:cs="宋体"/>
          <w:b/>
          <w:color w:val="000000" w:themeColor="text1"/>
          <w:sz w:val="24"/>
          <w14:textFill>
            <w14:solidFill>
              <w14:schemeClr w14:val="tx1"/>
            </w14:solidFill>
          </w14:textFill>
        </w:rPr>
      </w:pPr>
    </w:p>
    <w:p w14:paraId="2D00AAC1">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63E333AD">
      <w:pPr>
        <w:spacing w:line="360" w:lineRule="auto"/>
        <w:jc w:val="center"/>
        <w:rPr>
          <w:rFonts w:hint="eastAsia" w:ascii="宋体" w:hAnsi="宋体" w:cs="宋体"/>
          <w:b/>
          <w:color w:val="000000" w:themeColor="text1"/>
          <w:sz w:val="44"/>
          <w:szCs w:val="44"/>
          <w14:textFill>
            <w14:solidFill>
              <w14:schemeClr w14:val="tx1"/>
            </w14:solidFill>
          </w14:textFill>
        </w:rPr>
      </w:pPr>
    </w:p>
    <w:p w14:paraId="5582840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参加本项目活动前3年内在经营活动中</w:t>
      </w:r>
      <w:r>
        <w:rPr>
          <w:rFonts w:hint="eastAsia" w:ascii="宋体" w:hAnsi="宋体" w:cs="宋体"/>
          <w:b/>
          <w:color w:val="000000" w:themeColor="text1"/>
          <w:sz w:val="28"/>
          <w:szCs w:val="28"/>
          <w:lang w:eastAsia="zh-CN"/>
          <w14:textFill>
            <w14:solidFill>
              <w14:schemeClr w14:val="tx1"/>
            </w14:solidFill>
          </w14:textFill>
        </w:rPr>
        <w:t>没有</w:t>
      </w:r>
      <w:r>
        <w:rPr>
          <w:rFonts w:hint="eastAsia" w:ascii="宋体" w:hAnsi="宋体" w:cs="宋体"/>
          <w:b/>
          <w:color w:val="000000" w:themeColor="text1"/>
          <w:sz w:val="28"/>
          <w:szCs w:val="28"/>
          <w14:textFill>
            <w14:solidFill>
              <w14:schemeClr w14:val="tx1"/>
            </w14:solidFill>
          </w14:textFill>
        </w:rPr>
        <w:t>重大违法记录的书面声明</w:t>
      </w:r>
    </w:p>
    <w:p w14:paraId="7F47D704">
      <w:pPr>
        <w:spacing w:line="360" w:lineRule="auto"/>
        <w:jc w:val="center"/>
        <w:rPr>
          <w:rFonts w:hint="eastAsia" w:ascii="宋体" w:hAnsi="宋体" w:cs="宋体"/>
          <w:b/>
          <w:color w:val="000000" w:themeColor="text1"/>
          <w:sz w:val="44"/>
          <w:szCs w:val="44"/>
          <w14:textFill>
            <w14:solidFill>
              <w14:schemeClr w14:val="tx1"/>
            </w14:solidFill>
          </w14:textFill>
        </w:rPr>
      </w:pPr>
    </w:p>
    <w:p w14:paraId="4FE7E535">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0D38B0DA">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我单位</w:t>
      </w:r>
      <w:r>
        <w:rPr>
          <w:rFonts w:hint="eastAsia" w:ascii="宋体" w:hAnsi="宋体" w:cs="宋体"/>
          <w:color w:val="000000" w:themeColor="text1"/>
          <w:sz w:val="24"/>
          <w:szCs w:val="24"/>
          <w:u w:val="single"/>
          <w14:textFill>
            <w14:solidFill>
              <w14:schemeClr w14:val="tx1"/>
            </w14:solidFill>
          </w14:textFill>
        </w:rPr>
        <w:t>（投标人名称）</w:t>
      </w:r>
      <w:r>
        <w:rPr>
          <w:rFonts w:hint="eastAsia" w:ascii="宋体" w:hAnsi="宋体" w:cs="宋体"/>
          <w:color w:val="000000" w:themeColor="text1"/>
          <w:sz w:val="24"/>
          <w:szCs w:val="24"/>
          <w14:textFill>
            <w14:solidFill>
              <w14:schemeClr w14:val="tx1"/>
            </w14:solidFill>
          </w14:textFill>
        </w:rPr>
        <w:t>参加本项目活动前3年内，在经营活动中</w:t>
      </w:r>
      <w:r>
        <w:rPr>
          <w:rFonts w:hint="eastAsia" w:ascii="宋体" w:hAnsi="宋体" w:cs="宋体"/>
          <w:color w:val="000000" w:themeColor="text1"/>
          <w:sz w:val="24"/>
          <w:szCs w:val="24"/>
          <w:lang w:eastAsia="zh-CN"/>
          <w14:textFill>
            <w14:solidFill>
              <w14:schemeClr w14:val="tx1"/>
            </w14:solidFill>
          </w14:textFill>
        </w:rPr>
        <w:t>没有</w:t>
      </w:r>
      <w:r>
        <w:rPr>
          <w:rFonts w:hint="eastAsia" w:ascii="宋体" w:hAnsi="宋体" w:cs="宋体"/>
          <w:color w:val="000000" w:themeColor="text1"/>
          <w:sz w:val="24"/>
          <w:szCs w:val="24"/>
          <w14:textFill>
            <w14:solidFill>
              <w14:schemeClr w14:val="tx1"/>
            </w14:solidFill>
          </w14:textFill>
        </w:rPr>
        <w:t>重大违法记录，特此声明。</w:t>
      </w:r>
    </w:p>
    <w:p w14:paraId="5FAD288C">
      <w:pPr>
        <w:keepNext w:val="0"/>
        <w:keepLines w:val="0"/>
        <w:pageBreakBefore w:val="0"/>
        <w:widowControl w:val="0"/>
        <w:kinsoku/>
        <w:wordWrap/>
        <w:overflowPunct/>
        <w:topLinePunct w:val="0"/>
        <w:autoSpaceDE/>
        <w:autoSpaceDN/>
        <w:bidi w:val="0"/>
        <w:adjustRightInd/>
        <w:snapToGrid/>
        <w:spacing w:line="480" w:lineRule="auto"/>
        <w:ind w:firstLine="480"/>
        <w:jc w:val="left"/>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若采购人在本项目招标采购过程中发现我单位参加本项目活动前3年内，在经营活动中存在重大违法记录，我单位将无条件地退出本项目的招标、投标活动，并承担因此引起的一切后果。</w:t>
      </w:r>
    </w:p>
    <w:p w14:paraId="3F9CD73C">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B222FA1">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14:textFill>
            <w14:solidFill>
              <w14:schemeClr w14:val="tx1"/>
            </w14:solidFill>
          </w14:textFill>
        </w:rPr>
      </w:pPr>
    </w:p>
    <w:p w14:paraId="31ECCD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76C68C3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45CFB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51A24D3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D676CE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6761024">
      <w:pPr>
        <w:spacing w:line="360" w:lineRule="auto"/>
        <w:jc w:val="left"/>
        <w:rPr>
          <w:rFonts w:hint="eastAsia" w:ascii="宋体" w:hAnsi="宋体" w:cs="宋体"/>
          <w:color w:val="000000" w:themeColor="text1"/>
          <w:sz w:val="24"/>
          <w14:textFill>
            <w14:solidFill>
              <w14:schemeClr w14:val="tx1"/>
            </w14:solidFill>
          </w14:textFill>
        </w:rPr>
      </w:pPr>
    </w:p>
    <w:p w14:paraId="60033434">
      <w:pPr>
        <w:spacing w:line="360" w:lineRule="auto"/>
        <w:jc w:val="left"/>
        <w:rPr>
          <w:rFonts w:hint="eastAsia" w:ascii="宋体" w:hAnsi="宋体" w:cs="宋体"/>
          <w:color w:val="000000" w:themeColor="text1"/>
          <w:sz w:val="24"/>
          <w14:textFill>
            <w14:solidFill>
              <w14:schemeClr w14:val="tx1"/>
            </w14:solidFill>
          </w14:textFill>
        </w:rPr>
      </w:pPr>
    </w:p>
    <w:p w14:paraId="530221D7">
      <w:pPr>
        <w:spacing w:line="360" w:lineRule="auto"/>
        <w:jc w:val="left"/>
        <w:rPr>
          <w:rFonts w:hint="eastAsia" w:ascii="宋体" w:hAnsi="宋体" w:cs="宋体"/>
          <w:color w:val="000000" w:themeColor="text1"/>
          <w:sz w:val="24"/>
          <w14:textFill>
            <w14:solidFill>
              <w14:schemeClr w14:val="tx1"/>
            </w14:solidFill>
          </w14:textFill>
        </w:rPr>
      </w:pPr>
    </w:p>
    <w:p w14:paraId="5F92DBC8">
      <w:pPr>
        <w:spacing w:line="360" w:lineRule="auto"/>
        <w:jc w:val="left"/>
        <w:rPr>
          <w:rFonts w:hint="eastAsia" w:ascii="宋体" w:hAnsi="宋体" w:cs="宋体"/>
          <w:color w:val="000000" w:themeColor="text1"/>
          <w:sz w:val="24"/>
          <w14:textFill>
            <w14:solidFill>
              <w14:schemeClr w14:val="tx1"/>
            </w14:solidFill>
          </w14:textFill>
        </w:rPr>
      </w:pPr>
    </w:p>
    <w:p w14:paraId="6C4E9A02">
      <w:pPr>
        <w:spacing w:line="360" w:lineRule="auto"/>
        <w:jc w:val="left"/>
        <w:rPr>
          <w:rFonts w:hint="eastAsia" w:ascii="宋体" w:hAnsi="宋体" w:cs="宋体"/>
          <w:color w:val="000000" w:themeColor="text1"/>
          <w:sz w:val="24"/>
          <w14:textFill>
            <w14:solidFill>
              <w14:schemeClr w14:val="tx1"/>
            </w14:solidFill>
          </w14:textFill>
        </w:rPr>
      </w:pPr>
    </w:p>
    <w:p w14:paraId="3E7F0F88">
      <w:pPr>
        <w:spacing w:line="360" w:lineRule="auto"/>
        <w:jc w:val="left"/>
        <w:rPr>
          <w:rFonts w:hint="eastAsia" w:ascii="宋体" w:hAnsi="宋体" w:cs="宋体"/>
          <w:color w:val="000000" w:themeColor="text1"/>
          <w:sz w:val="24"/>
          <w14:textFill>
            <w14:solidFill>
              <w14:schemeClr w14:val="tx1"/>
            </w14:solidFill>
          </w14:textFill>
        </w:rPr>
      </w:pPr>
    </w:p>
    <w:p w14:paraId="48EE823E">
      <w:pPr>
        <w:spacing w:line="360" w:lineRule="auto"/>
        <w:jc w:val="left"/>
        <w:rPr>
          <w:rFonts w:hint="eastAsia" w:ascii="宋体" w:hAnsi="宋体" w:cs="宋体"/>
          <w:color w:val="000000" w:themeColor="text1"/>
          <w:sz w:val="24"/>
          <w14:textFill>
            <w14:solidFill>
              <w14:schemeClr w14:val="tx1"/>
            </w14:solidFill>
          </w14:textFill>
        </w:rPr>
      </w:pPr>
    </w:p>
    <w:p w14:paraId="692934ED">
      <w:pPr>
        <w:spacing w:line="360" w:lineRule="auto"/>
        <w:jc w:val="left"/>
        <w:rPr>
          <w:rFonts w:hint="eastAsia" w:ascii="宋体" w:hAnsi="宋体" w:cs="宋体"/>
          <w:b/>
          <w:color w:val="000000" w:themeColor="text1"/>
          <w:sz w:val="24"/>
          <w14:textFill>
            <w14:solidFill>
              <w14:schemeClr w14:val="tx1"/>
            </w14:solidFill>
          </w14:textFill>
        </w:rPr>
      </w:pPr>
    </w:p>
    <w:p w14:paraId="5952591C">
      <w:pPr>
        <w:spacing w:line="360" w:lineRule="auto"/>
        <w:jc w:val="left"/>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5</w:t>
      </w:r>
    </w:p>
    <w:p w14:paraId="574781C2">
      <w:pPr>
        <w:spacing w:line="360" w:lineRule="auto"/>
        <w:jc w:val="center"/>
        <w:rPr>
          <w:rFonts w:hint="eastAsia" w:ascii="宋体" w:hAnsi="宋体" w:cs="宋体"/>
          <w:b/>
          <w:color w:val="000000" w:themeColor="text1"/>
          <w:sz w:val="44"/>
          <w:szCs w:val="44"/>
          <w14:textFill>
            <w14:solidFill>
              <w14:schemeClr w14:val="tx1"/>
            </w14:solidFill>
          </w14:textFill>
        </w:rPr>
      </w:pPr>
    </w:p>
    <w:p w14:paraId="3B3802E3">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非联合体投标声明</w:t>
      </w:r>
    </w:p>
    <w:p w14:paraId="51E42792">
      <w:pPr>
        <w:spacing w:line="360" w:lineRule="auto"/>
        <w:jc w:val="center"/>
        <w:rPr>
          <w:rFonts w:hint="eastAsia" w:ascii="宋体" w:hAnsi="宋体" w:cs="宋体"/>
          <w:b/>
          <w:color w:val="000000" w:themeColor="text1"/>
          <w:sz w:val="44"/>
          <w:szCs w:val="44"/>
          <w14:textFill>
            <w14:solidFill>
              <w14:schemeClr w14:val="tx1"/>
            </w14:solidFill>
          </w14:textFill>
        </w:rPr>
      </w:pPr>
    </w:p>
    <w:p w14:paraId="48A188CC">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u w:val="single"/>
          <w14:textFill>
            <w14:solidFill>
              <w14:schemeClr w14:val="tx1"/>
            </w14:solidFill>
          </w14:textFill>
        </w:rPr>
        <w:t>（采购人名称）</w:t>
      </w:r>
    </w:p>
    <w:p w14:paraId="404ABBAF">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我公司收到贵单位</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采购项目公开招标（项目编号：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）的招标文件，经详细研究，我们决定参加该项目的投标活动。为此，我方郑重声明以下内容，并负法律责任。</w:t>
      </w:r>
    </w:p>
    <w:p w14:paraId="2919956D">
      <w:pPr>
        <w:keepNext w:val="0"/>
        <w:keepLines w:val="0"/>
        <w:pageBreakBefore w:val="0"/>
        <w:kinsoku/>
        <w:wordWrap/>
        <w:overflowPunct/>
        <w:topLinePunct w:val="0"/>
        <w:autoSpaceDE/>
        <w:autoSpaceDN/>
        <w:bidi w:val="0"/>
        <w:adjustRightInd/>
        <w:snapToGrid/>
        <w:spacing w:line="480" w:lineRule="auto"/>
        <w:ind w:firstLine="480" w:firstLineChars="200"/>
        <w:textAlignment w:val="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1.本项目我公司以自己的名义参加投标，不存在联合体投标的情况。</w:t>
      </w:r>
    </w:p>
    <w:p w14:paraId="6F3AB7F7">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2.我公司愿按《中华人民共和国</w:t>
      </w:r>
      <w:r>
        <w:rPr>
          <w:rFonts w:hint="eastAsia"/>
          <w:color w:val="000000" w:themeColor="text1"/>
          <w:sz w:val="24"/>
          <w:szCs w:val="24"/>
          <w:lang w:val="en-US" w:eastAsia="zh-CN"/>
          <w14:textFill>
            <w14:solidFill>
              <w14:schemeClr w14:val="tx1"/>
            </w14:solidFill>
          </w14:textFill>
        </w:rPr>
        <w:t>民法典</w:t>
      </w:r>
      <w:r>
        <w:rPr>
          <w:rFonts w:hint="eastAsia"/>
          <w:color w:val="000000" w:themeColor="text1"/>
          <w:sz w:val="24"/>
          <w:szCs w:val="24"/>
          <w14:textFill>
            <w14:solidFill>
              <w14:schemeClr w14:val="tx1"/>
            </w14:solidFill>
          </w14:textFill>
        </w:rPr>
        <w:t>》履行自己的全部责任。</w:t>
      </w:r>
    </w:p>
    <w:p w14:paraId="7C5FC9D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特此声明。</w:t>
      </w:r>
    </w:p>
    <w:p w14:paraId="7EA03E9C">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0C521E8">
      <w:pPr>
        <w:pStyle w:val="32"/>
        <w:keepNext w:val="0"/>
        <w:keepLines w:val="0"/>
        <w:pageBreakBefore w:val="0"/>
        <w:kinsoku/>
        <w:wordWrap/>
        <w:overflowPunct/>
        <w:topLinePunct w:val="0"/>
        <w:autoSpaceDE/>
        <w:autoSpaceDN/>
        <w:bidi w:val="0"/>
        <w:adjustRightInd/>
        <w:snapToGrid/>
        <w:spacing w:before="0" w:beforeAutospacing="0" w:after="0" w:afterAutospacing="0" w:line="480" w:lineRule="auto"/>
        <w:ind w:firstLine="480" w:firstLineChars="200"/>
        <w:textAlignment w:val="auto"/>
        <w:rPr>
          <w:rFonts w:hint="eastAsia"/>
          <w:color w:val="000000" w:themeColor="text1"/>
          <w:sz w:val="24"/>
          <w:szCs w:val="24"/>
          <w14:textFill>
            <w14:solidFill>
              <w14:schemeClr w14:val="tx1"/>
            </w14:solidFill>
          </w14:textFill>
        </w:rPr>
      </w:pPr>
    </w:p>
    <w:p w14:paraId="1A3D8E0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3C711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696F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68ACBCA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FD237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2CF444C">
      <w:pPr>
        <w:keepNext w:val="0"/>
        <w:keepLines w:val="0"/>
        <w:pageBreakBefore w:val="0"/>
        <w:kinsoku/>
        <w:wordWrap/>
        <w:overflowPunct/>
        <w:topLinePunct w:val="0"/>
        <w:autoSpaceDE/>
        <w:autoSpaceDN/>
        <w:bidi w:val="0"/>
        <w:adjustRightInd/>
        <w:snapToGrid/>
        <w:spacing w:line="480" w:lineRule="auto"/>
        <w:ind w:right="540" w:rightChars="257"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BEA2466">
      <w:pPr>
        <w:spacing w:line="360" w:lineRule="auto"/>
        <w:rPr>
          <w:rFonts w:hint="eastAsia" w:ascii="宋体" w:hAnsi="宋体" w:cs="宋体"/>
          <w:color w:val="000000" w:themeColor="text1"/>
          <w:sz w:val="24"/>
          <w14:textFill>
            <w14:solidFill>
              <w14:schemeClr w14:val="tx1"/>
            </w14:solidFill>
          </w14:textFill>
        </w:rPr>
      </w:pPr>
    </w:p>
    <w:p w14:paraId="14E66024">
      <w:pPr>
        <w:widowControl/>
        <w:spacing w:line="360" w:lineRule="auto"/>
        <w:jc w:val="left"/>
        <w:rPr>
          <w:rFonts w:hint="eastAsia" w:ascii="宋体" w:hAnsi="宋体" w:cs="宋体"/>
          <w:b/>
          <w:color w:val="000000" w:themeColor="text1"/>
          <w:sz w:val="36"/>
          <w:szCs w:val="36"/>
          <w14:textFill>
            <w14:solidFill>
              <w14:schemeClr w14:val="tx1"/>
            </w14:solidFill>
          </w14:textFill>
        </w:rPr>
      </w:pPr>
    </w:p>
    <w:p w14:paraId="57ED3246">
      <w:pPr>
        <w:pStyle w:val="11"/>
        <w:jc w:val="lef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附件6</w:t>
      </w:r>
    </w:p>
    <w:p w14:paraId="4600C789">
      <w:pPr>
        <w:rPr>
          <w:rFonts w:ascii="宋体" w:hAnsi="宋体" w:cs="宋体"/>
          <w:b/>
          <w:color w:val="000000" w:themeColor="text1"/>
          <w:sz w:val="24"/>
          <w14:textFill>
            <w14:solidFill>
              <w14:schemeClr w14:val="tx1"/>
            </w14:solidFill>
          </w14:textFill>
        </w:rPr>
      </w:pPr>
    </w:p>
    <w:p w14:paraId="0064527F">
      <w:pPr>
        <w:jc w:val="center"/>
        <w:rPr>
          <w:b/>
          <w:bCs/>
          <w:color w:val="000000" w:themeColor="text1"/>
          <w:sz w:val="28"/>
          <w:szCs w:val="22"/>
          <w14:textFill>
            <w14:solidFill>
              <w14:schemeClr w14:val="tx1"/>
            </w14:solidFill>
          </w14:textFill>
        </w:rPr>
      </w:pPr>
      <w:r>
        <w:rPr>
          <w:b/>
          <w:bCs/>
          <w:color w:val="000000" w:themeColor="text1"/>
          <w:sz w:val="28"/>
          <w:szCs w:val="22"/>
          <w14:textFill>
            <w14:solidFill>
              <w14:schemeClr w14:val="tx1"/>
            </w14:solidFill>
          </w14:textFill>
        </w:rPr>
        <w:t>控股管理关系承诺书</w:t>
      </w:r>
    </w:p>
    <w:p w14:paraId="67EEAC01">
      <w:pPr>
        <w:jc w:val="center"/>
        <w:rPr>
          <w:color w:val="000000" w:themeColor="text1"/>
          <w14:textFill>
            <w14:solidFill>
              <w14:schemeClr w14:val="tx1"/>
            </w14:solidFill>
          </w14:textFill>
        </w:rPr>
      </w:pPr>
    </w:p>
    <w:p w14:paraId="6790A248">
      <w:pPr>
        <w:spacing w:line="700" w:lineRule="exact"/>
        <w:jc w:val="left"/>
        <w:rPr>
          <w:rFonts w:ascii="宋体" w:hAnsi="宋体" w:cs="宋体"/>
          <w:color w:val="000000" w:themeColor="text1"/>
          <w:sz w:val="24"/>
          <w:szCs w:val="24"/>
          <w:u w:val="single"/>
          <w14:textFill>
            <w14:solidFill>
              <w14:schemeClr w14:val="tx1"/>
            </w14:solidFill>
          </w14:textFill>
        </w:rPr>
      </w:pPr>
      <w:r>
        <w:rPr>
          <w:rFonts w:ascii="宋体" w:hAnsi="宋体" w:cs="宋体"/>
          <w:color w:val="000000" w:themeColor="text1"/>
          <w:sz w:val="24"/>
          <w:szCs w:val="24"/>
          <w14:textFill>
            <w14:solidFill>
              <w14:schemeClr w14:val="tx1"/>
            </w14:solidFill>
          </w14:textFill>
        </w:rPr>
        <w:t>致：</w:t>
      </w:r>
      <w:r>
        <w:rPr>
          <w:rFonts w:ascii="宋体" w:hAnsi="宋体" w:cs="宋体"/>
          <w:color w:val="000000" w:themeColor="text1"/>
          <w:sz w:val="24"/>
          <w:szCs w:val="24"/>
          <w:u w:val="single"/>
          <w14:textFill>
            <w14:solidFill>
              <w14:schemeClr w14:val="tx1"/>
            </w14:solidFill>
          </w14:textFill>
        </w:rPr>
        <w:t xml:space="preserve">  （采购人名称）</w:t>
      </w:r>
    </w:p>
    <w:p w14:paraId="0AF0EEE0">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我公司参加贵单位组织的</w:t>
      </w:r>
      <w:r>
        <w:rPr>
          <w:rFonts w:ascii="宋体" w:hAnsi="宋体" w:cs="宋体"/>
          <w:color w:val="000000" w:themeColor="text1"/>
          <w:sz w:val="24"/>
          <w:szCs w:val="24"/>
          <w:u w:val="single"/>
          <w14:textFill>
            <w14:solidFill>
              <w14:schemeClr w14:val="tx1"/>
            </w14:solidFill>
          </w14:textFill>
        </w:rPr>
        <w:t xml:space="preserve">   （项目名称） </w:t>
      </w:r>
      <w:r>
        <w:rPr>
          <w:rFonts w:ascii="宋体" w:hAnsi="宋体" w:cs="宋体"/>
          <w:color w:val="000000" w:themeColor="text1"/>
          <w:sz w:val="24"/>
          <w:szCs w:val="24"/>
          <w14:textFill>
            <w14:solidFill>
              <w14:schemeClr w14:val="tx1"/>
            </w14:solidFill>
          </w14:textFill>
        </w:rPr>
        <w:t>（项目编号：</w:t>
      </w:r>
      <w:r>
        <w:rPr>
          <w:rFonts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）的投标，现我公司向贵单位承诺：</w:t>
      </w:r>
    </w:p>
    <w:p w14:paraId="114B15CD">
      <w:pPr>
        <w:spacing w:line="700" w:lineRule="exact"/>
        <w:ind w:firstLine="480" w:firstLineChars="200"/>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我公司郑重承诺，我公司参加此次项目的投标，不存在单位负责人为同一人或直接控股、管理关系。如有虚假或隐瞒，我公司愿承担一切后果。</w:t>
      </w:r>
    </w:p>
    <w:p w14:paraId="278E8CB8">
      <w:pPr>
        <w:spacing w:line="700" w:lineRule="exact"/>
        <w:jc w:val="left"/>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特此声明！</w:t>
      </w:r>
    </w:p>
    <w:p w14:paraId="42E723DC">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3DDC2947">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AB2D67D">
      <w:pPr>
        <w:spacing w:line="700" w:lineRule="exact"/>
        <w:ind w:firstLine="3614" w:firstLineChars="1500"/>
        <w:rPr>
          <w:rFonts w:ascii="宋体" w:hAnsi="宋体" w:cs="宋体"/>
          <w:b/>
          <w:color w:val="000000" w:themeColor="text1"/>
          <w:sz w:val="24"/>
          <w:szCs w:val="24"/>
          <w14:textFill>
            <w14:solidFill>
              <w14:schemeClr w14:val="tx1"/>
            </w14:solidFill>
          </w14:textFill>
        </w:rPr>
      </w:pPr>
    </w:p>
    <w:p w14:paraId="7C16B2D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8ADBA0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704FF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0D886A6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750A152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37B20C1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b/>
          <w:color w:val="000000" w:themeColor="text1"/>
          <w:sz w:val="28"/>
          <w:szCs w:val="28"/>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7F24E647">
      <w:pPr>
        <w:keepNext w:val="0"/>
        <w:keepLines w:val="0"/>
        <w:pageBreakBefore w:val="0"/>
        <w:kinsoku/>
        <w:wordWrap/>
        <w:overflowPunct/>
        <w:topLinePunct w:val="0"/>
        <w:autoSpaceDE/>
        <w:autoSpaceDN/>
        <w:bidi w:val="0"/>
        <w:adjustRightInd/>
        <w:snapToGrid/>
        <w:spacing w:line="540" w:lineRule="exact"/>
        <w:jc w:val="center"/>
        <w:textAlignment w:val="auto"/>
        <w:outlineLvl w:val="1"/>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二</w:t>
      </w:r>
      <w:r>
        <w:rPr>
          <w:rFonts w:hint="eastAsia" w:ascii="宋体" w:hAnsi="宋体" w:cs="宋体"/>
          <w:b/>
          <w:color w:val="000000" w:themeColor="text1"/>
          <w:sz w:val="28"/>
          <w:szCs w:val="28"/>
          <w14:textFill>
            <w14:solidFill>
              <w14:schemeClr w14:val="tx1"/>
            </w14:solidFill>
          </w14:textFill>
        </w:rPr>
        <w:t>、投标函</w:t>
      </w:r>
      <w:bookmarkEnd w:id="907"/>
      <w:bookmarkEnd w:id="908"/>
      <w:bookmarkEnd w:id="909"/>
      <w:bookmarkEnd w:id="910"/>
      <w:bookmarkEnd w:id="911"/>
      <w:bookmarkEnd w:id="912"/>
      <w:bookmarkEnd w:id="913"/>
      <w:bookmarkEnd w:id="914"/>
      <w:bookmarkEnd w:id="915"/>
    </w:p>
    <w:p w14:paraId="136F9A2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eastAsia="宋体" w:cs="宋体"/>
          <w:color w:val="000000" w:themeColor="text1"/>
          <w:sz w:val="24"/>
          <w:szCs w:val="24"/>
          <w:u w:val="single"/>
          <w14:textFill>
            <w14:solidFill>
              <w14:schemeClr w14:val="tx1"/>
            </w14:solidFill>
          </w14:textFill>
        </w:rPr>
        <w:t>（采购人）</w:t>
      </w:r>
    </w:p>
    <w:p w14:paraId="49780F0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根据已收到的</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招标文件，遵照《中华人民共和国</w:t>
      </w:r>
      <w:r>
        <w:rPr>
          <w:rFonts w:hint="eastAsia" w:ascii="宋体" w:hAnsi="宋体" w:cs="宋体"/>
          <w:color w:val="000000" w:themeColor="text1"/>
          <w:sz w:val="24"/>
          <w:szCs w:val="24"/>
          <w:lang w:val="en-US" w:eastAsia="zh-CN"/>
          <w14:textFill>
            <w14:solidFill>
              <w14:schemeClr w14:val="tx1"/>
            </w14:solidFill>
          </w14:textFill>
        </w:rPr>
        <w:t>政府采购法</w:t>
      </w:r>
      <w:r>
        <w:rPr>
          <w:rFonts w:hint="eastAsia" w:ascii="宋体" w:hAnsi="宋体" w:eastAsia="宋体" w:cs="宋体"/>
          <w:color w:val="000000" w:themeColor="text1"/>
          <w:sz w:val="24"/>
          <w:szCs w:val="24"/>
          <w14:textFill>
            <w14:solidFill>
              <w14:schemeClr w14:val="tx1"/>
            </w14:solidFill>
          </w14:textFill>
        </w:rPr>
        <w:t>》等有关规定，经仔细研究本项目招标文件、答疑纪要、合同条款及其他有关文件后，我方愿提供</w:t>
      </w:r>
      <w:r>
        <w:rPr>
          <w:rFonts w:hint="eastAsia" w:ascii="宋体" w:hAnsi="宋体" w:cs="宋体"/>
          <w:color w:val="000000" w:themeColor="text1"/>
          <w:sz w:val="24"/>
          <w:szCs w:val="24"/>
          <w:lang w:eastAsia="zh-CN"/>
          <w14:textFill>
            <w14:solidFill>
              <w14:schemeClr w14:val="tx1"/>
            </w14:solidFill>
          </w14:textFill>
        </w:rPr>
        <w:t>延安市公安局宝塔分局综合指挥作战装备购置项目</w:t>
      </w:r>
      <w:r>
        <w:rPr>
          <w:rFonts w:hint="eastAsia" w:ascii="宋体" w:hAnsi="宋体" w:eastAsia="宋体" w:cs="宋体"/>
          <w:color w:val="000000" w:themeColor="text1"/>
          <w:sz w:val="24"/>
          <w:szCs w:val="24"/>
          <w14:textFill>
            <w14:solidFill>
              <w14:schemeClr w14:val="tx1"/>
            </w14:solidFill>
          </w14:textFill>
        </w:rPr>
        <w:t>的投标报价为：</w:t>
      </w:r>
    </w:p>
    <w:p w14:paraId="541C564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大写：人民币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4A722E5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元</w:t>
      </w:r>
    </w:p>
    <w:p w14:paraId="5856B78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2、我方已详细审核全部招标文件及有关附件、招标答疑纪要、补遗书等文件。</w:t>
      </w:r>
    </w:p>
    <w:p w14:paraId="7E3674F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3、该报价是完成本招标文件规定的、所需的一切费用，投标报价不低于社会平均水平（成本价）。</w:t>
      </w:r>
    </w:p>
    <w:p w14:paraId="435EC88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4、一旦我方中标，我方保证</w:t>
      </w:r>
      <w:r>
        <w:rPr>
          <w:rFonts w:hint="eastAsia" w:ascii="宋体" w:hAnsi="宋体" w:eastAsia="宋体" w:cs="宋体"/>
          <w:color w:val="000000" w:themeColor="text1"/>
          <w:sz w:val="24"/>
          <w:szCs w:val="24"/>
          <w:lang w:val="en-US" w:eastAsia="zh-CN"/>
          <w14:textFill>
            <w14:solidFill>
              <w14:schemeClr w14:val="tx1"/>
            </w14:solidFill>
          </w14:textFill>
        </w:rPr>
        <w:t>供货期</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none"/>
          <w:lang w:val="en-US" w:eastAsia="zh-CN"/>
          <w14:textFill>
            <w14:solidFill>
              <w14:schemeClr w14:val="tx1"/>
            </w14:solidFill>
          </w14:textFill>
        </w:rPr>
        <w:t>质保期：</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p>
    <w:p w14:paraId="1F8953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5、我单位保证按国家法律、法规规定提供服务。</w:t>
      </w:r>
    </w:p>
    <w:p w14:paraId="5E61914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6、除非另外达成协议并生效，你方的中标通知书和本投标文件将构成约束我们双方的合同。</w:t>
      </w:r>
    </w:p>
    <w:p w14:paraId="358E0F6E">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7、我方的投标文件在</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年 月 日--  年  月   日</w:t>
      </w:r>
      <w:r>
        <w:rPr>
          <w:rFonts w:hint="eastAsia" w:ascii="宋体" w:hAnsi="宋体" w:eastAsia="宋体" w:cs="宋体"/>
          <w:color w:val="000000" w:themeColor="text1"/>
          <w:sz w:val="24"/>
          <w:szCs w:val="24"/>
          <w14:textFill>
            <w14:solidFill>
              <w14:schemeClr w14:val="tx1"/>
            </w14:solidFill>
          </w14:textFill>
        </w:rPr>
        <w:t>内有效，在投标有效期内不修改或撤回投标文件。</w:t>
      </w:r>
    </w:p>
    <w:p w14:paraId="64F2FDA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8、我方理解你方及采购代理机构，我方不要求你方及采购代理机构对未中标原因做任何解释，也不退回投标文件。</w:t>
      </w:r>
    </w:p>
    <w:p w14:paraId="5CD092F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14:textFill>
            <w14:solidFill>
              <w14:schemeClr w14:val="tx1"/>
            </w14:solidFill>
          </w14:textFill>
        </w:rPr>
      </w:pPr>
      <w:bookmarkStart w:id="916" w:name="_Toc169940967"/>
      <w:bookmarkStart w:id="917" w:name="_Toc102490217"/>
      <w:bookmarkStart w:id="918" w:name="_Toc145989461"/>
      <w:bookmarkStart w:id="919" w:name="_Toc132684577"/>
      <w:r>
        <w:rPr>
          <w:rFonts w:hint="eastAsia" w:ascii="宋体" w:hAnsi="宋体" w:cs="宋体"/>
          <w:color w:val="000000" w:themeColor="text1"/>
          <w:sz w:val="24"/>
          <w:szCs w:val="24"/>
          <w:lang w:val="en-US" w:eastAsia="zh-CN"/>
          <w14:textFill>
            <w14:solidFill>
              <w14:schemeClr w14:val="tx1"/>
            </w14:solidFill>
          </w14:textFill>
        </w:rPr>
        <w:t>9</w:t>
      </w:r>
      <w:r>
        <w:rPr>
          <w:rFonts w:hint="eastAsia" w:ascii="宋体" w:hAnsi="宋体" w:eastAsia="宋体" w:cs="宋体"/>
          <w:color w:val="000000" w:themeColor="text1"/>
          <w:sz w:val="24"/>
          <w:szCs w:val="24"/>
          <w14:textFill>
            <w14:solidFill>
              <w14:schemeClr w14:val="tx1"/>
            </w14:solidFill>
          </w14:textFill>
        </w:rPr>
        <w:t>、如果因我方原因放弃中标，我方承诺，除采购人有权没收投标保证金外，还承担因下个中标候选</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中标给采购人带来的经济损失。</w:t>
      </w:r>
    </w:p>
    <w:p w14:paraId="61A81E6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B1BA62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9EA881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4D1AA8E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7E9C76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1D5C7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51CC6930">
      <w:pPr>
        <w:spacing w:line="360" w:lineRule="auto"/>
        <w:rPr>
          <w:rFonts w:hint="eastAsia" w:ascii="宋体" w:hAnsi="宋体" w:cs="宋体"/>
          <w:b/>
          <w:color w:val="000000" w:themeColor="text1"/>
          <w:sz w:val="28"/>
          <w:szCs w:val="28"/>
          <w:u w:val="single"/>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529A8CCB">
      <w:pPr>
        <w:numPr>
          <w:ilvl w:val="0"/>
          <w:numId w:val="0"/>
        </w:numPr>
        <w:adjustRightInd w:val="0"/>
        <w:snapToGrid w:val="0"/>
        <w:spacing w:line="360" w:lineRule="auto"/>
        <w:jc w:val="center"/>
        <w:outlineLvl w:val="1"/>
        <w:rPr>
          <w:rFonts w:hint="eastAsia" w:ascii="宋体" w:hAnsi="宋体" w:cs="宋体"/>
          <w:b/>
          <w:color w:val="000000"/>
          <w:sz w:val="28"/>
          <w:szCs w:val="28"/>
          <w:lang w:val="en-US" w:eastAsia="zh-CN"/>
        </w:rPr>
      </w:pPr>
      <w:bookmarkStart w:id="920" w:name="_Toc361237718"/>
      <w:bookmarkStart w:id="921" w:name="_Toc394320936"/>
      <w:bookmarkStart w:id="922" w:name="_Toc397585274"/>
      <w:bookmarkStart w:id="923" w:name="_Toc397410694"/>
      <w:bookmarkStart w:id="924" w:name="_Toc361406467"/>
      <w:bookmarkStart w:id="925" w:name="_Toc397410507"/>
      <w:bookmarkStart w:id="926" w:name="_Toc395711855"/>
      <w:bookmarkStart w:id="927" w:name="_Toc456197117"/>
      <w:bookmarkStart w:id="928" w:name="_Toc522893844"/>
      <w:bookmarkStart w:id="929" w:name="_Toc490171583"/>
      <w:r>
        <w:rPr>
          <w:rFonts w:hint="eastAsia" w:ascii="宋体" w:hAnsi="宋体" w:cs="宋体"/>
          <w:b/>
          <w:color w:val="000000" w:themeColor="text1"/>
          <w:sz w:val="28"/>
          <w:szCs w:val="28"/>
          <w:lang w:val="en-US" w:eastAsia="zh-CN"/>
          <w14:textFill>
            <w14:solidFill>
              <w14:schemeClr w14:val="tx1"/>
            </w14:solidFill>
          </w14:textFill>
        </w:rPr>
        <w:t>三、</w:t>
      </w:r>
      <w:bookmarkEnd w:id="920"/>
      <w:bookmarkEnd w:id="921"/>
      <w:bookmarkEnd w:id="922"/>
      <w:bookmarkEnd w:id="923"/>
      <w:bookmarkEnd w:id="924"/>
      <w:bookmarkEnd w:id="925"/>
      <w:bookmarkEnd w:id="926"/>
      <w:bookmarkEnd w:id="927"/>
      <w:bookmarkEnd w:id="928"/>
      <w:bookmarkEnd w:id="929"/>
      <w:r>
        <w:rPr>
          <w:rFonts w:hint="eastAsia" w:ascii="宋体" w:hAnsi="宋体" w:cs="宋体"/>
          <w:b/>
          <w:color w:val="000000"/>
          <w:sz w:val="28"/>
          <w:szCs w:val="28"/>
          <w:lang w:val="en-US" w:eastAsia="zh-CN"/>
        </w:rPr>
        <w:t>开标一览表</w:t>
      </w:r>
    </w:p>
    <w:p w14:paraId="7169E907">
      <w:pPr>
        <w:numPr>
          <w:ilvl w:val="0"/>
          <w:numId w:val="0"/>
        </w:numPr>
        <w:adjustRightInd w:val="0"/>
        <w:snapToGrid w:val="0"/>
        <w:spacing w:line="360" w:lineRule="auto"/>
        <w:jc w:val="center"/>
        <w:outlineLvl w:val="1"/>
        <w:rPr>
          <w:rFonts w:hint="default" w:ascii="宋体" w:hAnsi="宋体" w:cs="宋体"/>
          <w:b/>
          <w:color w:val="000000"/>
          <w:sz w:val="28"/>
          <w:szCs w:val="28"/>
          <w:lang w:val="en-US" w:eastAsia="zh-CN"/>
        </w:rPr>
      </w:pPr>
    </w:p>
    <w:p w14:paraId="34BF7CC7">
      <w:pPr>
        <w:autoSpaceDE w:val="0"/>
        <w:autoSpaceDN w:val="0"/>
        <w:adjustRightInd w:val="0"/>
        <w:spacing w:line="360" w:lineRule="auto"/>
        <w:ind w:right="420"/>
        <w:jc w:val="left"/>
        <w:rPr>
          <w:rFonts w:hint="eastAsia"/>
          <w:b/>
          <w:bCs/>
          <w:color w:val="000000"/>
          <w:sz w:val="24"/>
          <w:szCs w:val="24"/>
          <w:lang w:val="en-US" w:eastAsia="zh-CN"/>
        </w:rPr>
      </w:pPr>
      <w:r>
        <w:rPr>
          <w:rFonts w:hint="eastAsia"/>
          <w:b/>
          <w:bCs/>
          <w:color w:val="000000"/>
          <w:sz w:val="24"/>
          <w:szCs w:val="24"/>
          <w:lang w:val="en-US" w:eastAsia="zh-CN"/>
        </w:rPr>
        <w:t>项目编号：</w:t>
      </w:r>
    </w:p>
    <w:p w14:paraId="7F644EDB">
      <w:pPr>
        <w:autoSpaceDE w:val="0"/>
        <w:autoSpaceDN w:val="0"/>
        <w:adjustRightInd w:val="0"/>
        <w:spacing w:line="360" w:lineRule="auto"/>
        <w:ind w:right="420"/>
        <w:jc w:val="left"/>
        <w:rPr>
          <w:rFonts w:hint="default"/>
          <w:b/>
          <w:bCs/>
          <w:color w:val="000000"/>
          <w:sz w:val="24"/>
          <w:szCs w:val="24"/>
          <w:lang w:val="en-US" w:eastAsia="zh-CN"/>
        </w:rPr>
      </w:pPr>
      <w:r>
        <w:rPr>
          <w:rFonts w:hint="eastAsia"/>
          <w:b/>
          <w:bCs/>
          <w:color w:val="000000"/>
          <w:sz w:val="24"/>
          <w:szCs w:val="24"/>
          <w:lang w:val="en-US" w:eastAsia="zh-CN"/>
        </w:rPr>
        <w:t>项目名称：</w:t>
      </w:r>
    </w:p>
    <w:tbl>
      <w:tblPr>
        <w:tblStyle w:val="36"/>
        <w:tblW w:w="9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19B1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6" w:hRule="atLeast"/>
        </w:trPr>
        <w:tc>
          <w:tcPr>
            <w:tcW w:w="4660" w:type="dxa"/>
            <w:noWrap w:val="0"/>
            <w:vAlign w:val="center"/>
          </w:tcPr>
          <w:p w14:paraId="64A579E2">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标题</w:t>
            </w:r>
          </w:p>
        </w:tc>
        <w:tc>
          <w:tcPr>
            <w:tcW w:w="4660" w:type="dxa"/>
            <w:noWrap w:val="0"/>
            <w:vAlign w:val="center"/>
          </w:tcPr>
          <w:p w14:paraId="64466DDF">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内容</w:t>
            </w:r>
          </w:p>
        </w:tc>
      </w:tr>
      <w:tr w14:paraId="6A912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4660" w:type="dxa"/>
            <w:noWrap w:val="0"/>
            <w:vAlign w:val="center"/>
          </w:tcPr>
          <w:p w14:paraId="6E4BFEB5">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r>
              <w:rPr>
                <w:rFonts w:hint="eastAsia" w:ascii="宋体" w:hAnsi="宋体" w:eastAsia="宋体" w:cs="宋体"/>
                <w:color w:val="000000"/>
                <w:sz w:val="24"/>
                <w:szCs w:val="24"/>
              </w:rPr>
              <w:t>投标报价</w:t>
            </w:r>
          </w:p>
        </w:tc>
        <w:tc>
          <w:tcPr>
            <w:tcW w:w="4660" w:type="dxa"/>
            <w:noWrap w:val="0"/>
            <w:vAlign w:val="center"/>
          </w:tcPr>
          <w:p w14:paraId="741D5C36">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3420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2110D395">
            <w:pPr>
              <w:pStyle w:val="32"/>
              <w:spacing w:before="0" w:beforeAutospacing="0" w:after="0" w:afterAutospacing="0" w:line="360" w:lineRule="auto"/>
              <w:jc w:val="center"/>
              <w:rPr>
                <w:rFonts w:hint="eastAsia"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供货期</w:t>
            </w:r>
          </w:p>
        </w:tc>
        <w:tc>
          <w:tcPr>
            <w:tcW w:w="4660" w:type="dxa"/>
            <w:noWrap w:val="0"/>
            <w:vAlign w:val="center"/>
          </w:tcPr>
          <w:p w14:paraId="1ABFCD09">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r w14:paraId="0FBD5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4660" w:type="dxa"/>
            <w:noWrap w:val="0"/>
            <w:vAlign w:val="center"/>
          </w:tcPr>
          <w:p w14:paraId="164A5238">
            <w:pPr>
              <w:pStyle w:val="32"/>
              <w:spacing w:before="0" w:beforeAutospacing="0" w:after="0" w:afterAutospacing="0" w:line="360" w:lineRule="auto"/>
              <w:jc w:val="center"/>
              <w:rPr>
                <w:rFonts w:hint="default" w:ascii="宋体" w:hAnsi="宋体" w:eastAsia="宋体" w:cs="宋体"/>
                <w:color w:val="000000"/>
                <w:sz w:val="24"/>
                <w:szCs w:val="24"/>
                <w:vertAlign w:val="baseline"/>
                <w:lang w:val="en-US" w:eastAsia="zh-CN"/>
              </w:rPr>
            </w:pPr>
            <w:r>
              <w:rPr>
                <w:rFonts w:hint="eastAsia" w:ascii="宋体" w:hAnsi="宋体" w:eastAsia="宋体" w:cs="宋体"/>
                <w:color w:val="000000"/>
                <w:sz w:val="24"/>
                <w:szCs w:val="24"/>
                <w:vertAlign w:val="baseline"/>
                <w:lang w:val="en-US" w:eastAsia="zh-CN"/>
              </w:rPr>
              <w:t>质保期</w:t>
            </w:r>
          </w:p>
        </w:tc>
        <w:tc>
          <w:tcPr>
            <w:tcW w:w="4660" w:type="dxa"/>
            <w:noWrap w:val="0"/>
            <w:vAlign w:val="center"/>
          </w:tcPr>
          <w:p w14:paraId="312DAF58">
            <w:pPr>
              <w:pStyle w:val="32"/>
              <w:spacing w:before="0" w:beforeAutospacing="0" w:after="0" w:afterAutospacing="0" w:line="360" w:lineRule="auto"/>
              <w:jc w:val="center"/>
              <w:rPr>
                <w:rFonts w:hint="eastAsia" w:ascii="宋体" w:hAnsi="宋体" w:eastAsia="宋体" w:cs="宋体"/>
                <w:color w:val="000000"/>
                <w:sz w:val="24"/>
                <w:szCs w:val="24"/>
                <w:vertAlign w:val="baseline"/>
              </w:rPr>
            </w:pPr>
          </w:p>
        </w:tc>
      </w:tr>
    </w:tbl>
    <w:p w14:paraId="25E7E3EF">
      <w:pPr>
        <w:pStyle w:val="32"/>
        <w:spacing w:before="0" w:beforeAutospacing="0" w:after="0" w:afterAutospacing="0" w:line="360" w:lineRule="auto"/>
        <w:jc w:val="both"/>
        <w:rPr>
          <w:rFonts w:hint="eastAsia"/>
          <w:color w:val="000000"/>
          <w:szCs w:val="24"/>
        </w:rPr>
      </w:pPr>
    </w:p>
    <w:p w14:paraId="4DEFC1ED">
      <w:pPr>
        <w:keepNext w:val="0"/>
        <w:keepLines w:val="0"/>
        <w:pageBreakBefore w:val="0"/>
        <w:kinsoku/>
        <w:wordWrap/>
        <w:overflowPunct/>
        <w:topLinePunct w:val="0"/>
        <w:autoSpaceDE/>
        <w:autoSpaceDN/>
        <w:bidi w:val="0"/>
        <w:adjustRightInd/>
        <w:spacing w:line="480" w:lineRule="auto"/>
        <w:textAlignment w:val="auto"/>
        <w:outlineLvl w:val="0"/>
        <w:rPr>
          <w:rFonts w:hint="eastAsia" w:ascii="宋体" w:hAnsi="宋体" w:cs="宋体"/>
          <w:color w:val="000000"/>
          <w:sz w:val="24"/>
          <w:szCs w:val="24"/>
        </w:rPr>
      </w:pPr>
      <w:r>
        <w:rPr>
          <w:rFonts w:hint="eastAsia" w:ascii="宋体" w:hAnsi="宋体" w:cs="宋体"/>
          <w:color w:val="000000"/>
          <w:sz w:val="24"/>
          <w:szCs w:val="24"/>
        </w:rPr>
        <w:t>注：以上表内报价内容以元为单位，保留小数点后两位。</w:t>
      </w:r>
    </w:p>
    <w:p w14:paraId="35B77BCE">
      <w:pPr>
        <w:pStyle w:val="32"/>
        <w:keepNext w:val="0"/>
        <w:keepLines w:val="0"/>
        <w:pageBreakBefore w:val="0"/>
        <w:kinsoku/>
        <w:wordWrap/>
        <w:overflowPunct/>
        <w:topLinePunct w:val="0"/>
        <w:autoSpaceDE/>
        <w:autoSpaceDN/>
        <w:bidi w:val="0"/>
        <w:adjustRightInd/>
        <w:spacing w:before="0" w:beforeAutospacing="0" w:after="0" w:afterAutospacing="0" w:line="480" w:lineRule="auto"/>
        <w:jc w:val="both"/>
        <w:textAlignment w:val="auto"/>
        <w:rPr>
          <w:rFonts w:hint="eastAsia"/>
          <w:color w:val="000000"/>
          <w:sz w:val="24"/>
          <w:szCs w:val="24"/>
        </w:rPr>
      </w:pPr>
    </w:p>
    <w:p w14:paraId="65A8B2EA">
      <w:pPr>
        <w:pStyle w:val="21"/>
        <w:keepNext w:val="0"/>
        <w:keepLines w:val="0"/>
        <w:pageBreakBefore w:val="0"/>
        <w:kinsoku/>
        <w:wordWrap/>
        <w:overflowPunct/>
        <w:topLinePunct w:val="0"/>
        <w:autoSpaceDE/>
        <w:autoSpaceDN/>
        <w:bidi w:val="0"/>
        <w:adjustRightInd/>
        <w:spacing w:line="480" w:lineRule="auto"/>
        <w:textAlignment w:val="auto"/>
        <w:rPr>
          <w:rFonts w:hint="eastAsia"/>
          <w:color w:val="000000"/>
          <w:sz w:val="24"/>
          <w:szCs w:val="24"/>
        </w:rPr>
      </w:pPr>
    </w:p>
    <w:p w14:paraId="1E524E67">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投标人：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（盖章）  </w:t>
      </w:r>
    </w:p>
    <w:p w14:paraId="1EADCD3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312F36A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r>
        <w:rPr>
          <w:rFonts w:hint="eastAsia" w:ascii="宋体" w:hAnsi="宋体" w:cs="宋体"/>
          <w:b/>
          <w:color w:val="000000"/>
          <w:sz w:val="24"/>
          <w:szCs w:val="24"/>
        </w:rPr>
        <w:t>法定代表人</w:t>
      </w:r>
      <w:r>
        <w:rPr>
          <w:rFonts w:hint="eastAsia" w:ascii="宋体" w:hAnsi="宋体" w:cs="宋体"/>
          <w:b/>
          <w:color w:val="000000"/>
          <w:sz w:val="24"/>
          <w:szCs w:val="24"/>
          <w:lang w:val="en-US" w:eastAsia="zh-CN"/>
        </w:rPr>
        <w:t>或</w:t>
      </w:r>
      <w:r>
        <w:rPr>
          <w:rFonts w:hint="eastAsia" w:ascii="宋体" w:hAnsi="宋体" w:cs="宋体"/>
          <w:b/>
          <w:color w:val="000000"/>
          <w:sz w:val="24"/>
          <w:szCs w:val="24"/>
        </w:rPr>
        <w:t>委托代理人：</w:t>
      </w:r>
      <w:r>
        <w:rPr>
          <w:rFonts w:hint="eastAsia" w:ascii="宋体" w:hAnsi="宋体" w:cs="宋体"/>
          <w:b/>
          <w:color w:val="000000"/>
          <w:sz w:val="24"/>
          <w:szCs w:val="24"/>
          <w:u w:val="single"/>
        </w:rPr>
        <w:t xml:space="preserve">        </w:t>
      </w:r>
      <w:r>
        <w:rPr>
          <w:rFonts w:hint="eastAsia" w:ascii="宋体" w:hAnsi="宋体" w:cs="宋体"/>
          <w:b/>
          <w:color w:val="000000"/>
          <w:sz w:val="24"/>
          <w:szCs w:val="24"/>
        </w:rPr>
        <w:t xml:space="preserve"> （签字或</w:t>
      </w:r>
      <w:r>
        <w:rPr>
          <w:rFonts w:hint="eastAsia" w:ascii="宋体" w:hAnsi="宋体" w:cs="宋体"/>
          <w:b/>
          <w:color w:val="000000"/>
          <w:sz w:val="24"/>
          <w:szCs w:val="24"/>
          <w:lang w:val="en-US" w:eastAsia="zh-CN"/>
        </w:rPr>
        <w:t>盖章</w:t>
      </w:r>
      <w:r>
        <w:rPr>
          <w:rFonts w:hint="eastAsia" w:ascii="宋体" w:hAnsi="宋体" w:cs="宋体"/>
          <w:b/>
          <w:color w:val="000000"/>
          <w:sz w:val="24"/>
          <w:szCs w:val="24"/>
        </w:rPr>
        <w:t>）</w:t>
      </w:r>
    </w:p>
    <w:p w14:paraId="7DACC67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sz w:val="24"/>
          <w:szCs w:val="24"/>
        </w:rPr>
      </w:pPr>
    </w:p>
    <w:p w14:paraId="55873425">
      <w:pPr>
        <w:pStyle w:val="32"/>
        <w:spacing w:before="0" w:beforeAutospacing="0" w:after="0" w:afterAutospacing="0" w:line="360" w:lineRule="auto"/>
        <w:ind w:firstLine="482" w:firstLineChars="200"/>
        <w:jc w:val="both"/>
        <w:rPr>
          <w:rFonts w:hint="eastAsia"/>
          <w:color w:val="000000" w:themeColor="text1"/>
          <w:szCs w:val="24"/>
          <w14:textFill>
            <w14:solidFill>
              <w14:schemeClr w14:val="tx1"/>
            </w14:solidFill>
          </w14:textFill>
        </w:rPr>
      </w:pPr>
      <w:r>
        <w:rPr>
          <w:rFonts w:hint="eastAsia" w:ascii="宋体" w:hAnsi="宋体" w:cs="宋体"/>
          <w:b/>
          <w:color w:val="000000"/>
          <w:sz w:val="24"/>
          <w:szCs w:val="24"/>
        </w:rPr>
        <w:t>日    期：  年  月  日</w:t>
      </w:r>
    </w:p>
    <w:p w14:paraId="67BA6B0F">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09936D08">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5532149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19E52B7A">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4FDE279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7B93A6E3">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color w:val="000000" w:themeColor="text1"/>
          <w:sz w:val="28"/>
          <w:szCs w:val="28"/>
          <w14:textFill>
            <w14:solidFill>
              <w14:schemeClr w14:val="tx1"/>
            </w14:solidFill>
          </w14:textFill>
        </w:rPr>
      </w:pPr>
    </w:p>
    <w:p w14:paraId="090FB458">
      <w:pPr>
        <w:spacing w:line="360" w:lineRule="auto"/>
        <w:rPr>
          <w:rFonts w:hint="eastAsia" w:ascii="宋体" w:hAnsi="宋体" w:cs="宋体"/>
          <w:b/>
          <w:color w:val="000000" w:themeColor="text1"/>
          <w:sz w:val="28"/>
          <w:szCs w:val="28"/>
          <w14:textFill>
            <w14:solidFill>
              <w14:schemeClr w14:val="tx1"/>
            </w14:solidFill>
          </w14:textFill>
        </w:rPr>
      </w:pPr>
    </w:p>
    <w:p w14:paraId="311B6F9E">
      <w:pPr>
        <w:pStyle w:val="13"/>
        <w:ind w:left="1470" w:right="1470"/>
        <w:rPr>
          <w:rFonts w:hint="eastAsia"/>
          <w:color w:val="000000" w:themeColor="text1"/>
          <w14:textFill>
            <w14:solidFill>
              <w14:schemeClr w14:val="tx1"/>
            </w14:solidFill>
          </w14:textFill>
        </w:rPr>
      </w:pPr>
    </w:p>
    <w:p w14:paraId="5BC14BB6">
      <w:pPr>
        <w:pStyle w:val="13"/>
        <w:ind w:left="0" w:leftChars="0" w:right="1470" w:firstLine="0" w:firstLineChars="0"/>
        <w:rPr>
          <w:rFonts w:hint="eastAsia"/>
          <w:color w:val="000000" w:themeColor="text1"/>
          <w14:textFill>
            <w14:solidFill>
              <w14:schemeClr w14:val="tx1"/>
            </w14:solidFill>
          </w14:textFill>
        </w:rPr>
      </w:pPr>
    </w:p>
    <w:p w14:paraId="479DF98E">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en-US" w:eastAsia="zh-CN"/>
          <w14:textFill>
            <w14:solidFill>
              <w14:schemeClr w14:val="tx1"/>
            </w14:solidFill>
          </w14:textFill>
        </w:rPr>
        <w:t>四、</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en-US" w:eastAsia="zh-CN"/>
          <w14:textFill>
            <w14:solidFill>
              <w14:schemeClr w14:val="tx1"/>
            </w14:solidFill>
          </w14:textFill>
        </w:rPr>
        <w:t>投标</w:t>
      </w:r>
      <w:r>
        <w:rPr>
          <w:rFonts w:hint="eastAsia" w:ascii="宋体" w:hAnsi="宋体" w:eastAsia="宋体" w:cs="宋体"/>
          <w:b/>
          <w:color w:val="000000" w:themeColor="text1"/>
          <w:sz w:val="28"/>
          <w:szCs w:val="28"/>
          <w14:textFill>
            <w14:solidFill>
              <w14:schemeClr w14:val="tx1"/>
            </w14:solidFill>
          </w14:textFill>
        </w:rPr>
        <w:t>分项报价表</w:t>
      </w:r>
    </w:p>
    <w:tbl>
      <w:tblPr>
        <w:tblStyle w:val="35"/>
        <w:tblpPr w:leftFromText="180" w:rightFromText="180" w:vertAnchor="text" w:horzAnchor="page" w:tblpXSpec="center" w:tblpY="535"/>
        <w:tblOverlap w:val="never"/>
        <w:tblW w:w="92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21"/>
        <w:gridCol w:w="1143"/>
        <w:gridCol w:w="861"/>
        <w:gridCol w:w="1198"/>
        <w:gridCol w:w="891"/>
        <w:gridCol w:w="1008"/>
        <w:gridCol w:w="1138"/>
        <w:gridCol w:w="1138"/>
        <w:gridCol w:w="1138"/>
      </w:tblGrid>
      <w:tr w14:paraId="3B52C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exact"/>
          <w:jc w:val="center"/>
        </w:trPr>
        <w:tc>
          <w:tcPr>
            <w:tcW w:w="721" w:type="dxa"/>
            <w:tcBorders>
              <w:top w:val="single" w:color="000000" w:sz="2" w:space="0"/>
              <w:left w:val="single" w:color="000000" w:sz="2" w:space="0"/>
              <w:bottom w:val="single" w:color="000000" w:sz="2" w:space="0"/>
              <w:right w:val="single" w:color="000000" w:sz="2" w:space="0"/>
            </w:tcBorders>
            <w:noWrap w:val="0"/>
            <w:vAlign w:val="top"/>
          </w:tcPr>
          <w:p w14:paraId="2B911053">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序号</w:t>
            </w:r>
          </w:p>
        </w:tc>
        <w:tc>
          <w:tcPr>
            <w:tcW w:w="1143" w:type="dxa"/>
            <w:tcBorders>
              <w:top w:val="single" w:color="000000" w:sz="2" w:space="0"/>
              <w:left w:val="single" w:color="auto" w:sz="4" w:space="0"/>
              <w:bottom w:val="single" w:color="000000" w:sz="2" w:space="0"/>
              <w:right w:val="single" w:color="000000" w:sz="2" w:space="0"/>
            </w:tcBorders>
            <w:noWrap w:val="0"/>
            <w:vAlign w:val="top"/>
          </w:tcPr>
          <w:p w14:paraId="71E6EDBD">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标的</w:t>
            </w:r>
            <w:r>
              <w:rPr>
                <w:rFonts w:hint="eastAsia" w:ascii="宋体" w:hAnsi="宋体" w:eastAsia="宋体" w:cs="宋体"/>
                <w:color w:val="000000" w:themeColor="text1"/>
                <w:sz w:val="24"/>
                <w:szCs w:val="24"/>
                <w14:textFill>
                  <w14:solidFill>
                    <w14:schemeClr w14:val="tx1"/>
                  </w14:solidFill>
                </w14:textFill>
              </w:rPr>
              <w:t>名称</w:t>
            </w:r>
          </w:p>
        </w:tc>
        <w:tc>
          <w:tcPr>
            <w:tcW w:w="861" w:type="dxa"/>
            <w:tcBorders>
              <w:top w:val="single" w:color="000000" w:sz="2" w:space="0"/>
              <w:left w:val="single" w:color="auto" w:sz="4" w:space="0"/>
              <w:bottom w:val="single" w:color="000000" w:sz="2" w:space="0"/>
              <w:right w:val="single" w:color="auto" w:sz="4" w:space="0"/>
            </w:tcBorders>
            <w:noWrap w:val="0"/>
            <w:vAlign w:val="top"/>
          </w:tcPr>
          <w:p w14:paraId="3B6011BA">
            <w:pPr>
              <w:pageBreakBefore w:val="0"/>
              <w:wordWrap/>
              <w:topLinePunct w:val="0"/>
              <w:bidi w:val="0"/>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品牌</w:t>
            </w:r>
          </w:p>
        </w:tc>
        <w:tc>
          <w:tcPr>
            <w:tcW w:w="1198" w:type="dxa"/>
            <w:tcBorders>
              <w:top w:val="single" w:color="000000" w:sz="2" w:space="0"/>
              <w:left w:val="single" w:color="auto" w:sz="4" w:space="0"/>
              <w:bottom w:val="single" w:color="000000" w:sz="2" w:space="0"/>
              <w:right w:val="single" w:color="000000" w:sz="2" w:space="0"/>
            </w:tcBorders>
            <w:noWrap w:val="0"/>
            <w:vAlign w:val="top"/>
          </w:tcPr>
          <w:p w14:paraId="1DCE5A9D">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制造商</w:t>
            </w:r>
          </w:p>
        </w:tc>
        <w:tc>
          <w:tcPr>
            <w:tcW w:w="891" w:type="dxa"/>
            <w:tcBorders>
              <w:top w:val="single" w:color="000000" w:sz="2" w:space="0"/>
              <w:left w:val="single" w:color="auto" w:sz="4" w:space="0"/>
              <w:bottom w:val="single" w:color="000000" w:sz="2" w:space="0"/>
              <w:right w:val="single" w:color="000000" w:sz="2" w:space="0"/>
            </w:tcBorders>
            <w:noWrap w:val="0"/>
            <w:vAlign w:val="top"/>
          </w:tcPr>
          <w:p w14:paraId="3E80E96F">
            <w:pPr>
              <w:pageBreakBefore w:val="0"/>
              <w:wordWrap/>
              <w:topLinePunct w:val="0"/>
              <w:bidi w:val="0"/>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型号</w:t>
            </w:r>
          </w:p>
        </w:tc>
        <w:tc>
          <w:tcPr>
            <w:tcW w:w="1008" w:type="dxa"/>
            <w:tcBorders>
              <w:top w:val="single" w:color="000000" w:sz="2" w:space="0"/>
              <w:left w:val="single" w:color="auto" w:sz="4" w:space="0"/>
              <w:bottom w:val="single" w:color="000000" w:sz="2" w:space="0"/>
              <w:right w:val="single" w:color="000000" w:sz="2" w:space="0"/>
            </w:tcBorders>
            <w:noWrap w:val="0"/>
            <w:vAlign w:val="top"/>
          </w:tcPr>
          <w:p w14:paraId="1F0A974F">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数量</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F51A1E2">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单位</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54270C47">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单价</w:t>
            </w:r>
            <w:r>
              <w:rPr>
                <w:rFonts w:hint="eastAsia" w:ascii="宋体" w:hAnsi="宋体" w:eastAsia="宋体" w:cs="宋体"/>
                <w:color w:val="000000" w:themeColor="text1"/>
                <w:sz w:val="24"/>
                <w:szCs w:val="24"/>
                <w:lang w:eastAsia="zh-CN"/>
                <w14:textFill>
                  <w14:solidFill>
                    <w14:schemeClr w14:val="tx1"/>
                  </w14:solidFill>
                </w14:textFill>
              </w:rPr>
              <w:t>（元）</w:t>
            </w:r>
          </w:p>
        </w:tc>
        <w:tc>
          <w:tcPr>
            <w:tcW w:w="1138" w:type="dxa"/>
            <w:tcBorders>
              <w:top w:val="single" w:color="000000" w:sz="2" w:space="0"/>
              <w:left w:val="single" w:color="auto" w:sz="4" w:space="0"/>
              <w:bottom w:val="single" w:color="000000" w:sz="2" w:space="0"/>
              <w:right w:val="single" w:color="000000" w:sz="2" w:space="0"/>
            </w:tcBorders>
            <w:noWrap w:val="0"/>
            <w:vAlign w:val="top"/>
          </w:tcPr>
          <w:p w14:paraId="7D8E21C6">
            <w:pPr>
              <w:pageBreakBefore w:val="0"/>
              <w:wordWrap/>
              <w:topLinePunct w:val="0"/>
              <w:bidi w:val="0"/>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总价</w:t>
            </w:r>
            <w:r>
              <w:rPr>
                <w:rFonts w:hint="eastAsia" w:ascii="宋体" w:hAnsi="宋体" w:eastAsia="宋体" w:cs="宋体"/>
                <w:color w:val="000000" w:themeColor="text1"/>
                <w:sz w:val="24"/>
                <w:szCs w:val="24"/>
                <w:lang w:eastAsia="zh-CN"/>
                <w14:textFill>
                  <w14:solidFill>
                    <w14:schemeClr w14:val="tx1"/>
                  </w14:solidFill>
                </w14:textFill>
              </w:rPr>
              <w:t>（元）</w:t>
            </w:r>
          </w:p>
        </w:tc>
      </w:tr>
      <w:tr w14:paraId="691ED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624DE3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8CA229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61A07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AFA5A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5F0906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4685699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FEB9FB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8F29B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9A8622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FF62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26A98A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641706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AB5365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1ACAE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5618D3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7CC211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6C1E1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A40862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609500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3FF88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799B54E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EB88A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78D7B2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324230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22840CD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FD3B8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861385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8E7570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D9D492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0441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65B43D4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086197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2C7B395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6731D69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1F6FFC2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02B799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0A989C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59A8D6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43761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C3F4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E02DCD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709CE64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CCB40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0EAB1DD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D3B5A2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600B31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974A3B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2F8917C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BF4380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1248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4A182D9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453EBDD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0623278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257BF8A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A86394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1D519E76">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EFF5B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390F56A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54FB5EC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28CC2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18BF6C4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0F38E57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4EC0844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5F36255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3CB0ADA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314B3D8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D6D936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1F3E175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4FB334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5F2BD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174FC02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7B2080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877D8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E9B7CE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FA112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2BAD7A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1F22B23C">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7C12291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224BB6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436F4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00C1E1A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6EDA9B39">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0D45B07">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3783381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7212A9B4">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3305BEA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A79EDB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6CF64D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5EBE8A3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7FB87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auto" w:sz="4" w:space="0"/>
              <w:right w:val="single" w:color="000000" w:sz="2" w:space="0"/>
            </w:tcBorders>
            <w:noWrap w:val="0"/>
            <w:vAlign w:val="top"/>
          </w:tcPr>
          <w:p w14:paraId="7B1D21FE">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auto" w:sz="4" w:space="0"/>
              <w:right w:val="single" w:color="000000" w:sz="2" w:space="0"/>
            </w:tcBorders>
            <w:noWrap w:val="0"/>
            <w:vAlign w:val="top"/>
          </w:tcPr>
          <w:p w14:paraId="2496C3C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auto" w:sz="4" w:space="0"/>
              <w:right w:val="single" w:color="auto" w:sz="4" w:space="0"/>
            </w:tcBorders>
            <w:noWrap w:val="0"/>
            <w:vAlign w:val="top"/>
          </w:tcPr>
          <w:p w14:paraId="13A90BE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auto" w:sz="4" w:space="0"/>
              <w:right w:val="single" w:color="000000" w:sz="2" w:space="0"/>
            </w:tcBorders>
            <w:noWrap w:val="0"/>
            <w:vAlign w:val="top"/>
          </w:tcPr>
          <w:p w14:paraId="2C90061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auto" w:sz="4" w:space="0"/>
              <w:right w:val="single" w:color="000000" w:sz="2" w:space="0"/>
            </w:tcBorders>
            <w:noWrap w:val="0"/>
            <w:vAlign w:val="top"/>
          </w:tcPr>
          <w:p w14:paraId="521E78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auto" w:sz="4" w:space="0"/>
              <w:right w:val="single" w:color="000000" w:sz="2" w:space="0"/>
            </w:tcBorders>
            <w:noWrap w:val="0"/>
            <w:vAlign w:val="top"/>
          </w:tcPr>
          <w:p w14:paraId="76B4C5B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4D5D703D">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39C0CA91">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auto" w:sz="4" w:space="0"/>
              <w:right w:val="single" w:color="000000" w:sz="2" w:space="0"/>
            </w:tcBorders>
            <w:noWrap w:val="0"/>
            <w:vAlign w:val="top"/>
          </w:tcPr>
          <w:p w14:paraId="014B40C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r w14:paraId="1CD77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8" w:hRule="exact"/>
          <w:jc w:val="center"/>
        </w:trPr>
        <w:tc>
          <w:tcPr>
            <w:tcW w:w="721" w:type="dxa"/>
            <w:tcBorders>
              <w:top w:val="single" w:color="auto" w:sz="4" w:space="0"/>
              <w:left w:val="single" w:color="000000" w:sz="2" w:space="0"/>
              <w:bottom w:val="single" w:color="000000" w:sz="2" w:space="0"/>
              <w:right w:val="single" w:color="000000" w:sz="2" w:space="0"/>
            </w:tcBorders>
            <w:noWrap w:val="0"/>
            <w:vAlign w:val="top"/>
          </w:tcPr>
          <w:p w14:paraId="5E56EAD3">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43" w:type="dxa"/>
            <w:tcBorders>
              <w:top w:val="single" w:color="auto" w:sz="4" w:space="0"/>
              <w:left w:val="single" w:color="auto" w:sz="4" w:space="0"/>
              <w:bottom w:val="single" w:color="000000" w:sz="2" w:space="0"/>
              <w:right w:val="single" w:color="000000" w:sz="2" w:space="0"/>
            </w:tcBorders>
            <w:noWrap w:val="0"/>
            <w:vAlign w:val="top"/>
          </w:tcPr>
          <w:p w14:paraId="1B7D147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61" w:type="dxa"/>
            <w:tcBorders>
              <w:top w:val="single" w:color="auto" w:sz="4" w:space="0"/>
              <w:left w:val="single" w:color="auto" w:sz="4" w:space="0"/>
              <w:bottom w:val="single" w:color="000000" w:sz="2" w:space="0"/>
              <w:right w:val="single" w:color="auto" w:sz="4" w:space="0"/>
            </w:tcBorders>
            <w:noWrap w:val="0"/>
            <w:vAlign w:val="top"/>
          </w:tcPr>
          <w:p w14:paraId="3F58525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98" w:type="dxa"/>
            <w:tcBorders>
              <w:top w:val="single" w:color="auto" w:sz="4" w:space="0"/>
              <w:left w:val="single" w:color="auto" w:sz="4" w:space="0"/>
              <w:bottom w:val="single" w:color="000000" w:sz="2" w:space="0"/>
              <w:right w:val="single" w:color="000000" w:sz="2" w:space="0"/>
            </w:tcBorders>
            <w:noWrap w:val="0"/>
            <w:vAlign w:val="top"/>
          </w:tcPr>
          <w:p w14:paraId="40C3ABA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891" w:type="dxa"/>
            <w:tcBorders>
              <w:top w:val="single" w:color="auto" w:sz="4" w:space="0"/>
              <w:left w:val="single" w:color="auto" w:sz="4" w:space="0"/>
              <w:bottom w:val="single" w:color="000000" w:sz="2" w:space="0"/>
              <w:right w:val="single" w:color="000000" w:sz="2" w:space="0"/>
            </w:tcBorders>
            <w:noWrap w:val="0"/>
            <w:vAlign w:val="top"/>
          </w:tcPr>
          <w:p w14:paraId="716EFF2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008" w:type="dxa"/>
            <w:tcBorders>
              <w:top w:val="single" w:color="auto" w:sz="4" w:space="0"/>
              <w:left w:val="single" w:color="auto" w:sz="4" w:space="0"/>
              <w:bottom w:val="single" w:color="000000" w:sz="2" w:space="0"/>
              <w:right w:val="single" w:color="000000" w:sz="2" w:space="0"/>
            </w:tcBorders>
            <w:noWrap w:val="0"/>
            <w:vAlign w:val="top"/>
          </w:tcPr>
          <w:p w14:paraId="7B68759F">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7EE215F0">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6CF0943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c>
          <w:tcPr>
            <w:tcW w:w="1138" w:type="dxa"/>
            <w:tcBorders>
              <w:top w:val="single" w:color="auto" w:sz="4" w:space="0"/>
              <w:left w:val="single" w:color="auto" w:sz="4" w:space="0"/>
              <w:bottom w:val="single" w:color="000000" w:sz="2" w:space="0"/>
              <w:right w:val="single" w:color="000000" w:sz="2" w:space="0"/>
            </w:tcBorders>
            <w:noWrap w:val="0"/>
            <w:vAlign w:val="top"/>
          </w:tcPr>
          <w:p w14:paraId="4C396FE5">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p>
        </w:tc>
      </w:tr>
    </w:tbl>
    <w:p w14:paraId="74C7A333">
      <w:pPr>
        <w:adjustRightInd w:val="0"/>
        <w:snapToGrid w:val="0"/>
        <w:spacing w:line="360" w:lineRule="auto"/>
        <w:rPr>
          <w:rFonts w:hint="eastAsia" w:ascii="宋体" w:hAnsi="宋体" w:eastAsia="宋体" w:cs="宋体"/>
          <w:bCs/>
          <w:color w:val="000000" w:themeColor="text1"/>
          <w:sz w:val="24"/>
          <w:szCs w:val="24"/>
          <w14:textFill>
            <w14:solidFill>
              <w14:schemeClr w14:val="tx1"/>
            </w14:solidFill>
          </w14:textFill>
        </w:rPr>
      </w:pPr>
    </w:p>
    <w:p w14:paraId="3B8CF3C3">
      <w:pPr>
        <w:pStyle w:val="20"/>
        <w:rPr>
          <w:rFonts w:hint="eastAsia" w:ascii="宋体" w:hAnsi="宋体" w:eastAsia="宋体" w:cs="宋体"/>
          <w:bCs/>
          <w:color w:val="000000" w:themeColor="text1"/>
          <w:sz w:val="24"/>
          <w:szCs w:val="24"/>
          <w14:textFill>
            <w14:solidFill>
              <w14:schemeClr w14:val="tx1"/>
            </w14:solidFill>
          </w14:textFill>
        </w:rPr>
      </w:pPr>
    </w:p>
    <w:p w14:paraId="40CE2D39">
      <w:pPr>
        <w:pStyle w:val="20"/>
        <w:rPr>
          <w:rFonts w:hint="eastAsia" w:ascii="宋体" w:hAnsi="宋体" w:eastAsia="宋体" w:cs="宋体"/>
          <w:bCs/>
          <w:color w:val="000000" w:themeColor="text1"/>
          <w:sz w:val="24"/>
          <w:szCs w:val="24"/>
          <w14:textFill>
            <w14:solidFill>
              <w14:schemeClr w14:val="tx1"/>
            </w14:solidFill>
          </w14:textFill>
        </w:rPr>
      </w:pPr>
    </w:p>
    <w:p w14:paraId="6F7A36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57AEF8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0D3494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17355DC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E76040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7C84F80D">
      <w:pPr>
        <w:pStyle w:val="11"/>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color w:val="000000" w:themeColor="text1"/>
          <w:sz w:val="24"/>
          <w:szCs w:val="24"/>
          <w14:textFill>
            <w14:solidFill>
              <w14:schemeClr w14:val="tx1"/>
            </w14:solidFill>
          </w14:textFill>
        </w:rPr>
      </w:pPr>
    </w:p>
    <w:p w14:paraId="5D68DFD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b/>
          <w:bCs/>
          <w:color w:val="000000" w:themeColor="text1"/>
          <w:sz w:val="24"/>
          <w:szCs w:val="24"/>
          <w:lang w:val="en-US" w:eastAsia="zh-CN"/>
          <w14:textFill>
            <w14:solidFill>
              <w14:schemeClr w14:val="tx1"/>
            </w14:solidFill>
          </w14:textFill>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bCs/>
          <w:color w:val="000000" w:themeColor="text1"/>
          <w:sz w:val="24"/>
          <w:szCs w:val="24"/>
          <w14:textFill>
            <w14:solidFill>
              <w14:schemeClr w14:val="tx1"/>
            </w14:solidFill>
          </w14:textFill>
        </w:rPr>
        <w:t>注：表格中的“总价”与“</w:t>
      </w:r>
      <w:r>
        <w:rPr>
          <w:rFonts w:hint="eastAsia" w:ascii="宋体" w:hAnsi="宋体" w:cs="宋体"/>
          <w:b/>
          <w:bCs/>
          <w:color w:val="000000" w:themeColor="text1"/>
          <w:sz w:val="24"/>
          <w:szCs w:val="24"/>
          <w:lang w:eastAsia="zh-CN"/>
          <w14:textFill>
            <w14:solidFill>
              <w14:schemeClr w14:val="tx1"/>
            </w14:solidFill>
          </w14:textFill>
        </w:rPr>
        <w:t>开标一览表</w:t>
      </w:r>
      <w:r>
        <w:rPr>
          <w:rFonts w:hint="eastAsia" w:ascii="宋体" w:hAnsi="宋体" w:eastAsia="宋体" w:cs="宋体"/>
          <w:b/>
          <w:bCs/>
          <w:color w:val="000000" w:themeColor="text1"/>
          <w:sz w:val="24"/>
          <w:szCs w:val="24"/>
          <w14:textFill>
            <w14:solidFill>
              <w14:schemeClr w14:val="tx1"/>
            </w14:solidFill>
          </w14:textFill>
        </w:rPr>
        <w:t>”中的“</w:t>
      </w:r>
      <w:r>
        <w:rPr>
          <w:rFonts w:hint="eastAsia" w:ascii="宋体" w:hAnsi="宋体" w:eastAsia="宋体" w:cs="宋体"/>
          <w:b/>
          <w:bCs/>
          <w:color w:val="000000" w:themeColor="text1"/>
          <w:sz w:val="24"/>
          <w:szCs w:val="24"/>
          <w:lang w:val="en-US" w:eastAsia="zh-CN"/>
          <w14:textFill>
            <w14:solidFill>
              <w14:schemeClr w14:val="tx1"/>
            </w14:solidFill>
          </w14:textFill>
        </w:rPr>
        <w:t>投标</w:t>
      </w:r>
      <w:r>
        <w:rPr>
          <w:rFonts w:hint="eastAsia" w:ascii="宋体" w:hAnsi="宋体" w:eastAsia="宋体" w:cs="宋体"/>
          <w:b/>
          <w:bCs/>
          <w:color w:val="000000" w:themeColor="text1"/>
          <w:sz w:val="24"/>
          <w:szCs w:val="24"/>
          <w14:textFill>
            <w14:solidFill>
              <w14:schemeClr w14:val="tx1"/>
            </w14:solidFill>
          </w14:textFill>
        </w:rPr>
        <w:t>报价”一致</w:t>
      </w:r>
      <w:r>
        <w:rPr>
          <w:rFonts w:hint="eastAsia" w:ascii="宋体" w:hAnsi="宋体" w:eastAsia="宋体" w:cs="宋体"/>
          <w:b/>
          <w:bCs/>
          <w:color w:val="000000" w:themeColor="text1"/>
          <w:sz w:val="24"/>
          <w:szCs w:val="24"/>
          <w:lang w:eastAsia="zh-CN"/>
          <w14:textFill>
            <w14:solidFill>
              <w14:schemeClr w14:val="tx1"/>
            </w14:solidFill>
          </w14:textFill>
        </w:rPr>
        <w:t>。</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p>
    <w:p w14:paraId="1FD7CD00">
      <w:pPr>
        <w:keepNext w:val="0"/>
        <w:keepLines w:val="0"/>
        <w:pageBreakBefore w:val="0"/>
        <w:widowControl w:val="0"/>
        <w:tabs>
          <w:tab w:val="left" w:pos="5110"/>
        </w:tabs>
        <w:kinsoku/>
        <w:wordWrap/>
        <w:overflowPunct/>
        <w:topLinePunct w:val="0"/>
        <w:autoSpaceDE/>
        <w:autoSpaceDN/>
        <w:bidi w:val="0"/>
        <w:adjustRightInd/>
        <w:snapToGrid/>
        <w:spacing w:line="360" w:lineRule="auto"/>
        <w:ind w:right="0"/>
        <w:jc w:val="center"/>
        <w:textAlignment w:val="auto"/>
        <w:rPr>
          <w:rFonts w:hint="eastAsia" w:ascii="宋体" w:hAnsi="宋体" w:eastAsia="宋体" w:cs="宋体"/>
          <w:b/>
          <w:bCs/>
          <w:color w:val="000000" w:themeColor="text1"/>
          <w:sz w:val="28"/>
          <w:szCs w:val="28"/>
          <w:u w:val="none"/>
          <w14:textFill>
            <w14:solidFill>
              <w14:schemeClr w14:val="tx1"/>
            </w14:solidFill>
          </w14:textFill>
        </w:rPr>
      </w:pPr>
      <w:r>
        <w:rPr>
          <w:rFonts w:hint="eastAsia" w:ascii="宋体" w:hAnsi="宋体" w:eastAsia="宋体" w:cs="宋体"/>
          <w:b/>
          <w:bCs/>
          <w:color w:val="000000" w:themeColor="text1"/>
          <w:sz w:val="28"/>
          <w:szCs w:val="28"/>
          <w:u w:val="none"/>
          <w:lang w:val="en-US" w:eastAsia="zh-CN"/>
          <w14:textFill>
            <w14:solidFill>
              <w14:schemeClr w14:val="tx1"/>
            </w14:solidFill>
          </w14:textFill>
        </w:rPr>
        <w:t>五、</w:t>
      </w:r>
      <w:r>
        <w:rPr>
          <w:rFonts w:hint="eastAsia" w:ascii="宋体" w:hAnsi="宋体" w:eastAsia="宋体" w:cs="宋体"/>
          <w:b/>
          <w:bCs/>
          <w:color w:val="000000" w:themeColor="text1"/>
          <w:sz w:val="28"/>
          <w:szCs w:val="28"/>
          <w:u w:val="none"/>
          <w14:textFill>
            <w14:solidFill>
              <w14:schemeClr w14:val="tx1"/>
            </w14:solidFill>
          </w14:textFill>
        </w:rPr>
        <w:t>偏离表</w:t>
      </w:r>
    </w:p>
    <w:p w14:paraId="0EB51DA6">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p>
    <w:p w14:paraId="670E3774">
      <w:pPr>
        <w:adjustRightIn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1.技术规范偏离表</w:t>
      </w:r>
    </w:p>
    <w:tbl>
      <w:tblPr>
        <w:tblStyle w:val="35"/>
        <w:tblW w:w="0" w:type="auto"/>
        <w:jc w:val="center"/>
        <w:tblBorders>
          <w:top w:val="double" w:color="auto" w:sz="6" w:space="0"/>
          <w:left w:val="double" w:color="auto" w:sz="6" w:space="0"/>
          <w:bottom w:val="double" w:color="auto" w:sz="6" w:space="0"/>
          <w:right w:val="double" w:color="auto" w:sz="6" w:space="0"/>
          <w:insideH w:val="none" w:color="auto" w:sz="0" w:space="0"/>
          <w:insideV w:val="none" w:color="auto" w:sz="0" w:space="0"/>
        </w:tblBorders>
        <w:tblLayout w:type="fixed"/>
        <w:tblCellMar>
          <w:top w:w="0" w:type="dxa"/>
          <w:left w:w="28" w:type="dxa"/>
          <w:bottom w:w="0" w:type="dxa"/>
          <w:right w:w="28" w:type="dxa"/>
        </w:tblCellMar>
      </w:tblPr>
      <w:tblGrid>
        <w:gridCol w:w="648"/>
        <w:gridCol w:w="3367"/>
        <w:gridCol w:w="3368"/>
        <w:gridCol w:w="776"/>
        <w:gridCol w:w="777"/>
      </w:tblGrid>
      <w:tr w14:paraId="6F0DABA2">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77" w:hRule="atLeast"/>
          <w:jc w:val="center"/>
        </w:trPr>
        <w:tc>
          <w:tcPr>
            <w:tcW w:w="648" w:type="dxa"/>
            <w:vMerge w:val="restart"/>
            <w:tcBorders>
              <w:top w:val="double" w:color="auto" w:sz="6" w:space="0"/>
              <w:left w:val="double" w:color="auto" w:sz="6" w:space="0"/>
              <w:right w:val="single" w:color="000000" w:sz="6" w:space="0"/>
            </w:tcBorders>
            <w:noWrap w:val="0"/>
            <w:vAlign w:val="center"/>
          </w:tcPr>
          <w:p w14:paraId="2603F063">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序号</w:t>
            </w:r>
          </w:p>
        </w:tc>
        <w:tc>
          <w:tcPr>
            <w:tcW w:w="3367" w:type="dxa"/>
            <w:tcBorders>
              <w:top w:val="double" w:color="auto" w:sz="6" w:space="0"/>
              <w:left w:val="single" w:color="000000" w:sz="6" w:space="0"/>
              <w:bottom w:val="single" w:color="auto" w:sz="4" w:space="0"/>
              <w:right w:val="single" w:color="000000" w:sz="6" w:space="0"/>
            </w:tcBorders>
            <w:noWrap w:val="0"/>
            <w:vAlign w:val="center"/>
          </w:tcPr>
          <w:p w14:paraId="530DF99E">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招标</w:t>
            </w:r>
            <w:r>
              <w:rPr>
                <w:rFonts w:hint="eastAsia" w:ascii="宋体" w:hAnsi="宋体" w:eastAsia="宋体" w:cs="宋体"/>
                <w:color w:val="000000" w:themeColor="text1"/>
                <w:sz w:val="28"/>
                <w:szCs w:val="28"/>
                <w14:textFill>
                  <w14:solidFill>
                    <w14:schemeClr w14:val="tx1"/>
                  </w14:solidFill>
                </w14:textFill>
              </w:rPr>
              <w:t>文件</w:t>
            </w:r>
          </w:p>
        </w:tc>
        <w:tc>
          <w:tcPr>
            <w:tcW w:w="3368" w:type="dxa"/>
            <w:tcBorders>
              <w:top w:val="double" w:color="auto" w:sz="6" w:space="0"/>
              <w:left w:val="single" w:color="000000" w:sz="6" w:space="0"/>
              <w:bottom w:val="single" w:color="auto" w:sz="4" w:space="0"/>
              <w:right w:val="single" w:color="000000" w:sz="6" w:space="0"/>
            </w:tcBorders>
            <w:noWrap w:val="0"/>
            <w:vAlign w:val="center"/>
          </w:tcPr>
          <w:p w14:paraId="1E10294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投标</w:t>
            </w:r>
            <w:r>
              <w:rPr>
                <w:rFonts w:hint="eastAsia" w:ascii="宋体" w:hAnsi="宋体" w:eastAsia="宋体" w:cs="宋体"/>
                <w:color w:val="000000" w:themeColor="text1"/>
                <w:sz w:val="28"/>
                <w:szCs w:val="28"/>
                <w14:textFill>
                  <w14:solidFill>
                    <w14:schemeClr w14:val="tx1"/>
                  </w14:solidFill>
                </w14:textFill>
              </w:rPr>
              <w:t>文件</w:t>
            </w:r>
          </w:p>
        </w:tc>
        <w:tc>
          <w:tcPr>
            <w:tcW w:w="776" w:type="dxa"/>
            <w:vMerge w:val="restart"/>
            <w:tcBorders>
              <w:top w:val="double" w:color="auto" w:sz="6" w:space="0"/>
              <w:left w:val="single" w:color="000000" w:sz="6" w:space="0"/>
              <w:right w:val="single" w:color="000000" w:sz="6" w:space="0"/>
            </w:tcBorders>
            <w:noWrap w:val="0"/>
            <w:vAlign w:val="center"/>
          </w:tcPr>
          <w:p w14:paraId="0400CEE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偏离</w:t>
            </w:r>
          </w:p>
        </w:tc>
        <w:tc>
          <w:tcPr>
            <w:tcW w:w="777" w:type="dxa"/>
            <w:vMerge w:val="restart"/>
            <w:tcBorders>
              <w:top w:val="double" w:color="auto" w:sz="6" w:space="0"/>
              <w:left w:val="single" w:color="000000" w:sz="6" w:space="0"/>
              <w:right w:val="double" w:color="auto" w:sz="6" w:space="0"/>
            </w:tcBorders>
            <w:noWrap w:val="0"/>
            <w:vAlign w:val="center"/>
          </w:tcPr>
          <w:p w14:paraId="66A0821A">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说明</w:t>
            </w:r>
          </w:p>
        </w:tc>
      </w:tr>
      <w:tr w14:paraId="1A17D3A7">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39" w:hRule="atLeast"/>
          <w:jc w:val="center"/>
        </w:trPr>
        <w:tc>
          <w:tcPr>
            <w:tcW w:w="648" w:type="dxa"/>
            <w:vMerge w:val="continue"/>
            <w:tcBorders>
              <w:left w:val="double" w:color="auto" w:sz="6" w:space="0"/>
              <w:bottom w:val="single" w:color="000000" w:sz="6" w:space="0"/>
              <w:right w:val="single" w:color="000000" w:sz="6" w:space="0"/>
            </w:tcBorders>
            <w:noWrap w:val="0"/>
            <w:vAlign w:val="center"/>
          </w:tcPr>
          <w:p w14:paraId="6C6B829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3367" w:type="dxa"/>
            <w:tcBorders>
              <w:top w:val="single" w:color="auto" w:sz="4" w:space="0"/>
              <w:left w:val="single" w:color="000000" w:sz="6" w:space="0"/>
              <w:bottom w:val="single" w:color="auto" w:sz="4" w:space="0"/>
              <w:right w:val="single" w:color="000000" w:sz="6" w:space="0"/>
            </w:tcBorders>
            <w:noWrap w:val="0"/>
            <w:vAlign w:val="center"/>
          </w:tcPr>
          <w:p w14:paraId="7F9D7D60">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简要内容</w:t>
            </w:r>
          </w:p>
        </w:tc>
        <w:tc>
          <w:tcPr>
            <w:tcW w:w="3368" w:type="dxa"/>
            <w:tcBorders>
              <w:top w:val="single" w:color="auto" w:sz="4" w:space="0"/>
              <w:left w:val="single" w:color="000000" w:sz="6" w:space="0"/>
              <w:bottom w:val="single" w:color="auto" w:sz="4" w:space="0"/>
              <w:right w:val="single" w:color="000000" w:sz="6" w:space="0"/>
            </w:tcBorders>
            <w:noWrap w:val="0"/>
            <w:vAlign w:val="center"/>
          </w:tcPr>
          <w:p w14:paraId="4949EB69">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内容</w:t>
            </w:r>
          </w:p>
        </w:tc>
        <w:tc>
          <w:tcPr>
            <w:tcW w:w="776" w:type="dxa"/>
            <w:vMerge w:val="continue"/>
            <w:tcBorders>
              <w:left w:val="single" w:color="000000" w:sz="6" w:space="0"/>
              <w:bottom w:val="single" w:color="000000" w:sz="6" w:space="0"/>
              <w:right w:val="single" w:color="000000" w:sz="6" w:space="0"/>
            </w:tcBorders>
            <w:noWrap w:val="0"/>
            <w:vAlign w:val="center"/>
          </w:tcPr>
          <w:p w14:paraId="2377698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777" w:type="dxa"/>
            <w:vMerge w:val="continue"/>
            <w:tcBorders>
              <w:left w:val="single" w:color="000000" w:sz="6" w:space="0"/>
              <w:bottom w:val="single" w:color="000000" w:sz="6" w:space="0"/>
              <w:right w:val="double" w:color="auto" w:sz="6" w:space="0"/>
            </w:tcBorders>
            <w:noWrap w:val="0"/>
            <w:vAlign w:val="center"/>
          </w:tcPr>
          <w:p w14:paraId="4724B454">
            <w:pPr>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r>
      <w:tr w14:paraId="1DC11C95">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A7C868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519F15B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A20D7A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236D501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47C850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253657A4">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31E184A6">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20EC6C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17B95C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60FE5D0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BCC4B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6F9D67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06E27C4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15BBD48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418CB2C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362F53E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23D14AF9">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34C6D14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5E253C04">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3E258C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5F392B0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7D5C6AF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95E9D5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1CEF8AB">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6521583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4752DF8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0FC5294E">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53B84292">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5FFD81A5">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r w14:paraId="52CE30AC">
        <w:tblPrEx>
          <w:tblBorders>
            <w:top w:val="double" w:color="auto" w:sz="6" w:space="0"/>
            <w:left w:val="double" w:color="auto" w:sz="6" w:space="0"/>
            <w:bottom w:val="double" w:color="auto" w:sz="6" w:space="0"/>
            <w:right w:val="double" w:color="auto" w:sz="6" w:space="0"/>
            <w:insideH w:val="none" w:color="auto" w:sz="0" w:space="0"/>
            <w:insideV w:val="none" w:color="auto" w:sz="0" w:space="0"/>
          </w:tblBorders>
          <w:tblCellMar>
            <w:top w:w="0" w:type="dxa"/>
            <w:left w:w="28" w:type="dxa"/>
            <w:bottom w:w="0" w:type="dxa"/>
            <w:right w:w="28" w:type="dxa"/>
          </w:tblCellMar>
        </w:tblPrEx>
        <w:trPr>
          <w:trHeight w:val="745" w:hRule="atLeast"/>
          <w:jc w:val="center"/>
        </w:trPr>
        <w:tc>
          <w:tcPr>
            <w:tcW w:w="648" w:type="dxa"/>
            <w:tcBorders>
              <w:top w:val="single" w:color="000000" w:sz="6" w:space="0"/>
              <w:left w:val="double" w:color="auto" w:sz="6" w:space="0"/>
              <w:bottom w:val="single" w:color="000000" w:sz="6" w:space="0"/>
              <w:right w:val="single" w:color="000000" w:sz="6" w:space="0"/>
            </w:tcBorders>
            <w:noWrap w:val="0"/>
            <w:vAlign w:val="center"/>
          </w:tcPr>
          <w:p w14:paraId="116EE0FB">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7" w:type="dxa"/>
            <w:tcBorders>
              <w:top w:val="single" w:color="000000" w:sz="6" w:space="0"/>
              <w:left w:val="single" w:color="000000" w:sz="6" w:space="0"/>
              <w:bottom w:val="single" w:color="000000" w:sz="6" w:space="0"/>
              <w:right w:val="single" w:color="000000" w:sz="6" w:space="0"/>
            </w:tcBorders>
            <w:noWrap w:val="0"/>
            <w:vAlign w:val="center"/>
          </w:tcPr>
          <w:p w14:paraId="68C0DA4C">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3368" w:type="dxa"/>
            <w:tcBorders>
              <w:top w:val="single" w:color="000000" w:sz="6" w:space="0"/>
              <w:left w:val="single" w:color="000000" w:sz="6" w:space="0"/>
              <w:bottom w:val="single" w:color="000000" w:sz="6" w:space="0"/>
              <w:right w:val="single" w:color="000000" w:sz="6" w:space="0"/>
            </w:tcBorders>
            <w:noWrap w:val="0"/>
            <w:vAlign w:val="center"/>
          </w:tcPr>
          <w:p w14:paraId="668FB2A8">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6" w:type="dxa"/>
            <w:tcBorders>
              <w:top w:val="single" w:color="000000" w:sz="6" w:space="0"/>
              <w:left w:val="single" w:color="000000" w:sz="6" w:space="0"/>
              <w:bottom w:val="single" w:color="000000" w:sz="6" w:space="0"/>
              <w:right w:val="single" w:color="000000" w:sz="6" w:space="0"/>
            </w:tcBorders>
            <w:noWrap w:val="0"/>
            <w:vAlign w:val="center"/>
          </w:tcPr>
          <w:p w14:paraId="13131B9F">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c>
          <w:tcPr>
            <w:tcW w:w="777" w:type="dxa"/>
            <w:tcBorders>
              <w:top w:val="single" w:color="000000" w:sz="6" w:space="0"/>
              <w:left w:val="single" w:color="000000" w:sz="6" w:space="0"/>
              <w:bottom w:val="single" w:color="000000" w:sz="6" w:space="0"/>
              <w:right w:val="double" w:color="auto" w:sz="6" w:space="0"/>
            </w:tcBorders>
            <w:noWrap w:val="0"/>
            <w:vAlign w:val="center"/>
          </w:tcPr>
          <w:p w14:paraId="6470AA83">
            <w:pPr>
              <w:adjustRightInd w:val="0"/>
              <w:spacing w:line="360" w:lineRule="auto"/>
              <w:jc w:val="center"/>
              <w:rPr>
                <w:rFonts w:hint="eastAsia" w:ascii="宋体" w:hAnsi="宋体" w:eastAsia="宋体" w:cs="宋体"/>
                <w:color w:val="000000" w:themeColor="text1"/>
                <w:sz w:val="24"/>
                <w14:textFill>
                  <w14:solidFill>
                    <w14:schemeClr w14:val="tx1"/>
                  </w14:solidFill>
                </w14:textFill>
              </w:rPr>
            </w:pPr>
          </w:p>
        </w:tc>
      </w:tr>
    </w:tbl>
    <w:p w14:paraId="7396D523">
      <w:pPr>
        <w:pStyle w:val="32"/>
        <w:spacing w:before="0" w:beforeAutospacing="0" w:after="0" w:afterAutospacing="0" w:line="360" w:lineRule="auto"/>
        <w:ind w:firstLine="562" w:firstLineChars="200"/>
        <w:jc w:val="both"/>
        <w:rPr>
          <w:rFonts w:hint="eastAsia" w:ascii="宋体" w:hAnsi="宋体" w:eastAsia="宋体" w:cs="宋体"/>
          <w:b/>
          <w:color w:val="000000" w:themeColor="text1"/>
          <w:sz w:val="28"/>
          <w:szCs w:val="28"/>
          <w:lang w:val="en-US" w:eastAsia="zh-CN"/>
          <w14:textFill>
            <w14:solidFill>
              <w14:schemeClr w14:val="tx1"/>
            </w14:solidFill>
          </w14:textFill>
        </w:rPr>
      </w:pPr>
    </w:p>
    <w:p w14:paraId="20A75146">
      <w:pPr>
        <w:pStyle w:val="32"/>
        <w:keepNext w:val="0"/>
        <w:keepLines w:val="0"/>
        <w:pageBreakBefore w:val="0"/>
        <w:kinsoku/>
        <w:wordWrap/>
        <w:overflowPunct/>
        <w:topLinePunct w:val="0"/>
        <w:autoSpaceDE/>
        <w:autoSpaceDN/>
        <w:bidi w:val="0"/>
        <w:adjustRightInd/>
        <w:spacing w:before="0" w:beforeAutospacing="0" w:after="0" w:afterAutospacing="0" w:line="360" w:lineRule="auto"/>
        <w:ind w:firstLine="480" w:firstLineChars="200"/>
        <w:jc w:val="both"/>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注：1、投标文件技术参数指标响应内容必须按照投标产品实际参数指标填写，与相关证明材料一致，不得直接将采购文件的技术参数指标要求完全复制作为投标文件响应内容，否则将会影响评审结果。</w:t>
      </w:r>
    </w:p>
    <w:p w14:paraId="7F500514">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2、务必完整填写所有指标响应参数；必须进行明确说明偏离情况。且偏离情况与实际相符，否则将会影响评审结果。</w:t>
      </w:r>
    </w:p>
    <w:p w14:paraId="4786D410">
      <w:pPr>
        <w:pStyle w:val="21"/>
        <w:keepNext w:val="0"/>
        <w:keepLines w:val="0"/>
        <w:pageBreakBefore w:val="0"/>
        <w:numPr>
          <w:ilvl w:val="0"/>
          <w:numId w:val="0"/>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color w:val="000000" w:themeColor="text1"/>
          <w:sz w:val="24"/>
          <w:szCs w:val="24"/>
          <w:lang w:val="en-US" w:eastAsia="zh-CN"/>
          <w14:textFill>
            <w14:solidFill>
              <w14:schemeClr w14:val="tx1"/>
            </w14:solidFill>
          </w14:textFill>
        </w:rPr>
      </w:pPr>
      <w:r>
        <w:rPr>
          <w:rFonts w:hint="eastAsia" w:ascii="宋体" w:hAnsi="宋体" w:eastAsia="宋体" w:cs="宋体"/>
          <w:b w:val="0"/>
          <w:bCs/>
          <w:color w:val="000000" w:themeColor="text1"/>
          <w:sz w:val="24"/>
          <w:szCs w:val="24"/>
          <w:lang w:val="en-US" w:eastAsia="zh-CN"/>
          <w14:textFill>
            <w14:solidFill>
              <w14:schemeClr w14:val="tx1"/>
            </w14:solidFill>
          </w14:textFill>
        </w:rPr>
        <w:t>3、采购文件中约定的每项采购内容的技术偏离情况都必须体现在此技术偏离表中，否则将会影响评审结果。</w:t>
      </w:r>
    </w:p>
    <w:p w14:paraId="61103FC1">
      <w:pPr>
        <w:pStyle w:val="32"/>
        <w:spacing w:before="0" w:beforeAutospacing="0" w:after="0" w:afterAutospacing="0" w:line="360" w:lineRule="auto"/>
        <w:ind w:firstLine="482" w:firstLineChars="200"/>
        <w:jc w:val="both"/>
        <w:rPr>
          <w:rFonts w:hint="eastAsia" w:eastAsia="宋体" w:cs="宋体"/>
          <w:b/>
          <w:color w:val="000000" w:themeColor="text1"/>
          <w:sz w:val="24"/>
          <w:szCs w:val="24"/>
          <w:lang w:val="en-US" w:eastAsia="zh-CN"/>
          <w14:textFill>
            <w14:solidFill>
              <w14:schemeClr w14:val="tx1"/>
            </w14:solidFill>
          </w14:textFill>
        </w:rPr>
      </w:pPr>
    </w:p>
    <w:p w14:paraId="2627D11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2673BEE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75346AB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6A3F4F13">
      <w:pPr>
        <w:keepLines/>
        <w:pageBreakBefore/>
        <w:spacing w:line="360" w:lineRule="auto"/>
        <w:jc w:val="center"/>
        <w:outlineLvl w:val="1"/>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六</w:t>
      </w:r>
      <w:r>
        <w:rPr>
          <w:rFonts w:hint="eastAsia" w:ascii="宋体" w:hAnsi="宋体" w:cs="宋体"/>
          <w:b/>
          <w:color w:val="000000" w:themeColor="text1"/>
          <w:sz w:val="28"/>
          <w:szCs w:val="28"/>
          <w14:textFill>
            <w14:solidFill>
              <w14:schemeClr w14:val="tx1"/>
            </w14:solidFill>
          </w14:textFill>
        </w:rPr>
        <w:t>、陕西省政府采购供应商拒绝政府采购领域商业贿赂承诺书</w:t>
      </w:r>
    </w:p>
    <w:p w14:paraId="24319D5C">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cs="宋体"/>
          <w:color w:val="000000" w:themeColor="text1"/>
          <w:kern w:val="0"/>
          <w:sz w:val="28"/>
          <w:szCs w:val="28"/>
          <w14:textFill>
            <w14:solidFill>
              <w14:schemeClr w14:val="tx1"/>
            </w14:solidFill>
          </w14:textFill>
        </w:rPr>
      </w:pPr>
    </w:p>
    <w:p w14:paraId="4D84B614">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为响应党中央、国务院关于治理政府采购领域商业贿赂行为的号召，我公司在此庄严承诺：</w:t>
      </w:r>
    </w:p>
    <w:p w14:paraId="799EA8D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1.在参与政府采购活动中遵纪守法、诚信经营、公平竞标。</w:t>
      </w:r>
    </w:p>
    <w:p w14:paraId="2E8080F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2.不向政府采购人、采购代理机构和政府采购评审专家进行任何形式的商业贿赂以谋取交易机会。</w:t>
      </w:r>
    </w:p>
    <w:p w14:paraId="432A11EF">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3.不向政府采购代理机构和采购人提供虚假资质文件或采用虚假应标方式参与政府采购市场竞争并谋取中标、成交。</w:t>
      </w:r>
    </w:p>
    <w:p w14:paraId="48284C26">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4.不采取“围标、陪标”等商业欺诈手段获得政府采购定单。</w:t>
      </w:r>
    </w:p>
    <w:p w14:paraId="5F97E0E9">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5.不采取不正当手段诋毁、排挤其他供应商。</w:t>
      </w:r>
    </w:p>
    <w:p w14:paraId="047D77AC">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6.不在提供商品和服务时“偷梁换柱、以次充好”损害采购人的合法权益。</w:t>
      </w:r>
    </w:p>
    <w:p w14:paraId="1F063B08">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7.不与采购人、采购代理机构政府采购评审专家或其它供应商恶意串通，进行质疑和投诉，维护政府采购市场秩序。</w:t>
      </w:r>
    </w:p>
    <w:p w14:paraId="5575A96E">
      <w:pPr>
        <w:keepNext w:val="0"/>
        <w:keepLines w:val="0"/>
        <w:pageBreakBefore w:val="0"/>
        <w:widowControl/>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8.尊重和接受政府采购监督管理部门的监督和政府采购招标采购要求，承担因违约行为给采购人造成的损失。</w:t>
      </w:r>
    </w:p>
    <w:p w14:paraId="4B241016">
      <w:pPr>
        <w:keepNext w:val="0"/>
        <w:keepLines w:val="0"/>
        <w:pageBreakBefore w:val="0"/>
        <w:widowControl/>
        <w:kinsoku/>
        <w:wordWrap/>
        <w:overflowPunct/>
        <w:topLinePunct w:val="0"/>
        <w:autoSpaceDE/>
        <w:autoSpaceDN/>
        <w:bidi w:val="0"/>
        <w:adjustRightInd/>
        <w:snapToGrid/>
        <w:spacing w:line="560" w:lineRule="exact"/>
        <w:ind w:left="479" w:leftChars="228" w:firstLine="0" w:firstLineChars="0"/>
        <w:textAlignment w:val="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9.不发生其他有悖于政府采购公开、公平、公正和诚信原则的行为。    地  址：                        </w:t>
      </w:r>
    </w:p>
    <w:p w14:paraId="3261BF2D">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邮  编：</w:t>
      </w:r>
    </w:p>
    <w:p w14:paraId="7BE8365A">
      <w:pPr>
        <w:keepNext w:val="0"/>
        <w:keepLines w:val="0"/>
        <w:pageBreakBefore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电  话：                        </w:t>
      </w:r>
    </w:p>
    <w:bookmarkEnd w:id="916"/>
    <w:bookmarkEnd w:id="917"/>
    <w:bookmarkEnd w:id="918"/>
    <w:bookmarkEnd w:id="919"/>
    <w:p w14:paraId="1F46D68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bookmarkStart w:id="930" w:name="_Toc522893849"/>
      <w:bookmarkStart w:id="931" w:name="_Hlk518637502"/>
      <w:bookmarkStart w:id="932" w:name="_Toc456197124"/>
      <w:bookmarkStart w:id="933" w:name="_Toc397410512"/>
      <w:bookmarkStart w:id="934" w:name="_Toc246997117"/>
      <w:bookmarkStart w:id="935" w:name="_Toc343512479"/>
      <w:bookmarkStart w:id="936" w:name="_Toc395711860"/>
      <w:bookmarkStart w:id="937" w:name="_Toc490171588"/>
      <w:bookmarkStart w:id="938" w:name="_Toc456197123"/>
      <w:bookmarkStart w:id="939" w:name="_Toc397585279"/>
      <w:bookmarkStart w:id="940" w:name="_Toc397410699"/>
      <w:bookmarkStart w:id="941" w:name="_Toc394320943"/>
      <w:bookmarkStart w:id="942" w:name="_Toc246996374"/>
      <w:bookmarkStart w:id="943" w:name="_Toc361406474"/>
      <w:bookmarkStart w:id="944" w:name="_Toc247085892"/>
    </w:p>
    <w:p w14:paraId="3E6343BD">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投标人：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（盖章）  </w:t>
      </w:r>
    </w:p>
    <w:p w14:paraId="0CA05E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334DE9D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法定代表人</w:t>
      </w:r>
      <w:r>
        <w:rPr>
          <w:rFonts w:hint="eastAsia" w:ascii="宋体" w:hAnsi="宋体" w:cs="宋体"/>
          <w:b/>
          <w:color w:val="000000" w:themeColor="text1"/>
          <w:sz w:val="24"/>
          <w:szCs w:val="24"/>
          <w:lang w:val="en-US" w:eastAsia="zh-CN"/>
          <w14:textFill>
            <w14:solidFill>
              <w14:schemeClr w14:val="tx1"/>
            </w14:solidFill>
          </w14:textFill>
        </w:rPr>
        <w:t>或</w:t>
      </w:r>
      <w:r>
        <w:rPr>
          <w:rFonts w:hint="eastAsia" w:ascii="宋体" w:hAnsi="宋体" w:cs="宋体"/>
          <w:b/>
          <w:color w:val="000000" w:themeColor="text1"/>
          <w:sz w:val="24"/>
          <w:szCs w:val="24"/>
          <w14:textFill>
            <w14:solidFill>
              <w14:schemeClr w14:val="tx1"/>
            </w14:solidFill>
          </w14:textFill>
        </w:rPr>
        <w:t>委托代理人：</w:t>
      </w:r>
      <w:r>
        <w:rPr>
          <w:rFonts w:hint="eastAsia" w:ascii="宋体" w:hAnsi="宋体" w:cs="宋体"/>
          <w:b/>
          <w:color w:val="000000" w:themeColor="text1"/>
          <w:sz w:val="24"/>
          <w:szCs w:val="24"/>
          <w:u w:val="single"/>
          <w14:textFill>
            <w14:solidFill>
              <w14:schemeClr w14:val="tx1"/>
            </w14:solidFill>
          </w14:textFill>
        </w:rPr>
        <w:t xml:space="preserve">        </w:t>
      </w:r>
      <w:r>
        <w:rPr>
          <w:rFonts w:hint="eastAsia" w:ascii="宋体" w:hAnsi="宋体" w:cs="宋体"/>
          <w:b/>
          <w:color w:val="000000" w:themeColor="text1"/>
          <w:sz w:val="24"/>
          <w:szCs w:val="24"/>
          <w14:textFill>
            <w14:solidFill>
              <w14:schemeClr w14:val="tx1"/>
            </w14:solidFill>
          </w14:textFill>
        </w:rPr>
        <w:t xml:space="preserve"> （签字或</w:t>
      </w:r>
      <w:r>
        <w:rPr>
          <w:rFonts w:hint="eastAsia" w:ascii="宋体" w:hAnsi="宋体" w:cs="宋体"/>
          <w:b/>
          <w:color w:val="000000" w:themeColor="text1"/>
          <w:sz w:val="24"/>
          <w:szCs w:val="24"/>
          <w:lang w:val="en-US" w:eastAsia="zh-CN"/>
          <w14:textFill>
            <w14:solidFill>
              <w14:schemeClr w14:val="tx1"/>
            </w14:solidFill>
          </w14:textFill>
        </w:rPr>
        <w:t>盖章</w:t>
      </w:r>
      <w:r>
        <w:rPr>
          <w:rFonts w:hint="eastAsia" w:ascii="宋体" w:hAnsi="宋体" w:cs="宋体"/>
          <w:b/>
          <w:color w:val="000000" w:themeColor="text1"/>
          <w:sz w:val="24"/>
          <w:szCs w:val="24"/>
          <w14:textFill>
            <w14:solidFill>
              <w14:schemeClr w14:val="tx1"/>
            </w14:solidFill>
          </w14:textFill>
        </w:rPr>
        <w:t>）</w:t>
      </w:r>
    </w:p>
    <w:p w14:paraId="3EE7305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4"/>
          <w:szCs w:val="24"/>
          <w14:textFill>
            <w14:solidFill>
              <w14:schemeClr w14:val="tx1"/>
            </w14:solidFill>
          </w14:textFill>
        </w:rPr>
      </w:pPr>
    </w:p>
    <w:p w14:paraId="549B5A8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日    期：  年  月  日</w:t>
      </w:r>
    </w:p>
    <w:p w14:paraId="4C428B95">
      <w:pPr>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七</w:t>
      </w:r>
      <w:r>
        <w:rPr>
          <w:rFonts w:hint="eastAsia" w:ascii="宋体" w:hAnsi="宋体" w:cs="宋体"/>
          <w:b/>
          <w:color w:val="000000" w:themeColor="text1"/>
          <w:sz w:val="28"/>
          <w:szCs w:val="28"/>
          <w14:textFill>
            <w14:solidFill>
              <w14:schemeClr w14:val="tx1"/>
            </w14:solidFill>
          </w14:textFill>
        </w:rPr>
        <w:t>、技术部分响应内容</w:t>
      </w:r>
      <w:bookmarkEnd w:id="930"/>
    </w:p>
    <w:p w14:paraId="7E5F9650">
      <w:pPr>
        <w:spacing w:line="360" w:lineRule="auto"/>
        <w:rPr>
          <w:rFonts w:hint="eastAsia" w:ascii="宋体" w:hAnsi="宋体" w:cs="宋体"/>
          <w:color w:val="000000" w:themeColor="text1"/>
          <w:sz w:val="24"/>
          <w14:textFill>
            <w14:solidFill>
              <w14:schemeClr w14:val="tx1"/>
            </w14:solidFill>
          </w14:textFill>
        </w:rPr>
      </w:pPr>
    </w:p>
    <w:p w14:paraId="46497D9F">
      <w:pPr>
        <w:pStyle w:val="20"/>
        <w:rPr>
          <w:rFonts w:hint="eastAsia"/>
          <w:color w:val="000000" w:themeColor="text1"/>
          <w14:textFill>
            <w14:solidFill>
              <w14:schemeClr w14:val="tx1"/>
            </w14:solidFill>
          </w14:textFill>
        </w:rPr>
      </w:pPr>
    </w:p>
    <w:p w14:paraId="18191E9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76EAC39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1.实施方案；</w:t>
      </w:r>
    </w:p>
    <w:p w14:paraId="3186F9DA">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2.技术要求；</w:t>
      </w:r>
    </w:p>
    <w:p w14:paraId="20199386">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3.质量保证方案</w:t>
      </w:r>
      <w:r>
        <w:rPr>
          <w:rFonts w:hint="eastAsia" w:ascii="宋体" w:hAnsi="宋体" w:cs="宋体"/>
          <w:color w:val="000000" w:themeColor="text1"/>
          <w:sz w:val="24"/>
          <w:szCs w:val="24"/>
          <w:lang w:val="en-US" w:eastAsia="zh-CN"/>
          <w14:textFill>
            <w14:solidFill>
              <w14:schemeClr w14:val="tx1"/>
            </w14:solidFill>
          </w14:textFill>
        </w:rPr>
        <w:t>。</w:t>
      </w:r>
    </w:p>
    <w:p w14:paraId="0A2CA34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按招标文件评标办法相应要求，无固定格式，投标人自拟。</w:t>
      </w:r>
    </w:p>
    <w:p w14:paraId="0C8BAC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4C31B2AB">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7A3B7FD9">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11781F60">
      <w:pPr>
        <w:spacing w:line="360" w:lineRule="auto"/>
        <w:jc w:val="center"/>
        <w:outlineLvl w:val="1"/>
        <w:rPr>
          <w:rFonts w:hint="eastAsia" w:ascii="宋体" w:hAnsi="宋体" w:cs="宋体"/>
          <w:b/>
          <w:color w:val="000000" w:themeColor="text1"/>
          <w:sz w:val="36"/>
          <w:szCs w:val="36"/>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r>
      <w:bookmarkStart w:id="945" w:name="_Toc522893850"/>
      <w:r>
        <w:rPr>
          <w:rFonts w:hint="eastAsia" w:ascii="宋体" w:hAnsi="宋体" w:cs="宋体"/>
          <w:b/>
          <w:color w:val="000000" w:themeColor="text1"/>
          <w:sz w:val="28"/>
          <w:szCs w:val="28"/>
          <w:lang w:val="en-US" w:eastAsia="zh-CN"/>
          <w14:textFill>
            <w14:solidFill>
              <w14:schemeClr w14:val="tx1"/>
            </w14:solidFill>
          </w14:textFill>
        </w:rPr>
        <w:t>八</w:t>
      </w:r>
      <w:r>
        <w:rPr>
          <w:rFonts w:hint="eastAsia" w:ascii="宋体" w:hAnsi="宋体" w:cs="宋体"/>
          <w:b/>
          <w:color w:val="000000" w:themeColor="text1"/>
          <w:sz w:val="28"/>
          <w:szCs w:val="28"/>
          <w14:textFill>
            <w14:solidFill>
              <w14:schemeClr w14:val="tx1"/>
            </w14:solidFill>
          </w14:textFill>
        </w:rPr>
        <w:t>、商务部分响应内容</w:t>
      </w:r>
      <w:bookmarkEnd w:id="945"/>
    </w:p>
    <w:p w14:paraId="51BC39DC">
      <w:pPr>
        <w:spacing w:line="360" w:lineRule="auto"/>
        <w:ind w:firstLine="470" w:firstLineChars="196"/>
        <w:rPr>
          <w:rFonts w:hint="eastAsia" w:ascii="宋体" w:hAnsi="宋体" w:cs="宋体"/>
          <w:color w:val="000000" w:themeColor="text1"/>
          <w:sz w:val="24"/>
          <w14:textFill>
            <w14:solidFill>
              <w14:schemeClr w14:val="tx1"/>
            </w14:solidFill>
          </w14:textFill>
        </w:rPr>
      </w:pPr>
    </w:p>
    <w:p w14:paraId="66D241E9">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包括但不限于：</w:t>
      </w:r>
    </w:p>
    <w:p w14:paraId="47BDEC2C">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1.业绩；</w:t>
      </w:r>
    </w:p>
    <w:p w14:paraId="2A4B34D3">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.售后服务；</w:t>
      </w:r>
    </w:p>
    <w:p w14:paraId="57B7B4BB">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3</w:t>
      </w:r>
      <w:r>
        <w:rPr>
          <w:rFonts w:hint="eastAsia" w:ascii="宋体" w:hAnsi="宋体" w:eastAsia="宋体" w:cs="宋体"/>
          <w:color w:val="000000" w:themeColor="text1"/>
          <w:sz w:val="24"/>
          <w:szCs w:val="24"/>
          <w:lang w:eastAsia="zh-CN"/>
          <w14:textFill>
            <w14:solidFill>
              <w14:schemeClr w14:val="tx1"/>
            </w14:solidFill>
          </w14:textFill>
        </w:rPr>
        <w:t>.供应商认为有必要说明的问题。</w:t>
      </w:r>
    </w:p>
    <w:p w14:paraId="7D8F83A5">
      <w:pPr>
        <w:keepNext w:val="0"/>
        <w:keepLines w:val="0"/>
        <w:pageBreakBefore w:val="0"/>
        <w:widowControl w:val="0"/>
        <w:kinsoku/>
        <w:wordWrap/>
        <w:overflowPunct/>
        <w:topLinePunct w:val="0"/>
        <w:autoSpaceDE/>
        <w:autoSpaceDN/>
        <w:bidi w:val="0"/>
        <w:adjustRightInd/>
        <w:snapToGrid/>
        <w:spacing w:line="480" w:lineRule="auto"/>
        <w:ind w:firstLine="470" w:firstLineChars="196"/>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按</w:t>
      </w:r>
      <w:r>
        <w:rPr>
          <w:rFonts w:hint="eastAsia" w:ascii="宋体" w:hAnsi="宋体" w:eastAsia="宋体" w:cs="宋体"/>
          <w:color w:val="000000" w:themeColor="text1"/>
          <w:sz w:val="24"/>
          <w:szCs w:val="24"/>
          <w14:textFill>
            <w14:solidFill>
              <w14:schemeClr w14:val="tx1"/>
            </w14:solidFill>
          </w14:textFill>
        </w:rPr>
        <w:t>招标文件评标办法相应要求，无固定格式，</w:t>
      </w:r>
      <w:r>
        <w:rPr>
          <w:rFonts w:hint="eastAsia" w:ascii="宋体" w:hAnsi="宋体" w:eastAsia="宋体" w:cs="宋体"/>
          <w:color w:val="000000" w:themeColor="text1"/>
          <w:sz w:val="24"/>
          <w:szCs w:val="24"/>
          <w:lang w:eastAsia="zh-CN"/>
          <w14:textFill>
            <w14:solidFill>
              <w14:schemeClr w14:val="tx1"/>
            </w14:solidFill>
          </w14:textFill>
        </w:rPr>
        <w:t>投标人</w:t>
      </w:r>
      <w:r>
        <w:rPr>
          <w:rFonts w:hint="eastAsia" w:ascii="宋体" w:hAnsi="宋体" w:eastAsia="宋体" w:cs="宋体"/>
          <w:color w:val="000000" w:themeColor="text1"/>
          <w:sz w:val="24"/>
          <w:szCs w:val="24"/>
          <w14:textFill>
            <w14:solidFill>
              <w14:schemeClr w14:val="tx1"/>
            </w14:solidFill>
          </w14:textFill>
        </w:rPr>
        <w:t>自拟。</w:t>
      </w:r>
    </w:p>
    <w:p w14:paraId="3324DF98">
      <w:pPr>
        <w:spacing w:line="360" w:lineRule="auto"/>
        <w:jc w:val="left"/>
        <w:rPr>
          <w:rFonts w:hint="eastAsia" w:ascii="宋体" w:hAnsi="宋体" w:cs="宋体"/>
          <w:b/>
          <w:color w:val="000000" w:themeColor="text1"/>
          <w:sz w:val="24"/>
          <w:szCs w:val="22"/>
          <w14:textFill>
            <w14:solidFill>
              <w14:schemeClr w14:val="tx1"/>
            </w14:solidFill>
          </w14:textFill>
        </w:rPr>
      </w:pPr>
    </w:p>
    <w:p w14:paraId="66796CAC">
      <w:pPr>
        <w:spacing w:line="360" w:lineRule="auto"/>
        <w:jc w:val="left"/>
        <w:rPr>
          <w:rFonts w:hint="eastAsia" w:ascii="宋体" w:hAnsi="宋体" w:cs="宋体"/>
          <w:b/>
          <w:color w:val="000000" w:themeColor="text1"/>
          <w:sz w:val="24"/>
          <w:szCs w:val="22"/>
          <w14:textFill>
            <w14:solidFill>
              <w14:schemeClr w14:val="tx1"/>
            </w14:solidFill>
          </w14:textFill>
        </w:rPr>
      </w:pPr>
    </w:p>
    <w:p w14:paraId="1887DD4D">
      <w:pPr>
        <w:spacing w:line="360" w:lineRule="auto"/>
        <w:jc w:val="left"/>
        <w:rPr>
          <w:rFonts w:hint="eastAsia" w:ascii="宋体" w:hAnsi="宋体" w:cs="宋体"/>
          <w:b/>
          <w:color w:val="000000" w:themeColor="text1"/>
          <w:sz w:val="24"/>
          <w:szCs w:val="22"/>
          <w14:textFill>
            <w14:solidFill>
              <w14:schemeClr w14:val="tx1"/>
            </w14:solidFill>
          </w14:textFill>
        </w:rPr>
      </w:pPr>
    </w:p>
    <w:p w14:paraId="19E03782">
      <w:pPr>
        <w:spacing w:line="360" w:lineRule="auto"/>
        <w:jc w:val="left"/>
        <w:rPr>
          <w:rFonts w:hint="eastAsia" w:ascii="宋体" w:hAnsi="宋体" w:cs="宋体"/>
          <w:b/>
          <w:color w:val="000000" w:themeColor="text1"/>
          <w:sz w:val="24"/>
          <w:szCs w:val="22"/>
          <w14:textFill>
            <w14:solidFill>
              <w14:schemeClr w14:val="tx1"/>
            </w14:solidFill>
          </w14:textFill>
        </w:rPr>
      </w:pPr>
    </w:p>
    <w:p w14:paraId="6F31A42C">
      <w:pPr>
        <w:spacing w:line="360" w:lineRule="auto"/>
        <w:jc w:val="left"/>
        <w:rPr>
          <w:rFonts w:hint="eastAsia" w:ascii="宋体" w:hAnsi="宋体" w:cs="宋体"/>
          <w:b/>
          <w:color w:val="000000" w:themeColor="text1"/>
          <w:sz w:val="24"/>
          <w:szCs w:val="22"/>
          <w14:textFill>
            <w14:solidFill>
              <w14:schemeClr w14:val="tx1"/>
            </w14:solidFill>
          </w14:textFill>
        </w:rPr>
      </w:pPr>
    </w:p>
    <w:p w14:paraId="1297F06B">
      <w:pPr>
        <w:spacing w:line="360" w:lineRule="auto"/>
        <w:jc w:val="left"/>
        <w:rPr>
          <w:rFonts w:hint="eastAsia" w:ascii="宋体" w:hAnsi="宋体" w:cs="宋体"/>
          <w:b/>
          <w:color w:val="000000" w:themeColor="text1"/>
          <w:sz w:val="24"/>
          <w:szCs w:val="22"/>
          <w14:textFill>
            <w14:solidFill>
              <w14:schemeClr w14:val="tx1"/>
            </w14:solidFill>
          </w14:textFill>
        </w:rPr>
      </w:pPr>
    </w:p>
    <w:p w14:paraId="2A586419">
      <w:pPr>
        <w:spacing w:line="360" w:lineRule="auto"/>
        <w:jc w:val="left"/>
        <w:rPr>
          <w:rFonts w:hint="eastAsia" w:ascii="宋体" w:hAnsi="宋体" w:cs="宋体"/>
          <w:b/>
          <w:color w:val="000000" w:themeColor="text1"/>
          <w:sz w:val="24"/>
          <w:szCs w:val="22"/>
          <w14:textFill>
            <w14:solidFill>
              <w14:schemeClr w14:val="tx1"/>
            </w14:solidFill>
          </w14:textFill>
        </w:rPr>
      </w:pPr>
    </w:p>
    <w:p w14:paraId="1083D81D">
      <w:pPr>
        <w:spacing w:line="360" w:lineRule="auto"/>
        <w:jc w:val="left"/>
        <w:rPr>
          <w:rFonts w:hint="eastAsia" w:ascii="宋体" w:hAnsi="宋体" w:cs="宋体"/>
          <w:b/>
          <w:color w:val="000000" w:themeColor="text1"/>
          <w:sz w:val="24"/>
          <w:szCs w:val="22"/>
          <w14:textFill>
            <w14:solidFill>
              <w14:schemeClr w14:val="tx1"/>
            </w14:solidFill>
          </w14:textFill>
        </w:rPr>
      </w:pPr>
    </w:p>
    <w:p w14:paraId="7AD9A266">
      <w:pPr>
        <w:spacing w:line="360" w:lineRule="auto"/>
        <w:jc w:val="left"/>
        <w:rPr>
          <w:rFonts w:hint="eastAsia" w:ascii="宋体" w:hAnsi="宋体" w:cs="宋体"/>
          <w:b/>
          <w:color w:val="000000" w:themeColor="text1"/>
          <w:sz w:val="24"/>
          <w:szCs w:val="22"/>
          <w14:textFill>
            <w14:solidFill>
              <w14:schemeClr w14:val="tx1"/>
            </w14:solidFill>
          </w14:textFill>
        </w:rPr>
      </w:pPr>
    </w:p>
    <w:p w14:paraId="3464EE44">
      <w:pPr>
        <w:spacing w:line="360" w:lineRule="auto"/>
        <w:jc w:val="left"/>
        <w:rPr>
          <w:rFonts w:hint="eastAsia" w:ascii="宋体" w:hAnsi="宋体" w:cs="宋体"/>
          <w:b/>
          <w:color w:val="000000" w:themeColor="text1"/>
          <w:sz w:val="24"/>
          <w:szCs w:val="22"/>
          <w14:textFill>
            <w14:solidFill>
              <w14:schemeClr w14:val="tx1"/>
            </w14:solidFill>
          </w14:textFill>
        </w:rPr>
      </w:pPr>
    </w:p>
    <w:p w14:paraId="5230214A">
      <w:pPr>
        <w:spacing w:line="360" w:lineRule="auto"/>
        <w:jc w:val="left"/>
        <w:rPr>
          <w:rFonts w:hint="eastAsia" w:ascii="宋体" w:hAnsi="宋体" w:cs="宋体"/>
          <w:b/>
          <w:color w:val="000000" w:themeColor="text1"/>
          <w:sz w:val="24"/>
          <w:szCs w:val="22"/>
          <w14:textFill>
            <w14:solidFill>
              <w14:schemeClr w14:val="tx1"/>
            </w14:solidFill>
          </w14:textFill>
        </w:rPr>
      </w:pPr>
    </w:p>
    <w:p w14:paraId="665BF422">
      <w:pPr>
        <w:spacing w:line="360" w:lineRule="auto"/>
        <w:jc w:val="left"/>
        <w:rPr>
          <w:rFonts w:hint="eastAsia" w:ascii="宋体" w:hAnsi="宋体" w:cs="宋体"/>
          <w:b/>
          <w:color w:val="000000" w:themeColor="text1"/>
          <w:sz w:val="24"/>
          <w:szCs w:val="22"/>
          <w14:textFill>
            <w14:solidFill>
              <w14:schemeClr w14:val="tx1"/>
            </w14:solidFill>
          </w14:textFill>
        </w:rPr>
      </w:pPr>
    </w:p>
    <w:p w14:paraId="6FEAF18B">
      <w:pPr>
        <w:spacing w:line="360" w:lineRule="auto"/>
        <w:jc w:val="left"/>
        <w:rPr>
          <w:rFonts w:hint="eastAsia" w:ascii="宋体" w:hAnsi="宋体" w:cs="宋体"/>
          <w:b/>
          <w:color w:val="000000" w:themeColor="text1"/>
          <w:sz w:val="24"/>
          <w:szCs w:val="22"/>
          <w14:textFill>
            <w14:solidFill>
              <w14:schemeClr w14:val="tx1"/>
            </w14:solidFill>
          </w14:textFill>
        </w:rPr>
      </w:pPr>
    </w:p>
    <w:p w14:paraId="229E0E5E">
      <w:pPr>
        <w:spacing w:line="360" w:lineRule="auto"/>
        <w:jc w:val="left"/>
        <w:rPr>
          <w:rFonts w:hint="eastAsia" w:ascii="宋体" w:hAnsi="宋体" w:cs="宋体"/>
          <w:b/>
          <w:color w:val="000000" w:themeColor="text1"/>
          <w:sz w:val="24"/>
          <w:szCs w:val="22"/>
          <w14:textFill>
            <w14:solidFill>
              <w14:schemeClr w14:val="tx1"/>
            </w14:solidFill>
          </w14:textFill>
        </w:rPr>
      </w:pPr>
    </w:p>
    <w:p w14:paraId="5A47DC0F">
      <w:pPr>
        <w:spacing w:line="360" w:lineRule="auto"/>
        <w:jc w:val="left"/>
        <w:rPr>
          <w:rFonts w:hint="eastAsia" w:ascii="宋体" w:hAnsi="宋体" w:cs="宋体"/>
          <w:b/>
          <w:color w:val="000000" w:themeColor="text1"/>
          <w:sz w:val="24"/>
          <w:szCs w:val="22"/>
          <w14:textFill>
            <w14:solidFill>
              <w14:schemeClr w14:val="tx1"/>
            </w14:solidFill>
          </w14:textFill>
        </w:rPr>
      </w:pPr>
    </w:p>
    <w:p w14:paraId="6A261A62">
      <w:pPr>
        <w:spacing w:line="360" w:lineRule="auto"/>
        <w:jc w:val="left"/>
        <w:rPr>
          <w:rFonts w:hint="eastAsia" w:ascii="宋体" w:hAnsi="宋体" w:cs="宋体"/>
          <w:b/>
          <w:color w:val="000000" w:themeColor="text1"/>
          <w:sz w:val="24"/>
          <w:szCs w:val="22"/>
          <w14:textFill>
            <w14:solidFill>
              <w14:schemeClr w14:val="tx1"/>
            </w14:solidFill>
          </w14:textFill>
        </w:rPr>
      </w:pPr>
    </w:p>
    <w:p w14:paraId="3811A8EA">
      <w:pPr>
        <w:spacing w:line="360" w:lineRule="auto"/>
        <w:jc w:val="left"/>
        <w:rPr>
          <w:rFonts w:hint="eastAsia" w:ascii="宋体" w:hAnsi="宋体" w:cs="宋体"/>
          <w:b/>
          <w:color w:val="000000" w:themeColor="text1"/>
          <w:sz w:val="24"/>
          <w:szCs w:val="22"/>
          <w14:textFill>
            <w14:solidFill>
              <w14:schemeClr w14:val="tx1"/>
            </w14:solidFill>
          </w14:textFill>
        </w:rPr>
      </w:pPr>
    </w:p>
    <w:p w14:paraId="25F4704D">
      <w:pPr>
        <w:spacing w:line="360" w:lineRule="auto"/>
        <w:jc w:val="left"/>
        <w:rPr>
          <w:rFonts w:hint="eastAsia" w:ascii="宋体" w:hAnsi="宋体" w:cs="宋体"/>
          <w:b/>
          <w:color w:val="000000" w:themeColor="text1"/>
          <w:sz w:val="24"/>
          <w:szCs w:val="22"/>
          <w14:textFill>
            <w14:solidFill>
              <w14:schemeClr w14:val="tx1"/>
            </w14:solidFill>
          </w14:textFill>
        </w:rPr>
      </w:pPr>
    </w:p>
    <w:p w14:paraId="6086658A">
      <w:pPr>
        <w:spacing w:line="360" w:lineRule="auto"/>
        <w:jc w:val="left"/>
        <w:rPr>
          <w:rFonts w:hint="eastAsia" w:ascii="宋体" w:hAnsi="宋体" w:cs="宋体"/>
          <w:b/>
          <w:color w:val="000000" w:themeColor="text1"/>
          <w:sz w:val="24"/>
          <w:szCs w:val="22"/>
          <w14:textFill>
            <w14:solidFill>
              <w14:schemeClr w14:val="tx1"/>
            </w14:solidFill>
          </w14:textFill>
        </w:rPr>
      </w:pPr>
    </w:p>
    <w:p w14:paraId="59458EF2">
      <w:pPr>
        <w:spacing w:line="360" w:lineRule="auto"/>
        <w:jc w:val="left"/>
        <w:rPr>
          <w:rFonts w:hint="eastAsia" w:ascii="宋体" w:hAnsi="宋体" w:cs="宋体"/>
          <w:b/>
          <w:color w:val="000000" w:themeColor="text1"/>
          <w:sz w:val="24"/>
          <w:szCs w:val="22"/>
          <w14:textFill>
            <w14:solidFill>
              <w14:schemeClr w14:val="tx1"/>
            </w14:solidFill>
          </w14:textFill>
        </w:rPr>
      </w:pPr>
    </w:p>
    <w:p w14:paraId="7F30329B">
      <w:pPr>
        <w:spacing w:line="360" w:lineRule="auto"/>
        <w:jc w:val="left"/>
        <w:rPr>
          <w:rFonts w:hint="eastAsia" w:ascii="宋体" w:hAnsi="宋体" w:cs="宋体"/>
          <w:b/>
          <w:color w:val="000000" w:themeColor="text1"/>
          <w:sz w:val="24"/>
          <w:szCs w:val="22"/>
          <w14:textFill>
            <w14:solidFill>
              <w14:schemeClr w14:val="tx1"/>
            </w14:solidFill>
          </w14:textFill>
        </w:rPr>
      </w:pPr>
    </w:p>
    <w:p w14:paraId="6C50AAB9">
      <w:pPr>
        <w:spacing w:line="360" w:lineRule="auto"/>
        <w:jc w:val="cente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、其他资料</w:t>
      </w:r>
    </w:p>
    <w:p w14:paraId="7E7CA934">
      <w:pPr>
        <w:spacing w:line="360" w:lineRule="auto"/>
        <w:jc w:val="left"/>
        <w:rPr>
          <w:rFonts w:hint="eastAsia" w:ascii="宋体" w:hAnsi="宋体" w:cs="宋体"/>
          <w:b/>
          <w:color w:val="000000" w:themeColor="text1"/>
          <w:sz w:val="24"/>
          <w:szCs w:val="22"/>
          <w14:textFill>
            <w14:solidFill>
              <w14:schemeClr w14:val="tx1"/>
            </w14:solidFill>
          </w14:textFill>
        </w:rPr>
      </w:pPr>
    </w:p>
    <w:p w14:paraId="44193040">
      <w:pPr>
        <w:spacing w:line="360" w:lineRule="auto"/>
        <w:jc w:val="left"/>
        <w:rPr>
          <w:rFonts w:hint="eastAsia" w:ascii="宋体" w:hAnsi="宋体" w:cs="宋体"/>
          <w:b/>
          <w:color w:val="000000" w:themeColor="text1"/>
          <w:sz w:val="24"/>
          <w:szCs w:val="22"/>
          <w14:textFill>
            <w14:solidFill>
              <w14:schemeClr w14:val="tx1"/>
            </w14:solidFill>
          </w14:textFill>
        </w:rPr>
      </w:pPr>
    </w:p>
    <w:p w14:paraId="73B85873">
      <w:pPr>
        <w:pStyle w:val="11"/>
        <w:rPr>
          <w:rFonts w:hint="eastAsia" w:cs="宋体"/>
          <w:b/>
          <w:color w:val="000000" w:themeColor="text1"/>
          <w:sz w:val="24"/>
          <w:szCs w:val="22"/>
          <w14:textFill>
            <w14:solidFill>
              <w14:schemeClr w14:val="tx1"/>
            </w14:solidFill>
          </w14:textFill>
        </w:rPr>
      </w:pPr>
    </w:p>
    <w:p w14:paraId="33FC064D">
      <w:pPr>
        <w:rPr>
          <w:rFonts w:hint="eastAsia" w:ascii="宋体" w:hAnsi="宋体" w:cs="宋体"/>
          <w:b/>
          <w:color w:val="000000" w:themeColor="text1"/>
          <w:sz w:val="24"/>
          <w:szCs w:val="22"/>
          <w14:textFill>
            <w14:solidFill>
              <w14:schemeClr w14:val="tx1"/>
            </w14:solidFill>
          </w14:textFill>
        </w:rPr>
      </w:pPr>
    </w:p>
    <w:p w14:paraId="05248DCE">
      <w:pPr>
        <w:pStyle w:val="11"/>
        <w:rPr>
          <w:rFonts w:hint="eastAsia"/>
          <w:color w:val="000000" w:themeColor="text1"/>
          <w14:textFill>
            <w14:solidFill>
              <w14:schemeClr w14:val="tx1"/>
            </w14:solidFill>
          </w14:textFill>
        </w:rPr>
      </w:pPr>
    </w:p>
    <w:p w14:paraId="19096C99">
      <w:pPr>
        <w:spacing w:line="360" w:lineRule="auto"/>
        <w:jc w:val="left"/>
        <w:rPr>
          <w:rFonts w:hint="eastAsia" w:ascii="宋体" w:hAnsi="宋体" w:cs="宋体"/>
          <w:b/>
          <w:color w:val="000000" w:themeColor="text1"/>
          <w:sz w:val="24"/>
          <w:szCs w:val="22"/>
          <w14:textFill>
            <w14:solidFill>
              <w14:schemeClr w14:val="tx1"/>
            </w14:solidFill>
          </w14:textFill>
        </w:rPr>
      </w:pPr>
    </w:p>
    <w:p w14:paraId="25BC8B87">
      <w:pPr>
        <w:spacing w:line="360" w:lineRule="auto"/>
        <w:jc w:val="left"/>
        <w:rPr>
          <w:rFonts w:hint="eastAsia" w:ascii="宋体" w:hAnsi="宋体" w:cs="宋体"/>
          <w:b/>
          <w:color w:val="000000" w:themeColor="text1"/>
          <w:sz w:val="24"/>
          <w:szCs w:val="22"/>
          <w14:textFill>
            <w14:solidFill>
              <w14:schemeClr w14:val="tx1"/>
            </w14:solidFill>
          </w14:textFill>
        </w:rPr>
      </w:pPr>
    </w:p>
    <w:p w14:paraId="68770C4B">
      <w:pPr>
        <w:pStyle w:val="11"/>
        <w:rPr>
          <w:rFonts w:hint="eastAsia" w:ascii="宋体" w:hAnsi="宋体" w:cs="宋体"/>
          <w:b/>
          <w:color w:val="000000" w:themeColor="text1"/>
          <w:sz w:val="24"/>
          <w:szCs w:val="22"/>
          <w14:textFill>
            <w14:solidFill>
              <w14:schemeClr w14:val="tx1"/>
            </w14:solidFill>
          </w14:textFill>
        </w:rPr>
      </w:pPr>
    </w:p>
    <w:p w14:paraId="68BD7984">
      <w:pPr>
        <w:rPr>
          <w:rFonts w:hint="eastAsia" w:ascii="宋体" w:hAnsi="宋体" w:cs="宋体"/>
          <w:b/>
          <w:color w:val="000000" w:themeColor="text1"/>
          <w:sz w:val="24"/>
          <w:szCs w:val="22"/>
          <w14:textFill>
            <w14:solidFill>
              <w14:schemeClr w14:val="tx1"/>
            </w14:solidFill>
          </w14:textFill>
        </w:rPr>
      </w:pPr>
    </w:p>
    <w:p w14:paraId="039C0411">
      <w:pPr>
        <w:pStyle w:val="11"/>
        <w:rPr>
          <w:rFonts w:hint="eastAsia" w:ascii="宋体" w:hAnsi="宋体" w:cs="宋体"/>
          <w:b/>
          <w:color w:val="000000" w:themeColor="text1"/>
          <w:sz w:val="24"/>
          <w:szCs w:val="22"/>
          <w14:textFill>
            <w14:solidFill>
              <w14:schemeClr w14:val="tx1"/>
            </w14:solidFill>
          </w14:textFill>
        </w:rPr>
      </w:pPr>
    </w:p>
    <w:p w14:paraId="0573A85F">
      <w:pPr>
        <w:rPr>
          <w:rFonts w:hint="eastAsia" w:ascii="宋体" w:hAnsi="宋体" w:cs="宋体"/>
          <w:b/>
          <w:color w:val="000000" w:themeColor="text1"/>
          <w:sz w:val="24"/>
          <w:szCs w:val="22"/>
          <w14:textFill>
            <w14:solidFill>
              <w14:schemeClr w14:val="tx1"/>
            </w14:solidFill>
          </w14:textFill>
        </w:rPr>
      </w:pPr>
    </w:p>
    <w:p w14:paraId="31B72472">
      <w:pPr>
        <w:pStyle w:val="11"/>
        <w:rPr>
          <w:rFonts w:hint="eastAsia" w:ascii="宋体" w:hAnsi="宋体" w:cs="宋体"/>
          <w:b/>
          <w:color w:val="000000" w:themeColor="text1"/>
          <w:sz w:val="24"/>
          <w:szCs w:val="22"/>
          <w14:textFill>
            <w14:solidFill>
              <w14:schemeClr w14:val="tx1"/>
            </w14:solidFill>
          </w14:textFill>
        </w:rPr>
      </w:pPr>
    </w:p>
    <w:p w14:paraId="273B87C0">
      <w:pPr>
        <w:rPr>
          <w:rFonts w:hint="eastAsia" w:ascii="宋体" w:hAnsi="宋体" w:cs="宋体"/>
          <w:b/>
          <w:color w:val="000000" w:themeColor="text1"/>
          <w:sz w:val="24"/>
          <w:szCs w:val="22"/>
          <w14:textFill>
            <w14:solidFill>
              <w14:schemeClr w14:val="tx1"/>
            </w14:solidFill>
          </w14:textFill>
        </w:rPr>
      </w:pPr>
    </w:p>
    <w:p w14:paraId="58FFF583">
      <w:pPr>
        <w:pStyle w:val="11"/>
        <w:rPr>
          <w:rFonts w:hint="eastAsia" w:ascii="宋体" w:hAnsi="宋体" w:cs="宋体"/>
          <w:b/>
          <w:color w:val="000000" w:themeColor="text1"/>
          <w:sz w:val="24"/>
          <w:szCs w:val="22"/>
          <w14:textFill>
            <w14:solidFill>
              <w14:schemeClr w14:val="tx1"/>
            </w14:solidFill>
          </w14:textFill>
        </w:rPr>
      </w:pPr>
    </w:p>
    <w:p w14:paraId="5DFB517E">
      <w:pPr>
        <w:rPr>
          <w:rFonts w:hint="eastAsia" w:ascii="宋体" w:hAnsi="宋体" w:cs="宋体"/>
          <w:b/>
          <w:color w:val="000000" w:themeColor="text1"/>
          <w:sz w:val="24"/>
          <w:szCs w:val="22"/>
          <w14:textFill>
            <w14:solidFill>
              <w14:schemeClr w14:val="tx1"/>
            </w14:solidFill>
          </w14:textFill>
        </w:rPr>
      </w:pPr>
    </w:p>
    <w:p w14:paraId="35605BC6">
      <w:pPr>
        <w:pStyle w:val="11"/>
        <w:rPr>
          <w:rFonts w:hint="eastAsia" w:ascii="宋体" w:hAnsi="宋体" w:cs="宋体"/>
          <w:b/>
          <w:color w:val="000000" w:themeColor="text1"/>
          <w:sz w:val="24"/>
          <w:szCs w:val="22"/>
          <w14:textFill>
            <w14:solidFill>
              <w14:schemeClr w14:val="tx1"/>
            </w14:solidFill>
          </w14:textFill>
        </w:rPr>
      </w:pPr>
    </w:p>
    <w:p w14:paraId="4A80BAD9">
      <w:pPr>
        <w:rPr>
          <w:rFonts w:hint="eastAsia" w:ascii="宋体" w:hAnsi="宋体" w:cs="宋体"/>
          <w:b/>
          <w:color w:val="000000" w:themeColor="text1"/>
          <w:sz w:val="24"/>
          <w:szCs w:val="22"/>
          <w14:textFill>
            <w14:solidFill>
              <w14:schemeClr w14:val="tx1"/>
            </w14:solidFill>
          </w14:textFill>
        </w:rPr>
      </w:pPr>
    </w:p>
    <w:p w14:paraId="2C34F4BF">
      <w:pPr>
        <w:pStyle w:val="11"/>
        <w:rPr>
          <w:rFonts w:hint="eastAsia" w:ascii="宋体" w:hAnsi="宋体" w:cs="宋体"/>
          <w:b/>
          <w:color w:val="000000" w:themeColor="text1"/>
          <w:sz w:val="24"/>
          <w:szCs w:val="22"/>
          <w14:textFill>
            <w14:solidFill>
              <w14:schemeClr w14:val="tx1"/>
            </w14:solidFill>
          </w14:textFill>
        </w:rPr>
      </w:pPr>
    </w:p>
    <w:p w14:paraId="089CD1A8">
      <w:pPr>
        <w:rPr>
          <w:rFonts w:hint="eastAsia" w:ascii="宋体" w:hAnsi="宋体" w:cs="宋体"/>
          <w:b/>
          <w:color w:val="000000" w:themeColor="text1"/>
          <w:sz w:val="24"/>
          <w:szCs w:val="22"/>
          <w14:textFill>
            <w14:solidFill>
              <w14:schemeClr w14:val="tx1"/>
            </w14:solidFill>
          </w14:textFill>
        </w:rPr>
      </w:pPr>
    </w:p>
    <w:p w14:paraId="42B5FC63">
      <w:pPr>
        <w:pStyle w:val="11"/>
        <w:rPr>
          <w:rFonts w:hint="eastAsia" w:ascii="宋体" w:hAnsi="宋体" w:cs="宋体"/>
          <w:b/>
          <w:color w:val="000000" w:themeColor="text1"/>
          <w:sz w:val="24"/>
          <w:szCs w:val="22"/>
          <w14:textFill>
            <w14:solidFill>
              <w14:schemeClr w14:val="tx1"/>
            </w14:solidFill>
          </w14:textFill>
        </w:rPr>
      </w:pPr>
    </w:p>
    <w:p w14:paraId="72014096">
      <w:pPr>
        <w:rPr>
          <w:rFonts w:hint="eastAsia" w:ascii="宋体" w:hAnsi="宋体" w:cs="宋体"/>
          <w:b/>
          <w:color w:val="000000" w:themeColor="text1"/>
          <w:sz w:val="24"/>
          <w:szCs w:val="22"/>
          <w14:textFill>
            <w14:solidFill>
              <w14:schemeClr w14:val="tx1"/>
            </w14:solidFill>
          </w14:textFill>
        </w:rPr>
      </w:pPr>
    </w:p>
    <w:p w14:paraId="5C919FE1">
      <w:pPr>
        <w:pStyle w:val="11"/>
        <w:rPr>
          <w:rFonts w:hint="eastAsia" w:ascii="宋体" w:hAnsi="宋体" w:cs="宋体"/>
          <w:b/>
          <w:color w:val="000000" w:themeColor="text1"/>
          <w:sz w:val="24"/>
          <w:szCs w:val="22"/>
          <w14:textFill>
            <w14:solidFill>
              <w14:schemeClr w14:val="tx1"/>
            </w14:solidFill>
          </w14:textFill>
        </w:rPr>
      </w:pPr>
    </w:p>
    <w:p w14:paraId="0DFC0D7C">
      <w:pPr>
        <w:rPr>
          <w:rFonts w:hint="eastAsia" w:ascii="宋体" w:hAnsi="宋体" w:cs="宋体"/>
          <w:b/>
          <w:color w:val="000000" w:themeColor="text1"/>
          <w:sz w:val="24"/>
          <w:szCs w:val="22"/>
          <w14:textFill>
            <w14:solidFill>
              <w14:schemeClr w14:val="tx1"/>
            </w14:solidFill>
          </w14:textFill>
        </w:rPr>
      </w:pPr>
    </w:p>
    <w:p w14:paraId="5FD9D8D6">
      <w:pPr>
        <w:pStyle w:val="11"/>
        <w:rPr>
          <w:rFonts w:hint="eastAsia" w:ascii="宋体" w:hAnsi="宋体" w:cs="宋体"/>
          <w:b/>
          <w:color w:val="000000" w:themeColor="text1"/>
          <w:sz w:val="24"/>
          <w:szCs w:val="22"/>
          <w14:textFill>
            <w14:solidFill>
              <w14:schemeClr w14:val="tx1"/>
            </w14:solidFill>
          </w14:textFill>
        </w:rPr>
      </w:pPr>
    </w:p>
    <w:p w14:paraId="55365EB9">
      <w:pPr>
        <w:rPr>
          <w:rFonts w:hint="eastAsia" w:ascii="宋体" w:hAnsi="宋体" w:cs="宋体"/>
          <w:b/>
          <w:color w:val="000000" w:themeColor="text1"/>
          <w:sz w:val="24"/>
          <w:szCs w:val="22"/>
          <w14:textFill>
            <w14:solidFill>
              <w14:schemeClr w14:val="tx1"/>
            </w14:solidFill>
          </w14:textFill>
        </w:rPr>
      </w:pPr>
    </w:p>
    <w:p w14:paraId="78CB7C6D">
      <w:pPr>
        <w:pStyle w:val="11"/>
        <w:rPr>
          <w:rFonts w:hint="eastAsia" w:ascii="宋体" w:hAnsi="宋体" w:cs="宋体"/>
          <w:b/>
          <w:color w:val="000000" w:themeColor="text1"/>
          <w:sz w:val="24"/>
          <w:szCs w:val="22"/>
          <w14:textFill>
            <w14:solidFill>
              <w14:schemeClr w14:val="tx1"/>
            </w14:solidFill>
          </w14:textFill>
        </w:rPr>
      </w:pPr>
    </w:p>
    <w:p w14:paraId="2DF71EE6">
      <w:pPr>
        <w:rPr>
          <w:rFonts w:hint="eastAsia" w:ascii="宋体" w:hAnsi="宋体" w:cs="宋体"/>
          <w:b/>
          <w:color w:val="000000" w:themeColor="text1"/>
          <w:sz w:val="24"/>
          <w:szCs w:val="22"/>
          <w14:textFill>
            <w14:solidFill>
              <w14:schemeClr w14:val="tx1"/>
            </w14:solidFill>
          </w14:textFill>
        </w:rPr>
      </w:pPr>
    </w:p>
    <w:p w14:paraId="32769F3C">
      <w:pPr>
        <w:pStyle w:val="11"/>
        <w:rPr>
          <w:rFonts w:hint="eastAsia" w:ascii="宋体" w:hAnsi="宋体" w:cs="宋体"/>
          <w:b/>
          <w:color w:val="000000" w:themeColor="text1"/>
          <w:sz w:val="24"/>
          <w:szCs w:val="22"/>
          <w14:textFill>
            <w14:solidFill>
              <w14:schemeClr w14:val="tx1"/>
            </w14:solidFill>
          </w14:textFill>
        </w:rPr>
      </w:pPr>
    </w:p>
    <w:p w14:paraId="06D35984">
      <w:pPr>
        <w:rPr>
          <w:rFonts w:hint="eastAsia" w:ascii="宋体" w:hAnsi="宋体" w:cs="宋体"/>
          <w:b/>
          <w:color w:val="000000" w:themeColor="text1"/>
          <w:sz w:val="24"/>
          <w:szCs w:val="22"/>
          <w14:textFill>
            <w14:solidFill>
              <w14:schemeClr w14:val="tx1"/>
            </w14:solidFill>
          </w14:textFill>
        </w:rPr>
      </w:pPr>
    </w:p>
    <w:p w14:paraId="331B6E5C">
      <w:pPr>
        <w:pStyle w:val="11"/>
        <w:rPr>
          <w:rFonts w:hint="eastAsia" w:ascii="宋体" w:hAnsi="宋体" w:cs="宋体"/>
          <w:b/>
          <w:color w:val="000000" w:themeColor="text1"/>
          <w:sz w:val="24"/>
          <w:szCs w:val="22"/>
          <w14:textFill>
            <w14:solidFill>
              <w14:schemeClr w14:val="tx1"/>
            </w14:solidFill>
          </w14:textFill>
        </w:rPr>
      </w:pPr>
    </w:p>
    <w:p w14:paraId="09C1894A">
      <w:pPr>
        <w:rPr>
          <w:rFonts w:hint="eastAsia" w:ascii="宋体" w:hAnsi="宋体" w:cs="宋体"/>
          <w:b/>
          <w:color w:val="000000" w:themeColor="text1"/>
          <w:sz w:val="24"/>
          <w:szCs w:val="22"/>
          <w14:textFill>
            <w14:solidFill>
              <w14:schemeClr w14:val="tx1"/>
            </w14:solidFill>
          </w14:textFill>
        </w:rPr>
      </w:pPr>
    </w:p>
    <w:p w14:paraId="6B0E8FCB">
      <w:pPr>
        <w:pStyle w:val="11"/>
        <w:rPr>
          <w:rFonts w:hint="eastAsia" w:ascii="宋体" w:hAnsi="宋体" w:cs="宋体"/>
          <w:b/>
          <w:color w:val="000000" w:themeColor="text1"/>
          <w:sz w:val="24"/>
          <w:szCs w:val="22"/>
          <w14:textFill>
            <w14:solidFill>
              <w14:schemeClr w14:val="tx1"/>
            </w14:solidFill>
          </w14:textFill>
        </w:rPr>
      </w:pPr>
    </w:p>
    <w:p w14:paraId="55F33641">
      <w:pPr>
        <w:rPr>
          <w:rFonts w:hint="eastAsia" w:ascii="宋体" w:hAnsi="宋体" w:cs="宋体"/>
          <w:b/>
          <w:color w:val="000000" w:themeColor="text1"/>
          <w:sz w:val="24"/>
          <w:szCs w:val="22"/>
          <w14:textFill>
            <w14:solidFill>
              <w14:schemeClr w14:val="tx1"/>
            </w14:solidFill>
          </w14:textFill>
        </w:rPr>
      </w:pPr>
    </w:p>
    <w:p w14:paraId="76588ED4">
      <w:pPr>
        <w:pStyle w:val="11"/>
        <w:rPr>
          <w:rFonts w:hint="eastAsia" w:ascii="宋体" w:hAnsi="宋体" w:cs="宋体"/>
          <w:b/>
          <w:color w:val="000000" w:themeColor="text1"/>
          <w:sz w:val="24"/>
          <w:szCs w:val="22"/>
          <w14:textFill>
            <w14:solidFill>
              <w14:schemeClr w14:val="tx1"/>
            </w14:solidFill>
          </w14:textFill>
        </w:rPr>
      </w:pPr>
    </w:p>
    <w:p w14:paraId="078FDA9D">
      <w:pPr>
        <w:rPr>
          <w:rFonts w:hint="eastAsia" w:ascii="宋体" w:hAnsi="宋体" w:cs="宋体"/>
          <w:b/>
          <w:color w:val="000000" w:themeColor="text1"/>
          <w:sz w:val="24"/>
          <w:szCs w:val="22"/>
          <w14:textFill>
            <w14:solidFill>
              <w14:schemeClr w14:val="tx1"/>
            </w14:solidFill>
          </w14:textFill>
        </w:rPr>
      </w:pPr>
    </w:p>
    <w:p w14:paraId="7F2DB586">
      <w:pPr>
        <w:pStyle w:val="11"/>
        <w:rPr>
          <w:rFonts w:hint="eastAsia" w:ascii="宋体" w:hAnsi="宋体" w:cs="宋体"/>
          <w:b/>
          <w:color w:val="000000" w:themeColor="text1"/>
          <w:sz w:val="24"/>
          <w:szCs w:val="22"/>
          <w14:textFill>
            <w14:solidFill>
              <w14:schemeClr w14:val="tx1"/>
            </w14:solidFill>
          </w14:textFill>
        </w:rPr>
      </w:pPr>
    </w:p>
    <w:p w14:paraId="5C7E66C9">
      <w:pPr>
        <w:rPr>
          <w:rFonts w:hint="eastAsia" w:ascii="宋体" w:hAnsi="宋体" w:cs="宋体"/>
          <w:b/>
          <w:color w:val="000000" w:themeColor="text1"/>
          <w:sz w:val="24"/>
          <w:szCs w:val="22"/>
          <w14:textFill>
            <w14:solidFill>
              <w14:schemeClr w14:val="tx1"/>
            </w14:solidFill>
          </w14:textFill>
        </w:rPr>
      </w:pPr>
    </w:p>
    <w:p w14:paraId="73A02CA8">
      <w:pPr>
        <w:pStyle w:val="11"/>
        <w:rPr>
          <w:rFonts w:hint="eastAsia" w:ascii="宋体" w:hAnsi="宋体" w:cs="宋体"/>
          <w:b/>
          <w:color w:val="000000" w:themeColor="text1"/>
          <w:sz w:val="24"/>
          <w:szCs w:val="22"/>
          <w14:textFill>
            <w14:solidFill>
              <w14:schemeClr w14:val="tx1"/>
            </w14:solidFill>
          </w14:textFill>
        </w:rPr>
      </w:pPr>
    </w:p>
    <w:bookmarkEnd w:id="931"/>
    <w:p w14:paraId="0432779F">
      <w:pPr>
        <w:spacing w:line="360" w:lineRule="auto"/>
        <w:ind w:firstLine="3840" w:firstLineChars="1600"/>
        <w:jc w:val="left"/>
        <w:rPr>
          <w:rFonts w:ascii="宋体" w:hAnsi="宋体" w:cs="宋体"/>
          <w:color w:val="000000" w:themeColor="text1"/>
          <w:sz w:val="24"/>
          <w:szCs w:val="24"/>
          <w14:textFill>
            <w14:solidFill>
              <w14:schemeClr w14:val="tx1"/>
            </w14:solidFill>
          </w14:textFill>
        </w:rPr>
        <w:sectPr>
          <w:footerReference r:id="rId15" w:type="firs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lnNumType w:countBy="0" w:distance="360"/>
          <w:cols w:space="720" w:num="1"/>
          <w:titlePg/>
          <w:docGrid w:linePitch="312" w:charSpace="889"/>
        </w:sectPr>
      </w:pPr>
    </w:p>
    <w:bookmarkEnd w:id="932"/>
    <w:bookmarkEnd w:id="933"/>
    <w:bookmarkEnd w:id="934"/>
    <w:bookmarkEnd w:id="935"/>
    <w:bookmarkEnd w:id="936"/>
    <w:bookmarkEnd w:id="937"/>
    <w:bookmarkEnd w:id="938"/>
    <w:bookmarkEnd w:id="939"/>
    <w:bookmarkEnd w:id="940"/>
    <w:bookmarkEnd w:id="941"/>
    <w:bookmarkEnd w:id="942"/>
    <w:bookmarkEnd w:id="943"/>
    <w:bookmarkEnd w:id="944"/>
    <w:p w14:paraId="49229526">
      <w:pPr>
        <w:outlineLvl w:val="0"/>
        <w:rPr>
          <w:rFonts w:hint="eastAsia" w:ascii="宋体" w:hAnsi="宋体" w:eastAsia="宋体" w:cs="宋体"/>
          <w:b/>
          <w:color w:val="000000" w:themeColor="text1"/>
          <w:sz w:val="24"/>
          <w:lang w:val="en-US" w:eastAsia="zh-CN"/>
          <w14:textFill>
            <w14:solidFill>
              <w14:schemeClr w14:val="tx1"/>
            </w14:solidFill>
          </w14:textFill>
        </w:rPr>
      </w:pPr>
      <w:bookmarkStart w:id="946" w:name="_Toc25467"/>
      <w:bookmarkStart w:id="947" w:name="_Toc1972"/>
      <w:bookmarkStart w:id="948" w:name="_Toc22398"/>
      <w:bookmarkStart w:id="949" w:name="_Toc13756"/>
      <w:bookmarkStart w:id="950" w:name="_Toc12649"/>
      <w:bookmarkStart w:id="951" w:name="_Toc7195"/>
      <w:bookmarkStart w:id="952" w:name="_Toc20822"/>
      <w:r>
        <w:rPr>
          <w:rFonts w:hint="eastAsia" w:ascii="宋体" w:hAnsi="宋体" w:eastAsia="宋体" w:cs="宋体"/>
          <w:b/>
          <w:color w:val="000000" w:themeColor="text1"/>
          <w:sz w:val="24"/>
          <w14:textFill>
            <w14:solidFill>
              <w14:schemeClr w14:val="tx1"/>
            </w14:solidFill>
          </w14:textFill>
        </w:rPr>
        <w:t>附件</w:t>
      </w:r>
      <w:bookmarkEnd w:id="946"/>
      <w:bookmarkEnd w:id="947"/>
      <w:bookmarkEnd w:id="948"/>
      <w:bookmarkEnd w:id="949"/>
      <w:bookmarkEnd w:id="950"/>
      <w:bookmarkEnd w:id="951"/>
      <w:bookmarkEnd w:id="952"/>
      <w:r>
        <w:rPr>
          <w:rFonts w:hint="eastAsia" w:ascii="宋体" w:hAnsi="宋体" w:cs="宋体"/>
          <w:b/>
          <w:color w:val="000000" w:themeColor="text1"/>
          <w:sz w:val="24"/>
          <w:lang w:val="en-US" w:eastAsia="zh-CN"/>
          <w14:textFill>
            <w14:solidFill>
              <w14:schemeClr w14:val="tx1"/>
            </w14:solidFill>
          </w14:textFill>
        </w:rPr>
        <w:t>1</w:t>
      </w:r>
    </w:p>
    <w:p w14:paraId="28EB1345">
      <w:pPr>
        <w:rPr>
          <w:rFonts w:hint="eastAsia"/>
          <w:color w:val="000000" w:themeColor="text1"/>
          <w14:textFill>
            <w14:solidFill>
              <w14:schemeClr w14:val="tx1"/>
            </w14:solidFill>
          </w14:textFill>
        </w:rPr>
      </w:pPr>
    </w:p>
    <w:p w14:paraId="5148EA0B">
      <w:pPr>
        <w:widowControl/>
        <w:jc w:val="left"/>
        <w:rPr>
          <w:rFonts w:hint="eastAsia" w:ascii="宋体" w:hAnsi="宋体" w:cs="宋体"/>
          <w:color w:val="000000" w:themeColor="text1"/>
          <w:sz w:val="24"/>
          <w14:textFill>
            <w14:solidFill>
              <w14:schemeClr w14:val="tx1"/>
            </w14:solidFill>
          </w14:textFill>
        </w:rPr>
      </w:pPr>
    </w:p>
    <w:p w14:paraId="3971100C">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中小企业声明函（货物）</w:t>
      </w:r>
    </w:p>
    <w:p w14:paraId="26FB8C40">
      <w:pPr>
        <w:pStyle w:val="11"/>
        <w:keepNext w:val="0"/>
        <w:keepLines w:val="0"/>
        <w:pageBreakBefore w:val="0"/>
        <w:widowControl w:val="0"/>
        <w:tabs>
          <w:tab w:val="left" w:pos="9120"/>
        </w:tabs>
        <w:kinsoku/>
        <w:wordWrap/>
        <w:overflowPunct/>
        <w:topLinePunct w:val="0"/>
        <w:autoSpaceDE/>
        <w:autoSpaceDN/>
        <w:bidi w:val="0"/>
        <w:adjustRightInd/>
        <w:snapToGrid/>
        <w:spacing w:before="55" w:after="0" w:line="480" w:lineRule="auto"/>
        <w:ind w:firstLine="64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本公司（联合体）郑重声明，根据《政府采购促进中小企业发展管理办法》（财库﹝2020﹞46 号）的规定，本公司</w:t>
      </w:r>
      <w:r>
        <w:rPr>
          <w:rFonts w:hint="eastAsia" w:ascii="宋体" w:hAnsi="宋体" w:eastAsia="宋体" w:cs="宋体"/>
          <w:color w:val="000000" w:themeColor="text1"/>
          <w:kern w:val="2"/>
          <w:sz w:val="24"/>
          <w:szCs w:val="24"/>
          <w:u w:val="none"/>
          <w:lang w:val="en-US" w:eastAsia="zh-CN" w:bidi="ar-SA"/>
          <w14:textFill>
            <w14:solidFill>
              <w14:schemeClr w14:val="tx1"/>
            </w14:solidFill>
          </w14:textFill>
        </w:rPr>
        <w:t>（联合体）</w:t>
      </w:r>
      <w:r>
        <w:rPr>
          <w:rFonts w:hint="eastAsia" w:ascii="宋体" w:hAnsi="宋体" w:eastAsia="宋体" w:cs="宋体"/>
          <w:color w:val="000000" w:themeColor="text1"/>
          <w:kern w:val="2"/>
          <w:sz w:val="24"/>
          <w:szCs w:val="24"/>
          <w:lang w:val="en-US" w:eastAsia="zh-CN" w:bidi="ar-SA"/>
          <w14:textFill>
            <w14:solidFill>
              <w14:schemeClr w14:val="tx1"/>
            </w14:solidFill>
          </w14:textFill>
        </w:rPr>
        <w:t>参加</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（单位名称）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的</w:t>
      </w: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（项目名称）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采购活动，提供的货物全部由符合政策要求的中小企业制造。相关企业（含联合体中的中小企业、签订分包意向协议的中小企业） 的具体情况如下：</w:t>
      </w:r>
    </w:p>
    <w:p w14:paraId="3DA8CAE0">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1DD25B63">
      <w:pPr>
        <w:pStyle w:val="11"/>
        <w:keepNext w:val="0"/>
        <w:keepLines w:val="0"/>
        <w:pageBreakBefore w:val="0"/>
        <w:widowControl w:val="0"/>
        <w:numPr>
          <w:ilvl w:val="0"/>
          <w:numId w:val="14"/>
        </w:numPr>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u w:val="single"/>
          <w:lang w:val="zh-CN" w:eastAsia="zh-CN" w:bidi="ar-SA"/>
          <w14:textFill>
            <w14:solidFill>
              <w14:schemeClr w14:val="tx1"/>
            </w14:solidFill>
          </w14:textFill>
        </w:rPr>
        <w:t>（标的名称）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（采购文件中明确的所属行业）行业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；制造商为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（企业名称）</w:t>
      </w:r>
      <w:r>
        <w:rPr>
          <w:rFonts w:hint="eastAsia" w:ascii="宋体" w:hAnsi="宋体" w:eastAsia="宋体" w:cs="宋体"/>
          <w:color w:val="000000" w:themeColor="text1"/>
          <w:kern w:val="2"/>
          <w:sz w:val="24"/>
          <w:szCs w:val="24"/>
          <w:lang w:val="en-US" w:eastAsia="zh-CN" w:bidi="ar-SA"/>
          <w14:textFill>
            <w14:solidFill>
              <w14:schemeClr w14:val="tx1"/>
            </w14:solidFill>
          </w14:textFill>
        </w:rPr>
        <w:t>，从业人员</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人，营业收入为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ab/>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万元，资产总额为</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4"/>
          <w:szCs w:val="24"/>
          <w:lang w:val="en-US" w:eastAsia="zh-CN" w:bidi="ar-SA"/>
          <w14:textFill>
            <w14:solidFill>
              <w14:schemeClr w14:val="tx1"/>
            </w14:solidFill>
          </w14:textFill>
        </w:rPr>
        <w:t>万元，属于</w:t>
      </w:r>
      <w:r>
        <w:rPr>
          <w:rFonts w:hint="eastAsia" w:ascii="宋体" w:hAnsi="宋体" w:eastAsia="宋体" w:cs="宋体"/>
          <w:color w:val="000000" w:themeColor="text1"/>
          <w:kern w:val="2"/>
          <w:sz w:val="24"/>
          <w:szCs w:val="24"/>
          <w:u w:val="single"/>
          <w:lang w:val="en-US" w:eastAsia="zh-CN" w:bidi="ar-SA"/>
          <w14:textFill>
            <w14:solidFill>
              <w14:schemeClr w14:val="tx1"/>
            </w14:solidFill>
          </w14:textFill>
        </w:rPr>
        <w:t>（中型企业、小型企业、微型企业）</w:t>
      </w: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7EE3A061">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w:t>
      </w:r>
    </w:p>
    <w:p w14:paraId="229923CF">
      <w:pPr>
        <w:pStyle w:val="11"/>
        <w:keepNext w:val="0"/>
        <w:keepLines w:val="0"/>
        <w:pageBreakBefore w:val="0"/>
        <w:widowControl w:val="0"/>
        <w:kinsoku/>
        <w:wordWrap/>
        <w:overflowPunct/>
        <w:topLinePunct w:val="0"/>
        <w:autoSpaceDE/>
        <w:autoSpaceDN/>
        <w:bidi w:val="0"/>
        <w:adjustRightInd/>
        <w:snapToGrid/>
        <w:spacing w:before="2" w:line="480" w:lineRule="auto"/>
        <w:ind w:firstLine="480" w:firstLine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5781C9E7">
      <w:pPr>
        <w:pStyle w:val="11"/>
        <w:keepNext w:val="0"/>
        <w:keepLines w:val="0"/>
        <w:pageBreakBefore w:val="0"/>
        <w:widowControl w:val="0"/>
        <w:kinsoku/>
        <w:wordWrap/>
        <w:overflowPunct/>
        <w:topLinePunct w:val="0"/>
        <w:autoSpaceDE/>
        <w:autoSpaceDN/>
        <w:bidi w:val="0"/>
        <w:adjustRightInd/>
        <w:snapToGrid/>
        <w:spacing w:before="2" w:line="480" w:lineRule="auto"/>
        <w:ind w:left="420" w:leftChars="2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本企业对上述声明内容的真实性负责。如有虚假，将依法承担相应责任。</w:t>
      </w:r>
    </w:p>
    <w:p w14:paraId="4C2ACE66">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企业名称（盖章）：</w:t>
      </w:r>
    </w:p>
    <w:p w14:paraId="1B441C9C">
      <w:pPr>
        <w:pStyle w:val="110"/>
        <w:keepNext w:val="0"/>
        <w:keepLines w:val="0"/>
        <w:pageBreakBefore w:val="0"/>
        <w:widowControl w:val="0"/>
        <w:kinsoku/>
        <w:wordWrap/>
        <w:overflowPunct/>
        <w:topLinePunct w:val="0"/>
        <w:autoSpaceDE/>
        <w:autoSpaceDN/>
        <w:bidi w:val="0"/>
        <w:adjustRightInd/>
        <w:snapToGrid/>
        <w:spacing w:line="480" w:lineRule="auto"/>
        <w:ind w:firstLine="4560" w:firstLineChars="1900"/>
        <w:jc w:val="left"/>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日期：</w:t>
      </w:r>
    </w:p>
    <w:p w14:paraId="5009D27B">
      <w:pPr>
        <w:pStyle w:val="1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kern w:val="2"/>
          <w:sz w:val="24"/>
          <w:szCs w:val="24"/>
          <w:lang w:val="en-US" w:eastAsia="zh-CN" w:bidi="ar-SA"/>
          <w14:textFill>
            <w14:solidFill>
              <w14:schemeClr w14:val="tx1"/>
            </w14:solidFill>
          </w14:textFill>
        </w:r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备注：1、中小企业参加政府采购活动，应当按照《政府采购促进中小企业发展管理办法》（财库〔2020〕46号）规定和《中小企业划型标准规定》（工信部联企业〔2011〕300号），如实填写并提交本《中小企业声明函》。</w:t>
      </w:r>
    </w:p>
    <w:p w14:paraId="1B3F1987">
      <w:pPr>
        <w:ind w:firstLine="480" w:firstLineChars="200"/>
        <w:outlineLvl w:val="0"/>
        <w:rPr>
          <w:rFonts w:hint="eastAsia" w:ascii="宋体" w:hAnsi="宋体" w:eastAsia="宋体" w:cs="宋体"/>
          <w:b/>
          <w:color w:val="000000" w:themeColor="text1"/>
          <w:sz w:val="24"/>
          <w14:textFill>
            <w14:solidFill>
              <w14:schemeClr w14:val="tx1"/>
            </w14:solidFill>
          </w14:textFill>
        </w:rPr>
        <w:sectPr>
          <w:headerReference r:id="rId16" w:type="default"/>
          <w:footerReference r:id="rId17" w:type="default"/>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color w:val="000000" w:themeColor="text1"/>
          <w:kern w:val="2"/>
          <w:sz w:val="24"/>
          <w:szCs w:val="24"/>
          <w:lang w:val="en-US" w:eastAsia="zh-CN" w:bidi="ar-SA"/>
          <w14:textFill>
            <w14:solidFill>
              <w14:schemeClr w14:val="tx1"/>
            </w14:solidFill>
          </w14:textFill>
        </w:rPr>
        <w:t>2、从业人员、营业收入、资产总额填报上一年度数据，无上一年度数据的新成立企业可不填报。</w:t>
      </w:r>
    </w:p>
    <w:p w14:paraId="55D9A4BF">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59439EDE">
      <w:pPr>
        <w:pStyle w:val="113"/>
        <w:rPr>
          <w:rFonts w:hint="eastAsia"/>
        </w:rPr>
      </w:pPr>
    </w:p>
    <w:p w14:paraId="3A559E5C">
      <w:pPr>
        <w:keepNext w:val="0"/>
        <w:keepLines w:val="0"/>
        <w:widowControl/>
        <w:suppressLineNumbers w:val="0"/>
        <w:pBdr>
          <w:top w:val="none" w:color="auto" w:sz="0" w:space="0"/>
          <w:left w:val="none" w:color="auto" w:sz="0" w:space="0"/>
          <w:bottom w:val="none" w:color="auto" w:sz="0" w:space="0"/>
          <w:right w:val="none" w:color="auto" w:sz="0" w:space="0"/>
        </w:pBdr>
        <w:shd w:val="clear"/>
        <w:spacing w:before="20" w:beforeAutospacing="0" w:after="20" w:afterAutospacing="0" w:line="360" w:lineRule="auto"/>
        <w:ind w:left="0" w:right="0" w:firstLine="2409" w:firstLineChars="800"/>
        <w:jc w:val="both"/>
        <w:textAlignment w:val="baseline"/>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pPr>
      <w:bookmarkStart w:id="953" w:name="_Toc7007"/>
      <w:bookmarkStart w:id="954" w:name="_Toc3759"/>
      <w:bookmarkStart w:id="955" w:name="_Toc12082"/>
      <w:bookmarkStart w:id="956" w:name="_Toc13422"/>
      <w:bookmarkStart w:id="957" w:name="_Toc1373"/>
      <w:bookmarkStart w:id="958" w:name="_Toc2637"/>
      <w:bookmarkStart w:id="959" w:name="_Toc31861"/>
      <w:bookmarkStart w:id="960" w:name="_Toc19469"/>
      <w:bookmarkStart w:id="961" w:name="_Toc150_WPSOffice_Level1"/>
      <w:r>
        <w:rPr>
          <w:rStyle w:val="37"/>
          <w:rFonts w:hint="eastAsia" w:ascii="宋体" w:hAnsi="宋体" w:eastAsia="宋体" w:cs="宋体"/>
          <w:b/>
          <w:bCs/>
          <w:i w:val="0"/>
          <w:iCs w:val="0"/>
          <w:caps w:val="0"/>
          <w:color w:val="auto"/>
          <w:spacing w:val="0"/>
          <w:kern w:val="0"/>
          <w:sz w:val="30"/>
          <w:szCs w:val="30"/>
          <w:shd w:val="clear" w:color="auto" w:fill="auto"/>
          <w:vertAlign w:val="baseline"/>
          <w:lang w:val="zh-CN"/>
        </w:rPr>
        <w:t>关于符合本国产品标准的声明函</w:t>
      </w:r>
    </w:p>
    <w:p w14:paraId="119EA792">
      <w:pPr>
        <w:pStyle w:val="113"/>
        <w:rPr>
          <w:rFonts w:hint="eastAsia"/>
          <w:lang w:val="zh-CN"/>
        </w:rPr>
      </w:pPr>
    </w:p>
    <w:p w14:paraId="40123B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4267BE5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①，生产厂为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②，厂址为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③</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④</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（产品名称1）</w:t>
      </w:r>
      <w:r>
        <w:rPr>
          <w:rFonts w:hint="eastAsia" w:ascii="宋体" w:hAnsi="宋体" w:eastAsia="宋体" w:cs="宋体"/>
          <w:i w:val="0"/>
          <w:iCs w:val="0"/>
          <w:caps w:val="0"/>
          <w:color w:val="auto"/>
          <w:spacing w:val="0"/>
          <w:sz w:val="24"/>
          <w:szCs w:val="24"/>
          <w:shd w:val="clear" w:color="auto" w:fill="FFFFFF"/>
          <w:vertAlign w:val="baseline"/>
        </w:rPr>
        <w:t>的</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Style w:val="41"/>
          <w:rFonts w:hint="eastAsia" w:ascii="宋体" w:hAnsi="宋体" w:eastAsia="宋体" w:cs="宋体"/>
          <w:i w:val="0"/>
          <w:iCs w:val="0"/>
          <w:caps w:val="0"/>
          <w:color w:val="auto"/>
          <w:spacing w:val="0"/>
          <w:sz w:val="24"/>
          <w:szCs w:val="24"/>
          <w:u w:val="single"/>
          <w:shd w:val="clear" w:color="auto" w:fill="FFFFFF"/>
          <w:vertAlign w:val="baseline"/>
          <w:lang w:eastAsia="zh-CN"/>
        </w:rPr>
        <w:t>）</w:t>
      </w:r>
      <w:r>
        <w:rPr>
          <w:rStyle w:val="41"/>
          <w:rFonts w:hint="eastAsia" w:ascii="宋体" w:hAnsi="宋体" w:eastAsia="宋体" w:cs="宋体"/>
          <w:i w:val="0"/>
          <w:iCs w:val="0"/>
          <w:caps w:val="0"/>
          <w:color w:val="auto"/>
          <w:spacing w:val="0"/>
          <w:sz w:val="24"/>
          <w:szCs w:val="24"/>
          <w:shd w:val="clear" w:color="auto" w:fill="FFFFFF"/>
          <w:vertAlign w:val="baseline"/>
          <w:lang w:val="en-US" w:eastAsia="zh-CN"/>
        </w:rPr>
        <w:t>⑤</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2F369E1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的中国境内生产的组件成本占比≥</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（规定比例）</w:t>
      </w:r>
      <w:r>
        <w:rPr>
          <w:rFonts w:hint="eastAsia" w:ascii="宋体" w:hAnsi="宋体" w:eastAsia="宋体" w:cs="宋体"/>
          <w:i w:val="0"/>
          <w:iCs w:val="0"/>
          <w:caps w:val="0"/>
          <w:color w:val="auto"/>
          <w:spacing w:val="0"/>
          <w:sz w:val="24"/>
          <w:szCs w:val="24"/>
          <w:shd w:val="clear" w:color="auto" w:fill="FFFFFF"/>
          <w:vertAlign w:val="baseline"/>
        </w:rPr>
        <w:t>。</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rPr>
        <w:t>（关键组件）</w:t>
      </w:r>
      <w:r>
        <w:rPr>
          <w:rFonts w:hint="eastAsia" w:ascii="宋体" w:hAnsi="宋体" w:eastAsia="宋体" w:cs="宋体"/>
          <w:i w:val="0"/>
          <w:iCs w:val="0"/>
          <w:caps w:val="0"/>
          <w:color w:val="auto"/>
          <w:spacing w:val="0"/>
          <w:sz w:val="24"/>
          <w:szCs w:val="24"/>
          <w:shd w:val="clear" w:color="auto" w:fill="FFFFFF"/>
          <w:vertAlign w:val="baseline"/>
        </w:rPr>
        <w:t>在中国境内生产。</w:t>
      </w:r>
      <w:r>
        <w:rPr>
          <w:rStyle w:val="41"/>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的</w:t>
      </w:r>
      <w:r>
        <w:rPr>
          <w:rStyle w:val="41"/>
          <w:rFonts w:hint="eastAsia" w:ascii="宋体" w:hAnsi="宋体" w:eastAsia="宋体" w:cs="宋体"/>
          <w:i w:val="0"/>
          <w:iCs w:val="0"/>
          <w:caps w:val="0"/>
          <w:color w:val="auto"/>
          <w:spacing w:val="0"/>
          <w:sz w:val="24"/>
          <w:szCs w:val="24"/>
          <w:u w:val="single"/>
          <w:shd w:val="clear" w:color="auto" w:fill="FFFFFF"/>
          <w:vertAlign w:val="baseline"/>
          <w:lang w:val="en-US" w:eastAsia="zh-CN"/>
        </w:rPr>
        <w:t xml:space="preserve"> </w:t>
      </w:r>
      <w:r>
        <w:rPr>
          <w:rStyle w:val="41"/>
          <w:rFonts w:hint="eastAsia" w:ascii="宋体" w:hAnsi="宋体" w:eastAsia="宋体" w:cs="宋体"/>
          <w:i w:val="0"/>
          <w:iCs w:val="0"/>
          <w:caps w:val="0"/>
          <w:color w:val="auto"/>
          <w:spacing w:val="0"/>
          <w:sz w:val="24"/>
          <w:szCs w:val="24"/>
          <w:u w:val="single"/>
          <w:shd w:val="clear" w:color="auto" w:fill="FFFFFF"/>
          <w:vertAlign w:val="baseline"/>
        </w:rPr>
        <w:t>（关键工序）</w:t>
      </w:r>
      <w:r>
        <w:rPr>
          <w:rFonts w:hint="eastAsia" w:ascii="宋体" w:hAnsi="宋体" w:eastAsia="宋体" w:cs="宋体"/>
          <w:i w:val="0"/>
          <w:iCs w:val="0"/>
          <w:caps w:val="0"/>
          <w:color w:val="auto"/>
          <w:spacing w:val="0"/>
          <w:sz w:val="24"/>
          <w:szCs w:val="24"/>
          <w:shd w:val="clear" w:color="auto" w:fill="FFFFFF"/>
          <w:vertAlign w:val="baseline"/>
        </w:rPr>
        <w:t>在中国境内完成。</w:t>
      </w:r>
    </w:p>
    <w:p w14:paraId="7249746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w:t>
      </w:r>
    </w:p>
    <w:p w14:paraId="274E5E6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000000"/>
          <w:spacing w:val="0"/>
          <w:sz w:val="24"/>
          <w:szCs w:val="24"/>
          <w:shd w:val="clear" w:color="auto" w:fill="FFFFFF"/>
          <w:vertAlign w:val="baseline"/>
        </w:rPr>
      </w:pPr>
      <w:r>
        <w:rPr>
          <w:rFonts w:hint="eastAsia" w:ascii="宋体" w:hAnsi="宋体" w:eastAsia="宋体" w:cs="宋体"/>
          <w:i w:val="0"/>
          <w:iCs w:val="0"/>
          <w:caps w:val="0"/>
          <w:color w:val="000000"/>
          <w:spacing w:val="0"/>
          <w:sz w:val="24"/>
          <w:szCs w:val="24"/>
          <w:shd w:val="clear" w:color="auto" w:fill="FFFFFF"/>
          <w:vertAlign w:val="baseline"/>
        </w:rPr>
        <w:t xml:space="preserve">本公司（单位）承诺，所提供的符合本国产品标准的产品成本之和占本公司（单位）提供的全部产品成本之和的比例达到80%以上，并对上述声明和承诺内容的真实性负责。如有虚假，愿承担相应法律责任。 </w:t>
      </w:r>
    </w:p>
    <w:p w14:paraId="4C6ABB1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w:t>
      </w:r>
    </w:p>
    <w:p w14:paraId="5BADF88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6F1393B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right"/>
        <w:textAlignment w:val="baseline"/>
        <w:rPr>
          <w:rFonts w:hint="eastAsia"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日期：  年　  月　  日         </w:t>
      </w:r>
    </w:p>
    <w:p w14:paraId="4F3948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right="0"/>
        <w:jc w:val="both"/>
        <w:textAlignment w:val="baseline"/>
        <w:rPr>
          <w:rFonts w:hint="default" w:ascii="宋体" w:hAnsi="宋体" w:eastAsia="宋体" w:cs="宋体"/>
          <w:b/>
          <w:bCs/>
          <w:i w:val="0"/>
          <w:iCs w:val="0"/>
          <w:caps w:val="0"/>
          <w:color w:val="auto"/>
          <w:spacing w:val="0"/>
          <w:sz w:val="24"/>
          <w:szCs w:val="24"/>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shd w:val="clear" w:color="auto" w:fill="FFFFFF"/>
          <w:vertAlign w:val="baseline"/>
          <w:lang w:val="en-US" w:eastAsia="zh-CN"/>
        </w:rPr>
        <w:t>填写说明：</w:t>
      </w:r>
    </w:p>
    <w:p w14:paraId="6978AB0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①产品如有型号，请在“产品名称”栏一并填写。</w:t>
      </w:r>
    </w:p>
    <w:p w14:paraId="02D311E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②生产厂名与厂址应与生产厂营业执照载明的相关信息保持一致。</w:t>
      </w:r>
    </w:p>
    <w:p w14:paraId="298DFC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③该产品的中国境内生产的组件成本占比相关要求实施前，“规定比例”栏可不填，下同。</w:t>
      </w:r>
    </w:p>
    <w:p w14:paraId="5FE709D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④该产品的关键组件要求实施前，“关键组件”栏可不填，下同。</w:t>
      </w:r>
    </w:p>
    <w:p w14:paraId="5D0F270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wordWrap/>
        <w:overflowPunct/>
        <w:topLinePunct w:val="0"/>
        <w:autoSpaceDE/>
        <w:autoSpaceDN/>
        <w:bidi w:val="0"/>
        <w:adjustRightInd w:val="0"/>
        <w:snapToGrid/>
        <w:spacing w:before="0" w:beforeLines="0" w:beforeAutospacing="0" w:after="0" w:afterLines="0" w:afterAutospacing="0" w:line="360" w:lineRule="auto"/>
        <w:ind w:left="0" w:right="0" w:firstLine="480" w:firstLineChars="200"/>
        <w:jc w:val="both"/>
        <w:textAlignment w:val="baseline"/>
        <w:rPr>
          <w:rFonts w:hint="eastAsia" w:ascii="宋体" w:hAnsi="宋体" w:eastAsia="宋体" w:cs="宋体"/>
          <w:b/>
          <w:bCs/>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⑤该产品的关键工序要求实施前，“关键工序”栏可不填，下同。</w:t>
      </w:r>
    </w:p>
    <w:p w14:paraId="271C2516">
      <w:pPr>
        <w:keepNext w:val="0"/>
        <w:keepLines w:val="0"/>
        <w:pageBreakBefore w:val="0"/>
        <w:shd w:val="clear"/>
        <w:kinsoku/>
        <w:wordWrap/>
        <w:overflowPunct/>
        <w:topLinePunct w:val="0"/>
        <w:autoSpaceDE/>
        <w:autoSpaceDN/>
        <w:bidi w:val="0"/>
        <w:snapToGrid/>
        <w:spacing w:line="360" w:lineRule="auto"/>
        <w:ind w:firstLine="482" w:firstLineChars="200"/>
        <w:outlineLvl w:val="0"/>
        <w:rPr>
          <w:rFonts w:hint="eastAsia" w:ascii="宋体" w:hAnsi="宋体" w:eastAsia="宋体" w:cs="宋体"/>
          <w:b/>
          <w:color w:val="000000" w:themeColor="text1"/>
          <w:sz w:val="24"/>
          <w14:textFill>
            <w14:solidFill>
              <w14:schemeClr w14:val="tx1"/>
            </w14:solidFill>
          </w14:textFill>
        </w:rPr>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pPr>
      <w:r>
        <w:rPr>
          <w:rFonts w:hint="eastAsia" w:ascii="宋体" w:hAnsi="宋体" w:eastAsia="宋体" w:cs="宋体"/>
          <w:b/>
          <w:bCs/>
          <w:i w:val="0"/>
          <w:iCs w:val="0"/>
          <w:caps w:val="0"/>
          <w:color w:val="auto"/>
          <w:spacing w:val="0"/>
          <w:sz w:val="24"/>
          <w:szCs w:val="24"/>
          <w:shd w:val="clear" w:color="auto" w:fill="FFFFFF"/>
          <w:vertAlign w:val="baseline"/>
        </w:rPr>
        <w:t>注：</w:t>
      </w:r>
      <w:r>
        <w:rPr>
          <w:rFonts w:hint="eastAsia" w:ascii="宋体" w:hAnsi="宋体" w:eastAsia="宋体" w:cs="宋体"/>
          <w:b/>
          <w:bCs/>
          <w:i w:val="0"/>
          <w:iCs w:val="0"/>
          <w:caps w:val="0"/>
          <w:color w:val="auto"/>
          <w:spacing w:val="0"/>
          <w:sz w:val="24"/>
          <w:szCs w:val="24"/>
          <w:shd w:val="clear" w:color="auto" w:fill="FFFFFF"/>
          <w:vertAlign w:val="baseline"/>
          <w:lang w:val="en-US" w:eastAsia="zh-CN"/>
        </w:rPr>
        <w:t>1.</w:t>
      </w:r>
      <w:r>
        <w:rPr>
          <w:rFonts w:hint="eastAsia" w:ascii="宋体" w:hAnsi="宋体" w:eastAsia="宋体" w:cs="宋体"/>
          <w:b/>
          <w:bCs/>
          <w:i w:val="0"/>
          <w:iCs w:val="0"/>
          <w:caps w:val="0"/>
          <w:color w:val="auto"/>
          <w:spacing w:val="0"/>
          <w:sz w:val="24"/>
          <w:szCs w:val="24"/>
          <w:shd w:val="clear" w:color="auto" w:fill="FFFFFF"/>
          <w:vertAlign w:val="baseline"/>
        </w:rPr>
        <w:t>在财政部、工业和信息化部制定出台在中国境内生产的组件成本占比要求，以及特定产品的关键组件、关键工序要求之前，目前，在中国境内生产的产品即视为符合本国产品标准，享受政府采购本国产品支持政策。</w:t>
      </w:r>
    </w:p>
    <w:p w14:paraId="1AFFB0E2">
      <w:pPr>
        <w:outlineLvl w:val="0"/>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bookmarkEnd w:id="953"/>
      <w:bookmarkEnd w:id="954"/>
      <w:bookmarkEnd w:id="955"/>
      <w:bookmarkEnd w:id="956"/>
      <w:bookmarkEnd w:id="957"/>
      <w:bookmarkEnd w:id="958"/>
      <w:bookmarkEnd w:id="959"/>
      <w:r>
        <w:rPr>
          <w:rFonts w:hint="eastAsia" w:ascii="宋体" w:hAnsi="宋体" w:cs="宋体"/>
          <w:b/>
          <w:color w:val="000000" w:themeColor="text1"/>
          <w:sz w:val="24"/>
          <w:lang w:val="en-US" w:eastAsia="zh-CN"/>
          <w14:textFill>
            <w14:solidFill>
              <w14:schemeClr w14:val="tx1"/>
            </w14:solidFill>
          </w14:textFill>
        </w:rPr>
        <w:t>3</w:t>
      </w:r>
    </w:p>
    <w:p w14:paraId="791CA4A2">
      <w:pPr>
        <w:widowControl/>
        <w:shd w:val="clear" w:color="auto" w:fill="auto"/>
        <w:spacing w:before="120" w:beforeLines="50" w:after="120" w:afterLines="50" w:line="360" w:lineRule="auto"/>
        <w:jc w:val="center"/>
        <w:textAlignment w:val="baseline"/>
        <w:rPr>
          <w:rFonts w:hint="eastAsia" w:ascii="宋体" w:hAnsi="宋体"/>
          <w:b/>
          <w:color w:val="000000" w:themeColor="text1"/>
          <w:kern w:val="0"/>
          <w:sz w:val="28"/>
          <w:szCs w:val="28"/>
          <w14:textFill>
            <w14:solidFill>
              <w14:schemeClr w14:val="tx1"/>
            </w14:solidFill>
          </w14:textFill>
        </w:rPr>
      </w:pPr>
    </w:p>
    <w:p w14:paraId="066D2A16">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62" w:name="_Toc18601"/>
      <w:bookmarkStart w:id="963" w:name="_Toc24984"/>
      <w:bookmarkStart w:id="964" w:name="_Toc25831"/>
      <w:bookmarkStart w:id="965" w:name="_Toc1051"/>
      <w:bookmarkStart w:id="966" w:name="_Toc31626"/>
      <w:bookmarkStart w:id="967" w:name="_Toc17548"/>
      <w:bookmarkStart w:id="968" w:name="_Toc29410"/>
      <w:r>
        <w:rPr>
          <w:rFonts w:hint="eastAsia" w:ascii="宋体" w:hAnsi="宋体"/>
          <w:b/>
          <w:color w:val="000000" w:themeColor="text1"/>
          <w:kern w:val="0"/>
          <w:sz w:val="28"/>
          <w:szCs w:val="28"/>
          <w14:textFill>
            <w14:solidFill>
              <w14:schemeClr w14:val="tx1"/>
            </w14:solidFill>
          </w14:textFill>
        </w:rPr>
        <w:t>残疾人福利性单位声明函（是/否）</w:t>
      </w:r>
      <w:bookmarkEnd w:id="960"/>
      <w:bookmarkEnd w:id="961"/>
      <w:bookmarkEnd w:id="962"/>
      <w:bookmarkEnd w:id="963"/>
      <w:bookmarkEnd w:id="964"/>
      <w:bookmarkEnd w:id="965"/>
      <w:bookmarkEnd w:id="966"/>
      <w:bookmarkEnd w:id="967"/>
      <w:bookmarkEnd w:id="968"/>
    </w:p>
    <w:p w14:paraId="689ECAEF">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1C729CF0">
      <w:pPr>
        <w:widowControl/>
        <w:shd w:val="clear" w:color="auto" w:fill="auto"/>
        <w:spacing w:before="120" w:beforeLines="50" w:after="240" w:line="360" w:lineRule="auto"/>
        <w:jc w:val="left"/>
        <w:textAlignment w:val="baseline"/>
        <w:rPr>
          <w:rFonts w:hint="eastAsia" w:ascii="宋体" w:hAnsi="宋体"/>
          <w:b/>
          <w:color w:val="000000" w:themeColor="text1"/>
          <w:kern w:val="0"/>
          <w:sz w:val="36"/>
          <w:szCs w:val="36"/>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22FAC6E1">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（采购人）的</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项目采购活动提供本公司制造的货物（由本单位承担工程/提供服务），或者提供其他残疾人福利性单位制造的货物（不包括使用非残疾人福利性单位注册商标的货物）。</w:t>
      </w:r>
    </w:p>
    <w:p w14:paraId="1F4272EF">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574A0FC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4EDC0EC">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1F80719">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1364949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27E0A304">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76EBB5EB">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1DA38057">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3EEA2186">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p w14:paraId="0561C668">
      <w:pPr>
        <w:shd w:val="clear" w:color="auto" w:fill="auto"/>
        <w:rPr>
          <w:rFonts w:hint="eastAsia"/>
          <w:color w:val="000000" w:themeColor="text1"/>
          <w14:textFill>
            <w14:solidFill>
              <w14:schemeClr w14:val="tx1"/>
            </w14:solidFill>
          </w14:textFill>
        </w:rPr>
      </w:pPr>
    </w:p>
    <w:p w14:paraId="3ACFE1C7">
      <w:pPr>
        <w:shd w:val="clear" w:color="auto" w:fill="auto"/>
        <w:rPr>
          <w:rFonts w:hint="eastAsia"/>
          <w:color w:val="000000" w:themeColor="text1"/>
          <w14:textFill>
            <w14:solidFill>
              <w14:schemeClr w14:val="tx1"/>
            </w14:solidFill>
          </w14:textFill>
        </w:rPr>
      </w:pPr>
    </w:p>
    <w:p w14:paraId="5176C8A7">
      <w:pPr>
        <w:shd w:val="clear" w:color="auto" w:fill="auto"/>
        <w:rPr>
          <w:rFonts w:hint="eastAsia"/>
          <w:color w:val="000000" w:themeColor="text1"/>
          <w14:textFill>
            <w14:solidFill>
              <w14:schemeClr w14:val="tx1"/>
            </w14:solidFill>
          </w14:textFill>
        </w:rPr>
      </w:pPr>
    </w:p>
    <w:p w14:paraId="73E05BB4">
      <w:pPr>
        <w:shd w:val="clear" w:color="auto" w:fill="auto"/>
        <w:rPr>
          <w:rFonts w:hint="eastAsia"/>
          <w:color w:val="000000" w:themeColor="text1"/>
          <w14:textFill>
            <w14:solidFill>
              <w14:schemeClr w14:val="tx1"/>
            </w14:solidFill>
          </w14:textFill>
        </w:rPr>
      </w:pPr>
    </w:p>
    <w:p w14:paraId="5E51A5AE">
      <w:pPr>
        <w:shd w:val="clear" w:color="auto" w:fill="auto"/>
        <w:rPr>
          <w:rFonts w:hint="eastAsia"/>
          <w:color w:val="000000" w:themeColor="text1"/>
          <w14:textFill>
            <w14:solidFill>
              <w14:schemeClr w14:val="tx1"/>
            </w14:solidFill>
          </w14:textFill>
        </w:rPr>
      </w:pPr>
    </w:p>
    <w:p w14:paraId="18DEE795">
      <w:pPr>
        <w:shd w:val="clear" w:color="auto" w:fill="auto"/>
        <w:rPr>
          <w:rFonts w:hint="eastAsia"/>
          <w:color w:val="000000" w:themeColor="text1"/>
          <w14:textFill>
            <w14:solidFill>
              <w14:schemeClr w14:val="tx1"/>
            </w14:solidFill>
          </w14:textFill>
        </w:rPr>
      </w:pPr>
    </w:p>
    <w:p w14:paraId="2A1BBAF7">
      <w:pPr>
        <w:shd w:val="clear" w:color="auto" w:fill="auto"/>
        <w:rPr>
          <w:rFonts w:hint="eastAsia"/>
          <w:color w:val="000000" w:themeColor="text1"/>
          <w14:textFill>
            <w14:solidFill>
              <w14:schemeClr w14:val="tx1"/>
            </w14:solidFill>
          </w14:textFill>
        </w:rPr>
      </w:pPr>
    </w:p>
    <w:p w14:paraId="6FCC7926">
      <w:pPr>
        <w:pStyle w:val="13"/>
        <w:shd w:val="clear" w:color="auto" w:fill="auto"/>
        <w:ind w:left="1470" w:right="1470"/>
        <w:rPr>
          <w:rFonts w:hint="eastAsia"/>
          <w:color w:val="000000" w:themeColor="text1"/>
          <w14:textFill>
            <w14:solidFill>
              <w14:schemeClr w14:val="tx1"/>
            </w14:solidFill>
          </w14:textFill>
        </w:rPr>
      </w:pPr>
    </w:p>
    <w:p w14:paraId="77BFC347">
      <w:pPr>
        <w:pStyle w:val="13"/>
        <w:shd w:val="clear" w:color="auto" w:fill="auto"/>
        <w:ind w:left="1470" w:right="1470"/>
        <w:rPr>
          <w:rFonts w:hint="eastAsia"/>
          <w:color w:val="000000" w:themeColor="text1"/>
          <w14:textFill>
            <w14:solidFill>
              <w14:schemeClr w14:val="tx1"/>
            </w14:solidFill>
          </w14:textFill>
        </w:rPr>
      </w:pPr>
    </w:p>
    <w:p w14:paraId="224C4DE5">
      <w:pPr>
        <w:pStyle w:val="13"/>
        <w:shd w:val="clear" w:color="auto" w:fill="auto"/>
        <w:ind w:left="1470" w:right="1470"/>
        <w:rPr>
          <w:rFonts w:hint="eastAsia"/>
          <w:color w:val="000000" w:themeColor="text1"/>
          <w14:textFill>
            <w14:solidFill>
              <w14:schemeClr w14:val="tx1"/>
            </w14:solidFill>
          </w14:textFill>
        </w:rPr>
      </w:pPr>
    </w:p>
    <w:p w14:paraId="34B8AC6F">
      <w:pPr>
        <w:pStyle w:val="13"/>
        <w:shd w:val="clear" w:color="auto" w:fill="auto"/>
        <w:ind w:left="1470" w:right="1470"/>
        <w:rPr>
          <w:rFonts w:hint="eastAsia"/>
          <w:color w:val="000000" w:themeColor="text1"/>
          <w14:textFill>
            <w14:solidFill>
              <w14:schemeClr w14:val="tx1"/>
            </w14:solidFill>
          </w14:textFill>
        </w:rPr>
      </w:pPr>
    </w:p>
    <w:p w14:paraId="2999FDC4">
      <w:pPr>
        <w:pStyle w:val="13"/>
        <w:shd w:val="clear" w:color="auto" w:fill="auto"/>
        <w:ind w:left="1470" w:right="1470"/>
        <w:rPr>
          <w:rFonts w:hint="eastAsia"/>
          <w:color w:val="000000" w:themeColor="text1"/>
          <w14:textFill>
            <w14:solidFill>
              <w14:schemeClr w14:val="tx1"/>
            </w14:solidFill>
          </w14:textFill>
        </w:rPr>
      </w:pPr>
    </w:p>
    <w:p w14:paraId="101F639E">
      <w:pPr>
        <w:pStyle w:val="13"/>
        <w:shd w:val="clear" w:color="auto" w:fill="auto"/>
        <w:ind w:left="1470" w:right="1470"/>
        <w:rPr>
          <w:rFonts w:hint="eastAsia"/>
          <w:color w:val="000000" w:themeColor="text1"/>
          <w14:textFill>
            <w14:solidFill>
              <w14:schemeClr w14:val="tx1"/>
            </w14:solidFill>
          </w14:textFill>
        </w:rPr>
      </w:pPr>
    </w:p>
    <w:p w14:paraId="30190009">
      <w:pPr>
        <w:pStyle w:val="13"/>
        <w:shd w:val="clear" w:color="auto" w:fill="auto"/>
        <w:ind w:left="1470" w:right="1470"/>
        <w:rPr>
          <w:rFonts w:hint="eastAsia"/>
          <w:color w:val="000000" w:themeColor="text1"/>
          <w14:textFill>
            <w14:solidFill>
              <w14:schemeClr w14:val="tx1"/>
            </w14:solidFill>
          </w14:textFill>
        </w:rPr>
      </w:pPr>
    </w:p>
    <w:p w14:paraId="06572088">
      <w:pPr>
        <w:shd w:val="clear" w:color="auto" w:fill="auto"/>
        <w:outlineLvl w:val="0"/>
        <w:rPr>
          <w:rFonts w:hint="default" w:ascii="宋体" w:hAnsi="宋体" w:eastAsia="宋体" w:cs="宋体"/>
          <w:b/>
          <w:color w:val="000000" w:themeColor="text1"/>
          <w:sz w:val="24"/>
          <w:lang w:val="en-US" w:eastAsia="zh-CN"/>
          <w14:textFill>
            <w14:solidFill>
              <w14:schemeClr w14:val="tx1"/>
            </w14:solidFill>
          </w14:textFill>
        </w:rPr>
      </w:pPr>
      <w:bookmarkStart w:id="969" w:name="_Toc12335"/>
      <w:bookmarkStart w:id="970" w:name="_Toc9395"/>
      <w:bookmarkStart w:id="971" w:name="_Toc8199"/>
      <w:bookmarkStart w:id="972" w:name="_Toc32027"/>
      <w:bookmarkStart w:id="973" w:name="_Toc5476"/>
      <w:bookmarkStart w:id="974" w:name="_Toc4164"/>
      <w:bookmarkStart w:id="975" w:name="_Toc15339"/>
      <w:r>
        <w:rPr>
          <w:rFonts w:hint="eastAsia" w:ascii="宋体" w:hAnsi="宋体" w:eastAsia="宋体" w:cs="宋体"/>
          <w:b/>
          <w:color w:val="000000" w:themeColor="text1"/>
          <w:sz w:val="24"/>
          <w14:textFill>
            <w14:solidFill>
              <w14:schemeClr w14:val="tx1"/>
            </w14:solidFill>
          </w14:textFill>
        </w:rPr>
        <w:t>附件</w:t>
      </w:r>
      <w:bookmarkEnd w:id="969"/>
      <w:bookmarkEnd w:id="970"/>
      <w:bookmarkEnd w:id="971"/>
      <w:bookmarkEnd w:id="972"/>
      <w:bookmarkEnd w:id="973"/>
      <w:bookmarkEnd w:id="974"/>
      <w:bookmarkEnd w:id="975"/>
      <w:r>
        <w:rPr>
          <w:rFonts w:hint="eastAsia" w:ascii="宋体" w:hAnsi="宋体" w:cs="宋体"/>
          <w:b/>
          <w:color w:val="000000" w:themeColor="text1"/>
          <w:sz w:val="24"/>
          <w:lang w:val="en-US" w:eastAsia="zh-CN"/>
          <w14:textFill>
            <w14:solidFill>
              <w14:schemeClr w14:val="tx1"/>
            </w14:solidFill>
          </w14:textFill>
        </w:rPr>
        <w:t>4</w:t>
      </w:r>
    </w:p>
    <w:p w14:paraId="7C141D74">
      <w:pPr>
        <w:shd w:val="clear" w:color="auto" w:fill="auto"/>
        <w:rPr>
          <w:rFonts w:hint="eastAsia"/>
          <w:color w:val="000000" w:themeColor="text1"/>
          <w14:textFill>
            <w14:solidFill>
              <w14:schemeClr w14:val="tx1"/>
            </w14:solidFill>
          </w14:textFill>
        </w:rPr>
      </w:pPr>
    </w:p>
    <w:p w14:paraId="5492705E">
      <w:pPr>
        <w:shd w:val="clear" w:color="auto" w:fill="auto"/>
        <w:rPr>
          <w:rFonts w:hint="eastAsia"/>
          <w:color w:val="000000" w:themeColor="text1"/>
          <w14:textFill>
            <w14:solidFill>
              <w14:schemeClr w14:val="tx1"/>
            </w14:solidFill>
          </w14:textFill>
        </w:rPr>
      </w:pPr>
    </w:p>
    <w:p w14:paraId="2786EEC4">
      <w:pPr>
        <w:widowControl/>
        <w:shd w:val="clear" w:color="auto" w:fill="auto"/>
        <w:spacing w:before="120" w:beforeLines="50" w:after="120" w:afterLines="50" w:line="360" w:lineRule="auto"/>
        <w:jc w:val="center"/>
        <w:textAlignment w:val="baseline"/>
        <w:outlineLvl w:val="0"/>
        <w:rPr>
          <w:rFonts w:hint="eastAsia" w:ascii="宋体" w:hAnsi="宋体"/>
          <w:b/>
          <w:color w:val="000000" w:themeColor="text1"/>
          <w:kern w:val="0"/>
          <w:sz w:val="28"/>
          <w:szCs w:val="28"/>
          <w14:textFill>
            <w14:solidFill>
              <w14:schemeClr w14:val="tx1"/>
            </w14:solidFill>
          </w14:textFill>
        </w:rPr>
      </w:pPr>
      <w:bookmarkStart w:id="976" w:name="_Toc14109"/>
      <w:bookmarkStart w:id="977" w:name="_Toc31454"/>
      <w:bookmarkStart w:id="978" w:name="_Toc10298"/>
      <w:bookmarkStart w:id="979" w:name="_Toc27341"/>
      <w:bookmarkStart w:id="980" w:name="_Toc3262"/>
      <w:bookmarkStart w:id="981" w:name="_Toc27208_WPSOffice_Level1"/>
      <w:bookmarkStart w:id="982" w:name="_Toc21585"/>
      <w:bookmarkStart w:id="983" w:name="_Toc4712"/>
      <w:bookmarkStart w:id="984" w:name="_Toc5318"/>
      <w:r>
        <w:rPr>
          <w:rFonts w:hint="eastAsia" w:ascii="宋体" w:hAnsi="宋体"/>
          <w:b/>
          <w:color w:val="000000" w:themeColor="text1"/>
          <w:kern w:val="0"/>
          <w:sz w:val="28"/>
          <w:szCs w:val="28"/>
          <w14:textFill>
            <w14:solidFill>
              <w14:schemeClr w14:val="tx1"/>
            </w14:solidFill>
          </w14:textFill>
        </w:rPr>
        <w:t>监狱企业证明函（是/否）</w:t>
      </w:r>
      <w:bookmarkEnd w:id="976"/>
      <w:bookmarkEnd w:id="977"/>
      <w:bookmarkEnd w:id="978"/>
      <w:bookmarkEnd w:id="979"/>
      <w:bookmarkEnd w:id="980"/>
      <w:bookmarkEnd w:id="981"/>
      <w:bookmarkEnd w:id="982"/>
      <w:bookmarkEnd w:id="983"/>
      <w:bookmarkEnd w:id="984"/>
    </w:p>
    <w:p w14:paraId="22AEF579">
      <w:pPr>
        <w:widowControl/>
        <w:shd w:val="clear" w:color="auto" w:fill="auto"/>
        <w:spacing w:before="120" w:beforeLines="50" w:after="240" w:line="360" w:lineRule="auto"/>
        <w:jc w:val="left"/>
        <w:textAlignment w:val="baseline"/>
        <w:rPr>
          <w:rFonts w:hint="eastAsia" w:ascii="宋体" w:hAnsi="宋体"/>
          <w:b/>
          <w:color w:val="000000" w:themeColor="text1"/>
          <w:sz w:val="24"/>
          <w14:textFill>
            <w14:solidFill>
              <w14:schemeClr w14:val="tx1"/>
            </w14:solidFill>
          </w14:textFill>
        </w:rPr>
      </w:pPr>
    </w:p>
    <w:p w14:paraId="7234A053">
      <w:pPr>
        <w:widowControl/>
        <w:shd w:val="clear" w:color="auto" w:fill="auto"/>
        <w:spacing w:before="120" w:beforeLines="50" w:after="240" w:line="360" w:lineRule="auto"/>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陕西宸永项目管理有限公司：</w:t>
      </w:r>
    </w:p>
    <w:p w14:paraId="15F118A6">
      <w:pPr>
        <w:keepNext w:val="0"/>
        <w:keepLines w:val="0"/>
        <w:pageBreakBefore w:val="0"/>
        <w:widowControl/>
        <w:shd w:val="clear" w:color="auto" w:fill="auto"/>
        <w:kinsoku/>
        <w:wordWrap/>
        <w:overflowPunct/>
        <w:topLinePunct w:val="0"/>
        <w:autoSpaceDE/>
        <w:autoSpaceDN/>
        <w:bidi w:val="0"/>
        <w:adjustRightInd/>
        <w:snapToGrid/>
        <w:spacing w:after="240" w:line="360" w:lineRule="auto"/>
        <w:ind w:firstLine="480" w:firstLineChars="20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FAE2506">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监狱企业参加政府采购活动时，应当提供由省级以上监狱管理局、戒毒管理局（含新疆生产建设兵团）出具的属于监狱企业的证明文件。</w:t>
      </w:r>
    </w:p>
    <w:p w14:paraId="25D6ED65">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p>
    <w:p w14:paraId="18BB4727">
      <w:pPr>
        <w:widowControl/>
        <w:shd w:val="clear" w:color="auto" w:fill="auto"/>
        <w:spacing w:after="240" w:line="360" w:lineRule="auto"/>
        <w:ind w:firstLine="480"/>
        <w:jc w:val="left"/>
        <w:textAlignment w:val="baseline"/>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本公司对上述声明的真实性负责。如有虚假，将依法承担相应责任。</w:t>
      </w:r>
    </w:p>
    <w:p w14:paraId="1C6D430D">
      <w:pPr>
        <w:pStyle w:val="8"/>
        <w:shd w:val="clear" w:color="auto" w:fill="auto"/>
        <w:spacing w:line="360" w:lineRule="auto"/>
        <w:ind w:firstLine="570"/>
        <w:rPr>
          <w:rFonts w:hint="eastAsia" w:ascii="宋体" w:hAnsi="宋体" w:cs="宋体"/>
          <w:color w:val="000000" w:themeColor="text1"/>
          <w:sz w:val="24"/>
          <w:szCs w:val="24"/>
          <w14:textFill>
            <w14:solidFill>
              <w14:schemeClr w14:val="tx1"/>
            </w14:solidFill>
          </w14:textFill>
        </w:rPr>
      </w:pPr>
    </w:p>
    <w:p w14:paraId="587C63D9">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特此声明！</w:t>
      </w:r>
    </w:p>
    <w:p w14:paraId="79A4BD65">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5F62B5E2">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声  明  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(供应商名称、公章)</w:t>
      </w:r>
    </w:p>
    <w:p w14:paraId="57C56F3B">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6B74E9B0">
      <w:pPr>
        <w:pStyle w:val="8"/>
        <w:spacing w:line="360" w:lineRule="auto"/>
        <w:ind w:firstLine="570"/>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法定代表人：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（签名或盖章）</w:t>
      </w:r>
    </w:p>
    <w:p w14:paraId="66B60D33">
      <w:pPr>
        <w:pStyle w:val="8"/>
        <w:spacing w:line="360" w:lineRule="auto"/>
        <w:ind w:firstLine="570"/>
        <w:rPr>
          <w:rFonts w:hint="eastAsia" w:ascii="宋体" w:hAnsi="宋体" w:cs="宋体"/>
          <w:color w:val="000000" w:themeColor="text1"/>
          <w:sz w:val="24"/>
          <w:szCs w:val="24"/>
          <w14:textFill>
            <w14:solidFill>
              <w14:schemeClr w14:val="tx1"/>
            </w14:solidFill>
          </w14:textFill>
        </w:rPr>
      </w:pPr>
    </w:p>
    <w:p w14:paraId="709634EE">
      <w:pPr>
        <w:pStyle w:val="33"/>
        <w:ind w:firstLine="720" w:firstLineChars="300"/>
        <w:rPr>
          <w:rFonts w:hint="eastAsia"/>
          <w:color w:val="000000" w:themeColor="text1"/>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日      期：</w:t>
      </w:r>
    </w:p>
    <w:sectPr>
      <w:pgSz w:w="11907" w:h="16840"/>
      <w:pgMar w:top="1417" w:right="1418" w:bottom="1417" w:left="1417" w:header="680" w:footer="907" w:gutter="0"/>
      <w:pgBorders>
        <w:top w:val="none" w:sz="0" w:space="0"/>
        <w:left w:val="none" w:sz="0" w:space="0"/>
        <w:bottom w:val="none" w:sz="0" w:space="0"/>
        <w:right w:val="none" w:sz="0" w:space="0"/>
      </w:pgBorders>
      <w:pgNumType w:fmt="decimal"/>
      <w:cols w:space="720" w:num="1"/>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Courier New"/>
    <w:panose1 w:val="00000000000000000000"/>
    <w:charset w:val="00"/>
    <w:family w:val="auto"/>
    <w:pitch w:val="default"/>
    <w:sig w:usb0="00000000" w:usb1="00000000" w:usb2="00000000" w:usb3="00000000" w:csb0="00040001" w:csb1="00000000"/>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Abadi MT Condensed Light">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im Sun">
    <w:altName w:val="宋体"/>
    <w:panose1 w:val="00000000000000000000"/>
    <w:charset w:val="86"/>
    <w:family w:val="swiss"/>
    <w:pitch w:val="default"/>
    <w:sig w:usb0="00000000" w:usb1="00000000" w:usb2="00000010" w:usb3="00000000" w:csb0="00040000"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思源宋体 CN Light">
    <w:altName w:val="宋体"/>
    <w:panose1 w:val="00000000000000000000"/>
    <w:charset w:val="86"/>
    <w:family w:val="roman"/>
    <w:pitch w:val="default"/>
    <w:sig w:usb0="00000000" w:usb1="00000000" w:usb2="00000016" w:usb3="00000000" w:csb0="00060107" w:csb1="00000000"/>
  </w:font>
  <w:font w:name="Calibri Light">
    <w:panose1 w:val="020F0302020204030204"/>
    <w:charset w:val="00"/>
    <w:family w:val="swiss"/>
    <w:pitch w:val="default"/>
    <w:sig w:usb0="E0002A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00" w:usb3="00000000" w:csb0="0004009F" w:csb1="DFD70000"/>
  </w:font>
  <w:font w:name="MS PGothic">
    <w:panose1 w:val="020B0600070205080204"/>
    <w:charset w:val="80"/>
    <w:family w:val="auto"/>
    <w:pitch w:val="default"/>
    <w:sig w:usb0="E00002FF" w:usb1="6AC7FDFB" w:usb2="08000012" w:usb3="00000000" w:csb0="4002009F" w:csb1="DFD70000"/>
  </w:font>
  <w:font w:name="KSOF2BE21744">
    <w:panose1 w:val="02020500000000000000"/>
    <w:charset w:val="88"/>
    <w:family w:val="auto"/>
    <w:pitch w:val="default"/>
    <w:sig w:usb0="00000001" w:usb1="00000000" w:usb2="00000000"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B5A6E">
    <w:pPr>
      <w:pStyle w:val="2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zS5id4BAAC/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m5qXnDlhaeDn79/OP36df35l&#10;12XSp/ehorQHT4lxeAMDbc3sD+RMtIcWbfoTIUZxUvd0UVcNkcl0aVWuVksKSYrNB8IvHq97DPFe&#10;gWXJqDnS+LKq4vguxDF1TknVHNxpY/IIjfvLQZjJU6Texx6TFYfdMBHaQXMiPvQOqE4H+IWznrag&#10;5o6WnjPz1pHIaWFmA2djNxvCSbpY88jZaN7GcbEOHvW+y6uWmgr+9SFSp5lAamOsPXVHc80STDuY&#10;FufPc856f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zNLmJ3gEAAL8DAAAOAAAAAAAA&#10;AAEAIAAAAB4BAABkcnMvZTJvRG9jLnhtbFBLBQYAAAAABgAGAFkBAABuBQAAAAA=&#10;">
              <v:fill on="f" focussize="0,0"/>
              <v:stroke on="f"/>
              <v:imagedata o:title=""/>
              <o:lock v:ext="edit" aspectratio="f"/>
              <v:textbox inset="0mm,0mm,0mm,0mm" style="mso-fit-shape-to-text:t;">
                <w:txbxContent>
                  <w:p w14:paraId="67DC3B93">
                    <w:pPr>
                      <w:pStyle w:val="20"/>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99EA30">
    <w:pPr>
      <w:pStyle w:val="20"/>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wps:txbx>
                    <wps:bodyPr wrap="none" lIns="0" tIns="0" rIns="0" bIns="0" upright="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bl05M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K&#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m5dOTIAQAAmQMAAA4AAAAAAAAAAQAgAAAAHgEAAGRycy9lMm9Eb2Mu&#10;eG1sUEsFBgAAAAAGAAYAWQEAAFgFAAAAAA==&#10;">
              <v:fill on="f" focussize="0,0"/>
              <v:stroke on="f"/>
              <v:imagedata o:title=""/>
              <o:lock v:ext="edit" aspectratio="f"/>
              <v:textbox inset="0mm,0mm,0mm,0mm" style="mso-fit-shape-to-text:t;">
                <w:txbxContent>
                  <w:p w14:paraId="1189386E">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61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D558D">
    <w:pPr>
      <w:pStyle w:val="20"/>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ueGxxN8BAAC/AwAADgAAAAAA&#10;AAABACAAAAAeAQAAZHJzL2Uyb0RvYy54bWxQSwUGAAAAAAYABgBZAQAAbwUAAAAA&#10;">
              <v:fill on="f" focussize="0,0"/>
              <v:stroke on="f"/>
              <v:imagedata o:title=""/>
              <o:lock v:ext="edit" aspectratio="f"/>
              <v:textbox inset="0mm,0mm,0mm,0mm" style="mso-fit-shape-to-text:t;">
                <w:txbxContent>
                  <w:p w14:paraId="7F67F7F5">
                    <w:pPr>
                      <w:pStyle w:val="20"/>
                    </w:pPr>
                    <w:r>
                      <w:t xml:space="preserve">第 </w:t>
                    </w:r>
                    <w:r>
                      <w:fldChar w:fldCharType="begin"/>
                    </w:r>
                    <w:r>
                      <w:instrText xml:space="preserve"> PAGE  \* MERGEFORMAT </w:instrText>
                    </w:r>
                    <w:r>
                      <w:fldChar w:fldCharType="separate"/>
                    </w:r>
                    <w:r>
                      <w:t>12</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3677E">
    <w:pPr>
      <w:pStyle w:val="20"/>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5WwLd8BAAC/AwAADgAAAAAA&#10;AAABACAAAAAeAQAAZHJzL2Uyb0RvYy54bWxQSwUGAAAAAAYABgBZAQAAbwUAAAAA&#10;">
              <v:fill on="f" focussize="0,0"/>
              <v:stroke on="f"/>
              <v:imagedata o:title=""/>
              <o:lock v:ext="edit" aspectratio="f"/>
              <v:textbox inset="0mm,0mm,0mm,0mm" style="mso-fit-shape-to-text:t;">
                <w:txbxContent>
                  <w:p w14:paraId="2A3E599A">
                    <w:pPr>
                      <w:pStyle w:val="20"/>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8E392">
    <w:pPr>
      <w:pStyle w:val="20"/>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8"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LH8OR3gEAAL8DAAAOAAAAAAAA&#10;AAEAIAAAAB4BAABkcnMvZTJvRG9jLnhtbFBLBQYAAAAABgAGAFkBAABuBQAAAAA=&#10;">
              <v:fill on="f" focussize="0,0"/>
              <v:stroke on="f"/>
              <v:imagedata o:title=""/>
              <o:lock v:ext="edit" aspectratio="f"/>
              <v:textbox inset="0mm,0mm,0mm,0mm" style="mso-fit-shape-to-text:t;">
                <w:txbxContent>
                  <w:p w14:paraId="0E9E3B28">
                    <w:pPr>
                      <w:pStyle w:val="20"/>
                    </w:pPr>
                    <w:r>
                      <w:t xml:space="preserve">第 </w:t>
                    </w:r>
                    <w:r>
                      <w:fldChar w:fldCharType="begin"/>
                    </w:r>
                    <w:r>
                      <w:instrText xml:space="preserve"> PAGE  \* MERGEFORMAT </w:instrText>
                    </w:r>
                    <w:r>
                      <w:fldChar w:fldCharType="separate"/>
                    </w:r>
                    <w:r>
                      <w:t>32</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6A661">
    <w:pPr>
      <w:pStyle w:val="20"/>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69"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8z5g43gEAAL8DAAAOAAAAAAAA&#10;AAEAIAAAAB4BAABkcnMvZTJvRG9jLnhtbFBLBQYAAAAABgAGAFkBAABuBQAAAAA=&#10;">
              <v:fill on="f" focussize="0,0"/>
              <v:stroke on="f"/>
              <v:imagedata o:title=""/>
              <o:lock v:ext="edit" aspectratio="f"/>
              <v:textbox inset="0mm,0mm,0mm,0mm" style="mso-fit-shape-to-text:t;">
                <w:txbxContent>
                  <w:p w14:paraId="0DCC44B8">
                    <w:pPr>
                      <w:pStyle w:val="20"/>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48D1B">
    <w:pPr>
      <w:pStyle w:val="20"/>
      <w:rPr>
        <w:rFonts w:ascii="仿宋" w:hAnsi="仿宋" w:eastAsia="仿宋"/>
        <w:szCs w:val="18"/>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文本框 74"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BIYjm/yQEAAJoDAAAOAAAAAAAAAAEAIAAAAB4BAABkcnMvZTJvRG9j&#10;LnhtbFBLBQYAAAAABgAGAFkBAABZBQAAAAA=&#10;">
              <v:fill on="f" focussize="0,0"/>
              <v:stroke on="f"/>
              <v:imagedata o:title=""/>
              <o:lock v:ext="edit" aspectratio="f"/>
              <v:textbox inset="0mm,0mm,0mm,0mm" style="mso-fit-shape-to-text:t;">
                <w:txbxContent>
                  <w:p w14:paraId="65722DCD">
                    <w:pPr>
                      <w:pStyle w:val="20"/>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85</w:t>
                    </w:r>
                    <w:r>
                      <w:rPr>
                        <w:rFonts w:hint="eastAsia"/>
                      </w:rP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1323">
    <w:pPr>
      <w:pStyle w:val="20"/>
      <w:rPr>
        <w:rFonts w:ascii="仿宋" w:hAnsi="仿宋" w:eastAsia="仿宋"/>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2"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C6gPH83gEAAMADAAAOAAAAAAAA&#10;AAEAIAAAAB4BAABkcnMvZTJvRG9jLnhtbFBLBQYAAAAABgAGAFkBAABuBQAAAAA=&#10;">
              <v:fill on="f" focussize="0,0"/>
              <v:stroke on="f"/>
              <v:imagedata o:title=""/>
              <o:lock v:ext="edit" aspectratio="f"/>
              <v:textbox inset="0mm,0mm,0mm,0mm" style="mso-fit-shape-to-text:t;">
                <w:txbxContent>
                  <w:p w14:paraId="085B797C">
                    <w:pPr>
                      <w:pStyle w:val="20"/>
                    </w:pPr>
                    <w:r>
                      <w:t xml:space="preserve">第 </w:t>
                    </w:r>
                    <w:r>
                      <w:fldChar w:fldCharType="begin"/>
                    </w:r>
                    <w:r>
                      <w:instrText xml:space="preserve"> PAGE  \* MERGEFORMAT </w:instrText>
                    </w:r>
                    <w:r>
                      <w:fldChar w:fldCharType="separate"/>
                    </w:r>
                    <w:r>
                      <w:t>71</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5811B">
    <w:pPr>
      <w:pStyle w:val="20"/>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wps:txbx>
                    <wps:bodyPr vert="horz" wrap="none" lIns="0" tIns="0" rIns="0" bIns="0" anchor="t" anchorCtr="0" upright="0">
                      <a:spAutoFit/>
                    </wps:bodyPr>
                  </wps:wsp>
                </a:graphicData>
              </a:graphic>
            </wp:anchor>
          </w:drawing>
        </mc:Choice>
        <mc:Fallback>
          <w:pict>
            <v:shape id="文本框 73"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d8r3d8BAADAAwAADgAAAAAA&#10;AAABACAAAAAeAQAAZHJzL2Uyb0RvYy54bWxQSwUGAAAAAAYABgBZAQAAbwUAAAAA&#10;">
              <v:fill on="f" focussize="0,0"/>
              <v:stroke on="f"/>
              <v:imagedata o:title=""/>
              <o:lock v:ext="edit" aspectratio="f"/>
              <v:textbox inset="0mm,0mm,0mm,0mm" style="mso-fit-shape-to-text:t;">
                <w:txbxContent>
                  <w:p w14:paraId="76162F03">
                    <w:pPr>
                      <w:pStyle w:val="20"/>
                    </w:pPr>
                    <w:r>
                      <w:t xml:space="preserve">第 </w:t>
                    </w:r>
                    <w:r>
                      <w:fldChar w:fldCharType="begin"/>
                    </w:r>
                    <w:r>
                      <w:instrText xml:space="preserve"> PAGE  \* MERGEFORMAT </w:instrText>
                    </w:r>
                    <w:r>
                      <w:fldChar w:fldCharType="separate"/>
                    </w:r>
                    <w:r>
                      <w:t>73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8068BD">
    <w:pPr>
      <w:pStyle w:val="20"/>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7BA43">
    <w:pPr>
      <w:pStyle w:val="20"/>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155314">
    <w:pPr>
      <w:pStyle w:val="20"/>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50C8C">
    <w:pPr>
      <w:pStyle w:val="22"/>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CB00AA">
    <w:pPr>
      <w:pStyle w:val="22"/>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CB1F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FCCA6C"/>
    <w:multiLevelType w:val="singleLevel"/>
    <w:tmpl w:val="91FCCA6C"/>
    <w:lvl w:ilvl="0" w:tentative="0">
      <w:start w:val="1"/>
      <w:numFmt w:val="chineseCounting"/>
      <w:suff w:val="space"/>
      <w:lvlText w:val="第%1章"/>
      <w:lvlJc w:val="left"/>
      <w:rPr>
        <w:rFonts w:hint="eastAsia"/>
      </w:rPr>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3712E4A"/>
    <w:multiLevelType w:val="singleLevel"/>
    <w:tmpl w:val="F3712E4A"/>
    <w:lvl w:ilvl="0" w:tentative="0">
      <w:start w:val="1"/>
      <w:numFmt w:val="chineseCounting"/>
      <w:suff w:val="nothing"/>
      <w:lvlText w:val="%1、"/>
      <w:lvlJc w:val="left"/>
      <w:rPr>
        <w:rFonts w:hint="eastAsia"/>
      </w:rPr>
    </w:lvl>
  </w:abstractNum>
  <w:abstractNum w:abstractNumId="7">
    <w:nsid w:val="FFEFC674"/>
    <w:multiLevelType w:val="singleLevel"/>
    <w:tmpl w:val="FFEFC674"/>
    <w:lvl w:ilvl="0" w:tentative="0">
      <w:start w:val="1"/>
      <w:numFmt w:val="decimal"/>
      <w:suff w:val="nothing"/>
      <w:lvlText w:val="（%1）"/>
      <w:lvlJc w:val="left"/>
    </w:lvl>
  </w:abstractNum>
  <w:abstractNum w:abstractNumId="8">
    <w:nsid w:val="00000001"/>
    <w:multiLevelType w:val="singleLevel"/>
    <w:tmpl w:val="00000001"/>
    <w:lvl w:ilvl="0" w:tentative="0">
      <w:start w:val="9"/>
      <w:numFmt w:val="decimal"/>
      <w:suff w:val="nothing"/>
      <w:lvlText w:val="%1．"/>
      <w:lvlJc w:val="left"/>
    </w:lvl>
  </w:abstractNum>
  <w:abstractNum w:abstractNumId="9">
    <w:nsid w:val="124C8C68"/>
    <w:multiLevelType w:val="singleLevel"/>
    <w:tmpl w:val="124C8C68"/>
    <w:lvl w:ilvl="0" w:tentative="0">
      <w:start w:val="1"/>
      <w:numFmt w:val="chineseCounting"/>
      <w:suff w:val="nothing"/>
      <w:lvlText w:val="%1、"/>
      <w:lvlJc w:val="left"/>
      <w:rPr>
        <w:rFonts w:hint="eastAsia"/>
      </w:rPr>
    </w:lvl>
  </w:abstractNum>
  <w:abstractNum w:abstractNumId="10">
    <w:nsid w:val="33101AD5"/>
    <w:multiLevelType w:val="multilevel"/>
    <w:tmpl w:val="33101AD5"/>
    <w:lvl w:ilvl="0" w:tentative="0">
      <w:start w:val="1"/>
      <w:numFmt w:val="decimal"/>
      <w:pStyle w:val="107"/>
      <w:suff w:val="space"/>
      <w:lvlText w:val="%1、"/>
      <w:lvlJc w:val="left"/>
      <w:pPr>
        <w:ind w:left="0" w:firstLine="0"/>
      </w:pPr>
      <w:rPr>
        <w:rFonts w:hint="eastAsia"/>
      </w:rPr>
    </w:lvl>
    <w:lvl w:ilvl="1" w:tentative="0">
      <w:start w:val="1"/>
      <w:numFmt w:val="decimal"/>
      <w:lvlText w:val="%2."/>
      <w:lvlJc w:val="left"/>
      <w:pPr>
        <w:tabs>
          <w:tab w:val="left" w:pos="1440"/>
        </w:tabs>
        <w:ind w:left="1440" w:hanging="720"/>
      </w:pPr>
      <w:rPr>
        <w:rFonts w:hint="eastAsia"/>
      </w:rPr>
    </w:lvl>
    <w:lvl w:ilvl="2" w:tentative="0">
      <w:start w:val="1"/>
      <w:numFmt w:val="decimal"/>
      <w:lvlText w:val="%3."/>
      <w:lvlJc w:val="left"/>
      <w:pPr>
        <w:tabs>
          <w:tab w:val="left" w:pos="2160"/>
        </w:tabs>
        <w:ind w:left="2160" w:hanging="720"/>
      </w:pPr>
      <w:rPr>
        <w:rFonts w:hint="eastAsia"/>
      </w:rPr>
    </w:lvl>
    <w:lvl w:ilvl="3" w:tentative="0">
      <w:start w:val="1"/>
      <w:numFmt w:val="decimal"/>
      <w:lvlText w:val="%4."/>
      <w:lvlJc w:val="left"/>
      <w:pPr>
        <w:tabs>
          <w:tab w:val="left" w:pos="2880"/>
        </w:tabs>
        <w:ind w:left="2880" w:hanging="720"/>
      </w:pPr>
      <w:rPr>
        <w:rFonts w:hint="eastAsia"/>
      </w:rPr>
    </w:lvl>
    <w:lvl w:ilvl="4" w:tentative="0">
      <w:start w:val="1"/>
      <w:numFmt w:val="decimal"/>
      <w:lvlText w:val="%5."/>
      <w:lvlJc w:val="left"/>
      <w:pPr>
        <w:tabs>
          <w:tab w:val="left" w:pos="3600"/>
        </w:tabs>
        <w:ind w:left="3600" w:hanging="720"/>
      </w:pPr>
      <w:rPr>
        <w:rFonts w:hint="eastAsia"/>
      </w:rPr>
    </w:lvl>
    <w:lvl w:ilvl="5" w:tentative="0">
      <w:start w:val="1"/>
      <w:numFmt w:val="decimal"/>
      <w:lvlText w:val="%6."/>
      <w:lvlJc w:val="left"/>
      <w:pPr>
        <w:tabs>
          <w:tab w:val="left" w:pos="4320"/>
        </w:tabs>
        <w:ind w:left="4320" w:hanging="720"/>
      </w:pPr>
      <w:rPr>
        <w:rFonts w:hint="eastAsia"/>
      </w:rPr>
    </w:lvl>
    <w:lvl w:ilvl="6" w:tentative="0">
      <w:start w:val="1"/>
      <w:numFmt w:val="decimal"/>
      <w:lvlText w:val="%7."/>
      <w:lvlJc w:val="left"/>
      <w:pPr>
        <w:tabs>
          <w:tab w:val="left" w:pos="5040"/>
        </w:tabs>
        <w:ind w:left="5040" w:hanging="720"/>
      </w:pPr>
      <w:rPr>
        <w:rFonts w:hint="eastAsia"/>
      </w:rPr>
    </w:lvl>
    <w:lvl w:ilvl="7" w:tentative="0">
      <w:start w:val="1"/>
      <w:numFmt w:val="decimal"/>
      <w:lvlText w:val="%8."/>
      <w:lvlJc w:val="left"/>
      <w:pPr>
        <w:tabs>
          <w:tab w:val="left" w:pos="5760"/>
        </w:tabs>
        <w:ind w:left="5760" w:hanging="720"/>
      </w:pPr>
      <w:rPr>
        <w:rFonts w:hint="eastAsia"/>
      </w:rPr>
    </w:lvl>
    <w:lvl w:ilvl="8" w:tentative="0">
      <w:start w:val="1"/>
      <w:numFmt w:val="decimal"/>
      <w:lvlText w:val="%9."/>
      <w:lvlJc w:val="left"/>
      <w:pPr>
        <w:tabs>
          <w:tab w:val="left" w:pos="6480"/>
        </w:tabs>
        <w:ind w:left="6480" w:hanging="720"/>
      </w:pPr>
      <w:rPr>
        <w:rFonts w:hint="eastAsia"/>
      </w:rPr>
    </w:lvl>
  </w:abstractNum>
  <w:abstractNum w:abstractNumId="11">
    <w:nsid w:val="42E500A6"/>
    <w:multiLevelType w:val="singleLevel"/>
    <w:tmpl w:val="42E500A6"/>
    <w:lvl w:ilvl="0" w:tentative="0">
      <w:start w:val="2"/>
      <w:numFmt w:val="chineseCounting"/>
      <w:suff w:val="nothing"/>
      <w:lvlText w:val="%1、"/>
      <w:lvlJc w:val="left"/>
      <w:rPr>
        <w:rFonts w:hint="eastAsia"/>
      </w:rPr>
    </w:lvl>
  </w:abstractNum>
  <w:abstractNum w:abstractNumId="12">
    <w:nsid w:val="5B0CE37E"/>
    <w:multiLevelType w:val="singleLevel"/>
    <w:tmpl w:val="5B0CE37E"/>
    <w:lvl w:ilvl="0" w:tentative="0">
      <w:start w:val="1"/>
      <w:numFmt w:val="decimal"/>
      <w:suff w:val="nothing"/>
      <w:lvlText w:val="%1、"/>
      <w:lvlJc w:val="left"/>
    </w:lvl>
  </w:abstractNum>
  <w:abstractNum w:abstractNumId="13">
    <w:nsid w:val="7A0F6431"/>
    <w:multiLevelType w:val="singleLevel"/>
    <w:tmpl w:val="7A0F6431"/>
    <w:lvl w:ilvl="0" w:tentative="0">
      <w:start w:val="1"/>
      <w:numFmt w:val="decimal"/>
      <w:suff w:val="space"/>
      <w:lvlText w:val="%1."/>
      <w:lvlJc w:val="left"/>
    </w:lvl>
  </w:abstractNum>
  <w:num w:numId="1">
    <w:abstractNumId w:val="10"/>
  </w:num>
  <w:num w:numId="2">
    <w:abstractNumId w:val="0"/>
  </w:num>
  <w:num w:numId="3">
    <w:abstractNumId w:val="9"/>
  </w:num>
  <w:num w:numId="4">
    <w:abstractNumId w:val="8"/>
  </w:num>
  <w:num w:numId="5">
    <w:abstractNumId w:val="11"/>
  </w:num>
  <w:num w:numId="6">
    <w:abstractNumId w:val="13"/>
  </w:num>
  <w:num w:numId="7">
    <w:abstractNumId w:val="2"/>
  </w:num>
  <w:num w:numId="8">
    <w:abstractNumId w:val="7"/>
  </w:num>
  <w:num w:numId="9">
    <w:abstractNumId w:val="4"/>
  </w:num>
  <w:num w:numId="10">
    <w:abstractNumId w:val="3"/>
  </w:num>
  <w:num w:numId="11">
    <w:abstractNumId w:val="1"/>
  </w:num>
  <w:num w:numId="12">
    <w:abstractNumId w:val="5"/>
  </w:num>
  <w:num w:numId="13">
    <w:abstractNumId w:val="6"/>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0" w:hash="tnEoUkl2pzUVj4o4kpZbX91CiMs=" w:salt="ZQbokHmCUrArybZFRQ6rvg=="/>
  <w:defaultTabStop w:val="420"/>
  <w:hyphenationZone w:val="36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Q1MmM1YjFkMzFlY2UyMWU4ODZlY2M1YzBiYzcxMmYifQ=="/>
  </w:docVars>
  <w:rsids>
    <w:rsidRoot w:val="00172A27"/>
    <w:rsid w:val="000A4488"/>
    <w:rsid w:val="000B0726"/>
    <w:rsid w:val="000C3939"/>
    <w:rsid w:val="000C5832"/>
    <w:rsid w:val="000E729D"/>
    <w:rsid w:val="00184185"/>
    <w:rsid w:val="00272743"/>
    <w:rsid w:val="00276E33"/>
    <w:rsid w:val="002B1AB4"/>
    <w:rsid w:val="00354463"/>
    <w:rsid w:val="00394593"/>
    <w:rsid w:val="003C1B47"/>
    <w:rsid w:val="004A02C2"/>
    <w:rsid w:val="004D3FF0"/>
    <w:rsid w:val="00537B6A"/>
    <w:rsid w:val="005B4DEB"/>
    <w:rsid w:val="005C66C7"/>
    <w:rsid w:val="005E5628"/>
    <w:rsid w:val="00753092"/>
    <w:rsid w:val="007C2C00"/>
    <w:rsid w:val="007D6BA7"/>
    <w:rsid w:val="007E0017"/>
    <w:rsid w:val="00800A01"/>
    <w:rsid w:val="0087241D"/>
    <w:rsid w:val="00962672"/>
    <w:rsid w:val="009D6233"/>
    <w:rsid w:val="00A46141"/>
    <w:rsid w:val="00A54974"/>
    <w:rsid w:val="00A81D22"/>
    <w:rsid w:val="00AE3A75"/>
    <w:rsid w:val="00B20DF2"/>
    <w:rsid w:val="00B5509F"/>
    <w:rsid w:val="00B90E32"/>
    <w:rsid w:val="00B918D9"/>
    <w:rsid w:val="00BB30AE"/>
    <w:rsid w:val="00BF2ECC"/>
    <w:rsid w:val="00C30A68"/>
    <w:rsid w:val="00C31809"/>
    <w:rsid w:val="00C42D8D"/>
    <w:rsid w:val="00C73039"/>
    <w:rsid w:val="00D36C30"/>
    <w:rsid w:val="00D71F1E"/>
    <w:rsid w:val="00DE3A60"/>
    <w:rsid w:val="00E02D68"/>
    <w:rsid w:val="00E75CDE"/>
    <w:rsid w:val="00E84814"/>
    <w:rsid w:val="00EA45AA"/>
    <w:rsid w:val="00EF4366"/>
    <w:rsid w:val="00F930D0"/>
    <w:rsid w:val="01062EEC"/>
    <w:rsid w:val="01086C64"/>
    <w:rsid w:val="01161381"/>
    <w:rsid w:val="015A2E42"/>
    <w:rsid w:val="01877DA5"/>
    <w:rsid w:val="02042D83"/>
    <w:rsid w:val="02160F0D"/>
    <w:rsid w:val="02182ED7"/>
    <w:rsid w:val="021D229B"/>
    <w:rsid w:val="021F6199"/>
    <w:rsid w:val="022950E4"/>
    <w:rsid w:val="0239504F"/>
    <w:rsid w:val="02587777"/>
    <w:rsid w:val="02596B98"/>
    <w:rsid w:val="0261686C"/>
    <w:rsid w:val="029635FE"/>
    <w:rsid w:val="02B349AE"/>
    <w:rsid w:val="02CD5A6F"/>
    <w:rsid w:val="02EF2BF8"/>
    <w:rsid w:val="03146D17"/>
    <w:rsid w:val="033E7281"/>
    <w:rsid w:val="0365214C"/>
    <w:rsid w:val="03AA58EB"/>
    <w:rsid w:val="041F172D"/>
    <w:rsid w:val="04A44EF6"/>
    <w:rsid w:val="04B30C95"/>
    <w:rsid w:val="04B90889"/>
    <w:rsid w:val="04B9275B"/>
    <w:rsid w:val="04E74E13"/>
    <w:rsid w:val="04F45672"/>
    <w:rsid w:val="050E6A2A"/>
    <w:rsid w:val="051F008D"/>
    <w:rsid w:val="052D0A47"/>
    <w:rsid w:val="05435813"/>
    <w:rsid w:val="055D6E6F"/>
    <w:rsid w:val="05776140"/>
    <w:rsid w:val="057B766B"/>
    <w:rsid w:val="05887D16"/>
    <w:rsid w:val="058F02ED"/>
    <w:rsid w:val="05A01219"/>
    <w:rsid w:val="05AE4D87"/>
    <w:rsid w:val="05BB0821"/>
    <w:rsid w:val="05D75C0F"/>
    <w:rsid w:val="061B32E1"/>
    <w:rsid w:val="06347089"/>
    <w:rsid w:val="06711074"/>
    <w:rsid w:val="06721B94"/>
    <w:rsid w:val="06901390"/>
    <w:rsid w:val="06915834"/>
    <w:rsid w:val="06B2086E"/>
    <w:rsid w:val="06CF20B8"/>
    <w:rsid w:val="06D93C44"/>
    <w:rsid w:val="06F44BBD"/>
    <w:rsid w:val="06FB0BDE"/>
    <w:rsid w:val="07013F3A"/>
    <w:rsid w:val="07100F0E"/>
    <w:rsid w:val="071D3188"/>
    <w:rsid w:val="07415A18"/>
    <w:rsid w:val="07654E8E"/>
    <w:rsid w:val="079062EC"/>
    <w:rsid w:val="07B06812"/>
    <w:rsid w:val="07D258D6"/>
    <w:rsid w:val="07D53346"/>
    <w:rsid w:val="07E27C47"/>
    <w:rsid w:val="083E4D1A"/>
    <w:rsid w:val="088346AD"/>
    <w:rsid w:val="08990CC5"/>
    <w:rsid w:val="089B6813"/>
    <w:rsid w:val="08D17D55"/>
    <w:rsid w:val="08DF739F"/>
    <w:rsid w:val="08E47540"/>
    <w:rsid w:val="0902043D"/>
    <w:rsid w:val="09067F2D"/>
    <w:rsid w:val="092E2FE0"/>
    <w:rsid w:val="094C0544"/>
    <w:rsid w:val="096E2623"/>
    <w:rsid w:val="098E1D4D"/>
    <w:rsid w:val="09984B50"/>
    <w:rsid w:val="09A17C56"/>
    <w:rsid w:val="09BF48F7"/>
    <w:rsid w:val="09C53944"/>
    <w:rsid w:val="09C73718"/>
    <w:rsid w:val="0A0B5130"/>
    <w:rsid w:val="0A3E54A5"/>
    <w:rsid w:val="0A495A73"/>
    <w:rsid w:val="0A4C7BC2"/>
    <w:rsid w:val="0A5D1DCF"/>
    <w:rsid w:val="0A6441EF"/>
    <w:rsid w:val="0A70084C"/>
    <w:rsid w:val="0A7D632B"/>
    <w:rsid w:val="0AD46554"/>
    <w:rsid w:val="0AD61641"/>
    <w:rsid w:val="0B4B2925"/>
    <w:rsid w:val="0B4B7167"/>
    <w:rsid w:val="0B6B4BD2"/>
    <w:rsid w:val="0B7E533B"/>
    <w:rsid w:val="0B8415DD"/>
    <w:rsid w:val="0B98569A"/>
    <w:rsid w:val="0B9F3A93"/>
    <w:rsid w:val="0BB726A1"/>
    <w:rsid w:val="0BB91287"/>
    <w:rsid w:val="0BC358B3"/>
    <w:rsid w:val="0C215002"/>
    <w:rsid w:val="0C3034C5"/>
    <w:rsid w:val="0C563D8F"/>
    <w:rsid w:val="0C5F63CF"/>
    <w:rsid w:val="0C7E6F35"/>
    <w:rsid w:val="0C8D6641"/>
    <w:rsid w:val="0CA65091"/>
    <w:rsid w:val="0CB83C95"/>
    <w:rsid w:val="0CCE00B5"/>
    <w:rsid w:val="0CFD348A"/>
    <w:rsid w:val="0D1515C6"/>
    <w:rsid w:val="0D2067BE"/>
    <w:rsid w:val="0D230FAC"/>
    <w:rsid w:val="0D727778"/>
    <w:rsid w:val="0D992BB3"/>
    <w:rsid w:val="0DB96E09"/>
    <w:rsid w:val="0DC856C6"/>
    <w:rsid w:val="0DE81498"/>
    <w:rsid w:val="0DF377D1"/>
    <w:rsid w:val="0E1409F6"/>
    <w:rsid w:val="0E5E6115"/>
    <w:rsid w:val="0E892065"/>
    <w:rsid w:val="0E8C712B"/>
    <w:rsid w:val="0EA53D44"/>
    <w:rsid w:val="0ECD0C5B"/>
    <w:rsid w:val="0F3A7AFB"/>
    <w:rsid w:val="0F4C3944"/>
    <w:rsid w:val="0F6D52FB"/>
    <w:rsid w:val="0FB01B1A"/>
    <w:rsid w:val="0FF41731"/>
    <w:rsid w:val="10161195"/>
    <w:rsid w:val="10495D96"/>
    <w:rsid w:val="10790FE5"/>
    <w:rsid w:val="108C51BC"/>
    <w:rsid w:val="10AA65CB"/>
    <w:rsid w:val="10BC17FC"/>
    <w:rsid w:val="10CB60ED"/>
    <w:rsid w:val="10DE2E5B"/>
    <w:rsid w:val="10E10387"/>
    <w:rsid w:val="10F2146D"/>
    <w:rsid w:val="11036E24"/>
    <w:rsid w:val="110B0047"/>
    <w:rsid w:val="113556FF"/>
    <w:rsid w:val="11452848"/>
    <w:rsid w:val="116934C3"/>
    <w:rsid w:val="11785740"/>
    <w:rsid w:val="117D13B8"/>
    <w:rsid w:val="118A1061"/>
    <w:rsid w:val="119F0F1F"/>
    <w:rsid w:val="11EB6937"/>
    <w:rsid w:val="11F50CA6"/>
    <w:rsid w:val="1208797B"/>
    <w:rsid w:val="123173E3"/>
    <w:rsid w:val="124A0BA3"/>
    <w:rsid w:val="12610B6A"/>
    <w:rsid w:val="12751C80"/>
    <w:rsid w:val="127557DC"/>
    <w:rsid w:val="127B54E8"/>
    <w:rsid w:val="12B860AC"/>
    <w:rsid w:val="12FE3A23"/>
    <w:rsid w:val="13127C55"/>
    <w:rsid w:val="13685340"/>
    <w:rsid w:val="13763F01"/>
    <w:rsid w:val="13912AE9"/>
    <w:rsid w:val="13B10D13"/>
    <w:rsid w:val="13B642FE"/>
    <w:rsid w:val="13C54960"/>
    <w:rsid w:val="13D9316F"/>
    <w:rsid w:val="13E72709"/>
    <w:rsid w:val="13EE71E9"/>
    <w:rsid w:val="13FD093F"/>
    <w:rsid w:val="142B0848"/>
    <w:rsid w:val="144B0499"/>
    <w:rsid w:val="14736D6A"/>
    <w:rsid w:val="147C3EC5"/>
    <w:rsid w:val="14B12728"/>
    <w:rsid w:val="14B31851"/>
    <w:rsid w:val="14B31E79"/>
    <w:rsid w:val="14E07884"/>
    <w:rsid w:val="14E1184E"/>
    <w:rsid w:val="151D7694"/>
    <w:rsid w:val="151F277D"/>
    <w:rsid w:val="15224301"/>
    <w:rsid w:val="154D4ED9"/>
    <w:rsid w:val="154F4200"/>
    <w:rsid w:val="1564486A"/>
    <w:rsid w:val="159A7D3E"/>
    <w:rsid w:val="15A22D8C"/>
    <w:rsid w:val="15BF700F"/>
    <w:rsid w:val="15F53C26"/>
    <w:rsid w:val="16203B24"/>
    <w:rsid w:val="16357D37"/>
    <w:rsid w:val="1662438C"/>
    <w:rsid w:val="16643EC6"/>
    <w:rsid w:val="168F61E3"/>
    <w:rsid w:val="16AD7C3A"/>
    <w:rsid w:val="16B0489D"/>
    <w:rsid w:val="16B52E8E"/>
    <w:rsid w:val="16EF7538"/>
    <w:rsid w:val="16F835E2"/>
    <w:rsid w:val="17163DEF"/>
    <w:rsid w:val="1727797E"/>
    <w:rsid w:val="173A35B9"/>
    <w:rsid w:val="173B3498"/>
    <w:rsid w:val="17440E55"/>
    <w:rsid w:val="176D1177"/>
    <w:rsid w:val="176E0E48"/>
    <w:rsid w:val="178447FF"/>
    <w:rsid w:val="178B0334"/>
    <w:rsid w:val="179E31DE"/>
    <w:rsid w:val="17B90714"/>
    <w:rsid w:val="18053E35"/>
    <w:rsid w:val="180715CC"/>
    <w:rsid w:val="183C74C7"/>
    <w:rsid w:val="18670228"/>
    <w:rsid w:val="187464B2"/>
    <w:rsid w:val="18856E61"/>
    <w:rsid w:val="188B3FAB"/>
    <w:rsid w:val="189E12B0"/>
    <w:rsid w:val="18A230A3"/>
    <w:rsid w:val="18A8667F"/>
    <w:rsid w:val="18A91C59"/>
    <w:rsid w:val="18AA467D"/>
    <w:rsid w:val="18B54B84"/>
    <w:rsid w:val="18B76B4E"/>
    <w:rsid w:val="18B84674"/>
    <w:rsid w:val="18BF5A03"/>
    <w:rsid w:val="18CE16DB"/>
    <w:rsid w:val="18D21BDA"/>
    <w:rsid w:val="18D46C70"/>
    <w:rsid w:val="18E65685"/>
    <w:rsid w:val="18ED7B4F"/>
    <w:rsid w:val="18FE5269"/>
    <w:rsid w:val="19133E51"/>
    <w:rsid w:val="192C753C"/>
    <w:rsid w:val="193009FE"/>
    <w:rsid w:val="194C6677"/>
    <w:rsid w:val="19542075"/>
    <w:rsid w:val="19675F86"/>
    <w:rsid w:val="196E00F8"/>
    <w:rsid w:val="19A213F5"/>
    <w:rsid w:val="19A418B9"/>
    <w:rsid w:val="19A90B8D"/>
    <w:rsid w:val="19E04F6D"/>
    <w:rsid w:val="19F416DC"/>
    <w:rsid w:val="1A1C35E6"/>
    <w:rsid w:val="1A240213"/>
    <w:rsid w:val="1A2F4534"/>
    <w:rsid w:val="1A64731D"/>
    <w:rsid w:val="1A72469F"/>
    <w:rsid w:val="1A8379DF"/>
    <w:rsid w:val="1A9C424D"/>
    <w:rsid w:val="1AB25E6A"/>
    <w:rsid w:val="1AB772D9"/>
    <w:rsid w:val="1ABC31F0"/>
    <w:rsid w:val="1B542D7A"/>
    <w:rsid w:val="1B5E7755"/>
    <w:rsid w:val="1B7A71F5"/>
    <w:rsid w:val="1B822020"/>
    <w:rsid w:val="1B8371BB"/>
    <w:rsid w:val="1B976520"/>
    <w:rsid w:val="1BB455D7"/>
    <w:rsid w:val="1BCC2910"/>
    <w:rsid w:val="1BFB64CC"/>
    <w:rsid w:val="1C037BB9"/>
    <w:rsid w:val="1C1C5678"/>
    <w:rsid w:val="1C246367"/>
    <w:rsid w:val="1C4B2D6F"/>
    <w:rsid w:val="1C844DEB"/>
    <w:rsid w:val="1CC137AE"/>
    <w:rsid w:val="1CC85451"/>
    <w:rsid w:val="1CD035FF"/>
    <w:rsid w:val="1CEF1145"/>
    <w:rsid w:val="1D233D8F"/>
    <w:rsid w:val="1D3459FF"/>
    <w:rsid w:val="1D3C1D18"/>
    <w:rsid w:val="1D4D35A2"/>
    <w:rsid w:val="1D575319"/>
    <w:rsid w:val="1D7C1034"/>
    <w:rsid w:val="1D860ED4"/>
    <w:rsid w:val="1DAD1866"/>
    <w:rsid w:val="1DCD18A1"/>
    <w:rsid w:val="1DCD2970"/>
    <w:rsid w:val="1DF30372"/>
    <w:rsid w:val="1E03164B"/>
    <w:rsid w:val="1E0F4076"/>
    <w:rsid w:val="1E707F95"/>
    <w:rsid w:val="1EA94202"/>
    <w:rsid w:val="1EBA2EF4"/>
    <w:rsid w:val="1ECF1100"/>
    <w:rsid w:val="1F213D24"/>
    <w:rsid w:val="1F6249F6"/>
    <w:rsid w:val="1F890B18"/>
    <w:rsid w:val="1F992B7C"/>
    <w:rsid w:val="1FA06DAA"/>
    <w:rsid w:val="1FDA2639"/>
    <w:rsid w:val="1FE16BA6"/>
    <w:rsid w:val="1FED0380"/>
    <w:rsid w:val="20194466"/>
    <w:rsid w:val="201964A9"/>
    <w:rsid w:val="20457BE4"/>
    <w:rsid w:val="20A0436C"/>
    <w:rsid w:val="20C61714"/>
    <w:rsid w:val="20D54675"/>
    <w:rsid w:val="20DE4801"/>
    <w:rsid w:val="21076EAA"/>
    <w:rsid w:val="21097C94"/>
    <w:rsid w:val="21164B43"/>
    <w:rsid w:val="21311D33"/>
    <w:rsid w:val="21C9307F"/>
    <w:rsid w:val="220A1D98"/>
    <w:rsid w:val="2217735B"/>
    <w:rsid w:val="2218797D"/>
    <w:rsid w:val="22275EF8"/>
    <w:rsid w:val="22370854"/>
    <w:rsid w:val="224B7A54"/>
    <w:rsid w:val="22755A4F"/>
    <w:rsid w:val="228B76CE"/>
    <w:rsid w:val="229F0C93"/>
    <w:rsid w:val="22AA0132"/>
    <w:rsid w:val="22B731D5"/>
    <w:rsid w:val="22FA640F"/>
    <w:rsid w:val="23125B7E"/>
    <w:rsid w:val="231A1F84"/>
    <w:rsid w:val="231A56E9"/>
    <w:rsid w:val="231D1CA3"/>
    <w:rsid w:val="23241284"/>
    <w:rsid w:val="233B037C"/>
    <w:rsid w:val="235B0525"/>
    <w:rsid w:val="237C665A"/>
    <w:rsid w:val="23850D1F"/>
    <w:rsid w:val="23A9780D"/>
    <w:rsid w:val="23BF2D5B"/>
    <w:rsid w:val="23C2320D"/>
    <w:rsid w:val="24082241"/>
    <w:rsid w:val="241A4435"/>
    <w:rsid w:val="24343980"/>
    <w:rsid w:val="24855A20"/>
    <w:rsid w:val="24896773"/>
    <w:rsid w:val="248A3369"/>
    <w:rsid w:val="249047E8"/>
    <w:rsid w:val="24BE2A29"/>
    <w:rsid w:val="24C820E3"/>
    <w:rsid w:val="24C846D9"/>
    <w:rsid w:val="24CD76F9"/>
    <w:rsid w:val="24D75E63"/>
    <w:rsid w:val="24EA483E"/>
    <w:rsid w:val="25150BF1"/>
    <w:rsid w:val="25206C08"/>
    <w:rsid w:val="25490D83"/>
    <w:rsid w:val="255C3EFC"/>
    <w:rsid w:val="255F5E6B"/>
    <w:rsid w:val="257F5A79"/>
    <w:rsid w:val="258B383C"/>
    <w:rsid w:val="25A66C6A"/>
    <w:rsid w:val="25C60AA9"/>
    <w:rsid w:val="263022DC"/>
    <w:rsid w:val="264777FE"/>
    <w:rsid w:val="264F3B85"/>
    <w:rsid w:val="265A0BD7"/>
    <w:rsid w:val="266F42B5"/>
    <w:rsid w:val="266F6CBA"/>
    <w:rsid w:val="269C3271"/>
    <w:rsid w:val="26A771A4"/>
    <w:rsid w:val="26AA549D"/>
    <w:rsid w:val="26AD333E"/>
    <w:rsid w:val="26D13E3E"/>
    <w:rsid w:val="26D14828"/>
    <w:rsid w:val="26D44D6F"/>
    <w:rsid w:val="26D737EE"/>
    <w:rsid w:val="26EA264A"/>
    <w:rsid w:val="27563F4C"/>
    <w:rsid w:val="277D17CC"/>
    <w:rsid w:val="27A90FEA"/>
    <w:rsid w:val="27AB5D10"/>
    <w:rsid w:val="27AE3812"/>
    <w:rsid w:val="27B54BA0"/>
    <w:rsid w:val="27C41D16"/>
    <w:rsid w:val="27E77E1F"/>
    <w:rsid w:val="27F6519C"/>
    <w:rsid w:val="27FE388E"/>
    <w:rsid w:val="2812526C"/>
    <w:rsid w:val="2833209D"/>
    <w:rsid w:val="283C7070"/>
    <w:rsid w:val="285E3A0B"/>
    <w:rsid w:val="28844E1A"/>
    <w:rsid w:val="28AB7D51"/>
    <w:rsid w:val="28B014CE"/>
    <w:rsid w:val="28BA57D6"/>
    <w:rsid w:val="28CC03F4"/>
    <w:rsid w:val="28DF17A9"/>
    <w:rsid w:val="291610C3"/>
    <w:rsid w:val="293B2E83"/>
    <w:rsid w:val="293E75FA"/>
    <w:rsid w:val="29540C2B"/>
    <w:rsid w:val="295F7D1D"/>
    <w:rsid w:val="29B449E4"/>
    <w:rsid w:val="29E17ECF"/>
    <w:rsid w:val="2A0374F8"/>
    <w:rsid w:val="2A102562"/>
    <w:rsid w:val="2A1536D4"/>
    <w:rsid w:val="2A222295"/>
    <w:rsid w:val="2AA649CF"/>
    <w:rsid w:val="2AAF04D5"/>
    <w:rsid w:val="2AE73BC4"/>
    <w:rsid w:val="2AE82B97"/>
    <w:rsid w:val="2B163D4A"/>
    <w:rsid w:val="2B435A8D"/>
    <w:rsid w:val="2B812E55"/>
    <w:rsid w:val="2B8B2BFC"/>
    <w:rsid w:val="2B97636B"/>
    <w:rsid w:val="2BD63891"/>
    <w:rsid w:val="2C023378"/>
    <w:rsid w:val="2C066227"/>
    <w:rsid w:val="2C365B84"/>
    <w:rsid w:val="2C525F5C"/>
    <w:rsid w:val="2C7843EE"/>
    <w:rsid w:val="2CA86A82"/>
    <w:rsid w:val="2D04656C"/>
    <w:rsid w:val="2D187BB2"/>
    <w:rsid w:val="2D200A23"/>
    <w:rsid w:val="2D231874"/>
    <w:rsid w:val="2D2B159E"/>
    <w:rsid w:val="2D443CA7"/>
    <w:rsid w:val="2D4E6396"/>
    <w:rsid w:val="2D551834"/>
    <w:rsid w:val="2D6F72CD"/>
    <w:rsid w:val="2D742B32"/>
    <w:rsid w:val="2D7A4435"/>
    <w:rsid w:val="2DC478E8"/>
    <w:rsid w:val="2DD517D4"/>
    <w:rsid w:val="2DEA4E78"/>
    <w:rsid w:val="2DF14458"/>
    <w:rsid w:val="2E0423DE"/>
    <w:rsid w:val="2E1E4B22"/>
    <w:rsid w:val="2E3B56D4"/>
    <w:rsid w:val="2E3F12F9"/>
    <w:rsid w:val="2E555FE9"/>
    <w:rsid w:val="2E690493"/>
    <w:rsid w:val="2E6B5FB9"/>
    <w:rsid w:val="2E80644F"/>
    <w:rsid w:val="2E84538B"/>
    <w:rsid w:val="2E9A689E"/>
    <w:rsid w:val="2EBA2A9C"/>
    <w:rsid w:val="2ECD5480"/>
    <w:rsid w:val="2F0500D5"/>
    <w:rsid w:val="2F283C8F"/>
    <w:rsid w:val="2F2D7712"/>
    <w:rsid w:val="2F7D080C"/>
    <w:rsid w:val="2FAD1AEA"/>
    <w:rsid w:val="2FB1480C"/>
    <w:rsid w:val="2FC55B9D"/>
    <w:rsid w:val="2FF31D0A"/>
    <w:rsid w:val="30110DE2"/>
    <w:rsid w:val="3030231C"/>
    <w:rsid w:val="304F36B8"/>
    <w:rsid w:val="307B44AD"/>
    <w:rsid w:val="30C92320"/>
    <w:rsid w:val="30D83C45"/>
    <w:rsid w:val="30E66DCC"/>
    <w:rsid w:val="3106021B"/>
    <w:rsid w:val="311F3225"/>
    <w:rsid w:val="31552B73"/>
    <w:rsid w:val="31A73FF7"/>
    <w:rsid w:val="31BD2CD9"/>
    <w:rsid w:val="31C632CA"/>
    <w:rsid w:val="323A7360"/>
    <w:rsid w:val="323D0A84"/>
    <w:rsid w:val="32531F47"/>
    <w:rsid w:val="326076FA"/>
    <w:rsid w:val="32770D8A"/>
    <w:rsid w:val="32D24BA4"/>
    <w:rsid w:val="32D86AF0"/>
    <w:rsid w:val="330126F6"/>
    <w:rsid w:val="332F4325"/>
    <w:rsid w:val="333762E3"/>
    <w:rsid w:val="33483797"/>
    <w:rsid w:val="337825D1"/>
    <w:rsid w:val="33BA4BF5"/>
    <w:rsid w:val="33D51773"/>
    <w:rsid w:val="33E111B6"/>
    <w:rsid w:val="34000EC8"/>
    <w:rsid w:val="340B2F58"/>
    <w:rsid w:val="340F1183"/>
    <w:rsid w:val="34105922"/>
    <w:rsid w:val="34251EF7"/>
    <w:rsid w:val="34311A53"/>
    <w:rsid w:val="347B2E07"/>
    <w:rsid w:val="349D0E96"/>
    <w:rsid w:val="349D28F7"/>
    <w:rsid w:val="34A246FE"/>
    <w:rsid w:val="34BF1F7E"/>
    <w:rsid w:val="34CB2DEE"/>
    <w:rsid w:val="34D452B4"/>
    <w:rsid w:val="34E26997"/>
    <w:rsid w:val="34FD7B87"/>
    <w:rsid w:val="35C91817"/>
    <w:rsid w:val="35D94150"/>
    <w:rsid w:val="35EC2ECC"/>
    <w:rsid w:val="36455341"/>
    <w:rsid w:val="36592683"/>
    <w:rsid w:val="365A314A"/>
    <w:rsid w:val="36787DF2"/>
    <w:rsid w:val="36873605"/>
    <w:rsid w:val="368C2F70"/>
    <w:rsid w:val="368F2A60"/>
    <w:rsid w:val="36B215D8"/>
    <w:rsid w:val="36E52680"/>
    <w:rsid w:val="36F154C9"/>
    <w:rsid w:val="3708606E"/>
    <w:rsid w:val="37732382"/>
    <w:rsid w:val="37864191"/>
    <w:rsid w:val="37985EC1"/>
    <w:rsid w:val="379A190A"/>
    <w:rsid w:val="37BC5B6D"/>
    <w:rsid w:val="37E413C0"/>
    <w:rsid w:val="37F708BD"/>
    <w:rsid w:val="380171FD"/>
    <w:rsid w:val="38402233"/>
    <w:rsid w:val="384B29B7"/>
    <w:rsid w:val="38712298"/>
    <w:rsid w:val="387939C8"/>
    <w:rsid w:val="388C5B1D"/>
    <w:rsid w:val="38A04DF7"/>
    <w:rsid w:val="38C77976"/>
    <w:rsid w:val="38E74525"/>
    <w:rsid w:val="39174448"/>
    <w:rsid w:val="39225E0E"/>
    <w:rsid w:val="392331A3"/>
    <w:rsid w:val="3931772E"/>
    <w:rsid w:val="3963370B"/>
    <w:rsid w:val="397836F4"/>
    <w:rsid w:val="39952DF3"/>
    <w:rsid w:val="399D0939"/>
    <w:rsid w:val="39EF3677"/>
    <w:rsid w:val="39FF1BFA"/>
    <w:rsid w:val="3A0F0CCD"/>
    <w:rsid w:val="3A521691"/>
    <w:rsid w:val="3A663A3E"/>
    <w:rsid w:val="3A9C574C"/>
    <w:rsid w:val="3AAE6E0A"/>
    <w:rsid w:val="3ABE557C"/>
    <w:rsid w:val="3B5947AB"/>
    <w:rsid w:val="3B622EC6"/>
    <w:rsid w:val="3B9A280D"/>
    <w:rsid w:val="3BEA7430"/>
    <w:rsid w:val="3BF81716"/>
    <w:rsid w:val="3BFD527E"/>
    <w:rsid w:val="3C157564"/>
    <w:rsid w:val="3C16679F"/>
    <w:rsid w:val="3C1B6C41"/>
    <w:rsid w:val="3C424E8F"/>
    <w:rsid w:val="3C477B6F"/>
    <w:rsid w:val="3C8702E7"/>
    <w:rsid w:val="3C9708C1"/>
    <w:rsid w:val="3CB81B4A"/>
    <w:rsid w:val="3CC83199"/>
    <w:rsid w:val="3CF571F3"/>
    <w:rsid w:val="3D140C5C"/>
    <w:rsid w:val="3D2F43E0"/>
    <w:rsid w:val="3D3954D4"/>
    <w:rsid w:val="3D4B1ECE"/>
    <w:rsid w:val="3D5D6812"/>
    <w:rsid w:val="3D655D60"/>
    <w:rsid w:val="3D7824A0"/>
    <w:rsid w:val="3DAC43F9"/>
    <w:rsid w:val="3DD02553"/>
    <w:rsid w:val="3DED0D09"/>
    <w:rsid w:val="3E13326D"/>
    <w:rsid w:val="3E1F46CA"/>
    <w:rsid w:val="3E29379B"/>
    <w:rsid w:val="3E616B4B"/>
    <w:rsid w:val="3E6E2B1B"/>
    <w:rsid w:val="3E955746"/>
    <w:rsid w:val="3ED205EC"/>
    <w:rsid w:val="3EDE6333"/>
    <w:rsid w:val="3EE142D2"/>
    <w:rsid w:val="3F0835D9"/>
    <w:rsid w:val="3F446ADE"/>
    <w:rsid w:val="3F4F166A"/>
    <w:rsid w:val="3F593C86"/>
    <w:rsid w:val="3F83747D"/>
    <w:rsid w:val="3FAC2F73"/>
    <w:rsid w:val="3FB85A65"/>
    <w:rsid w:val="3FCC0118"/>
    <w:rsid w:val="3FCF3F18"/>
    <w:rsid w:val="3FD421E8"/>
    <w:rsid w:val="400118CA"/>
    <w:rsid w:val="400E0E9A"/>
    <w:rsid w:val="40252995"/>
    <w:rsid w:val="40332828"/>
    <w:rsid w:val="40A44C63"/>
    <w:rsid w:val="40C1415E"/>
    <w:rsid w:val="40C17CBA"/>
    <w:rsid w:val="40D00B2F"/>
    <w:rsid w:val="40DC0786"/>
    <w:rsid w:val="411A73CB"/>
    <w:rsid w:val="412B15D8"/>
    <w:rsid w:val="417F6B17"/>
    <w:rsid w:val="41840BE1"/>
    <w:rsid w:val="418C6658"/>
    <w:rsid w:val="41964E73"/>
    <w:rsid w:val="419F529D"/>
    <w:rsid w:val="41B55086"/>
    <w:rsid w:val="41D8464F"/>
    <w:rsid w:val="41EE6E13"/>
    <w:rsid w:val="41F30347"/>
    <w:rsid w:val="42024A2E"/>
    <w:rsid w:val="42084EC3"/>
    <w:rsid w:val="42C57F36"/>
    <w:rsid w:val="43545BF4"/>
    <w:rsid w:val="4361439B"/>
    <w:rsid w:val="43946CA9"/>
    <w:rsid w:val="43A86F10"/>
    <w:rsid w:val="43CA7938"/>
    <w:rsid w:val="440A7DA4"/>
    <w:rsid w:val="44427F52"/>
    <w:rsid w:val="444B50A7"/>
    <w:rsid w:val="446564DF"/>
    <w:rsid w:val="44801C3A"/>
    <w:rsid w:val="44913E48"/>
    <w:rsid w:val="44A41525"/>
    <w:rsid w:val="44DC4453"/>
    <w:rsid w:val="44EE129A"/>
    <w:rsid w:val="45044441"/>
    <w:rsid w:val="45180211"/>
    <w:rsid w:val="4531654E"/>
    <w:rsid w:val="45744DF5"/>
    <w:rsid w:val="458B38D1"/>
    <w:rsid w:val="45A445C6"/>
    <w:rsid w:val="45B52D68"/>
    <w:rsid w:val="45C174FE"/>
    <w:rsid w:val="45DE7FFD"/>
    <w:rsid w:val="460348D1"/>
    <w:rsid w:val="46054AED"/>
    <w:rsid w:val="460D64F3"/>
    <w:rsid w:val="464F1C02"/>
    <w:rsid w:val="464F7B16"/>
    <w:rsid w:val="466F2638"/>
    <w:rsid w:val="46722E9B"/>
    <w:rsid w:val="469A7FF6"/>
    <w:rsid w:val="469F0A9E"/>
    <w:rsid w:val="46EE732F"/>
    <w:rsid w:val="47060312"/>
    <w:rsid w:val="4719209A"/>
    <w:rsid w:val="47207BDB"/>
    <w:rsid w:val="47794A11"/>
    <w:rsid w:val="47804A42"/>
    <w:rsid w:val="478D6579"/>
    <w:rsid w:val="47A143A2"/>
    <w:rsid w:val="47B71069"/>
    <w:rsid w:val="48132F14"/>
    <w:rsid w:val="48335942"/>
    <w:rsid w:val="48AC1250"/>
    <w:rsid w:val="48BD16AF"/>
    <w:rsid w:val="48D66C7A"/>
    <w:rsid w:val="48E105FA"/>
    <w:rsid w:val="48E34354"/>
    <w:rsid w:val="48F03833"/>
    <w:rsid w:val="48FC2F4A"/>
    <w:rsid w:val="49036E3A"/>
    <w:rsid w:val="491A32E7"/>
    <w:rsid w:val="493556E9"/>
    <w:rsid w:val="49470F79"/>
    <w:rsid w:val="49506444"/>
    <w:rsid w:val="49557B3A"/>
    <w:rsid w:val="49620E28"/>
    <w:rsid w:val="496F2273"/>
    <w:rsid w:val="499E6DEB"/>
    <w:rsid w:val="49DB1022"/>
    <w:rsid w:val="49E71F57"/>
    <w:rsid w:val="49ED46D6"/>
    <w:rsid w:val="4A1D33CB"/>
    <w:rsid w:val="4A4B0CBA"/>
    <w:rsid w:val="4AA41178"/>
    <w:rsid w:val="4AEE1C45"/>
    <w:rsid w:val="4AF35701"/>
    <w:rsid w:val="4AF74536"/>
    <w:rsid w:val="4AF8077D"/>
    <w:rsid w:val="4B0E35D5"/>
    <w:rsid w:val="4B1B12F2"/>
    <w:rsid w:val="4B1E34DF"/>
    <w:rsid w:val="4B283107"/>
    <w:rsid w:val="4B392546"/>
    <w:rsid w:val="4B4657DE"/>
    <w:rsid w:val="4B491A26"/>
    <w:rsid w:val="4B65281E"/>
    <w:rsid w:val="4B6E4EE3"/>
    <w:rsid w:val="4B840262"/>
    <w:rsid w:val="4B8C6395"/>
    <w:rsid w:val="4BAF3531"/>
    <w:rsid w:val="4BF624AA"/>
    <w:rsid w:val="4C0223E7"/>
    <w:rsid w:val="4C202114"/>
    <w:rsid w:val="4C3600A4"/>
    <w:rsid w:val="4C5D2FD0"/>
    <w:rsid w:val="4C981C3F"/>
    <w:rsid w:val="4CD718F5"/>
    <w:rsid w:val="4CDD6765"/>
    <w:rsid w:val="4D204A83"/>
    <w:rsid w:val="4D267F84"/>
    <w:rsid w:val="4D2B547F"/>
    <w:rsid w:val="4D4E28D6"/>
    <w:rsid w:val="4D7A36CB"/>
    <w:rsid w:val="4D832F3E"/>
    <w:rsid w:val="4D99574F"/>
    <w:rsid w:val="4D9B5CE1"/>
    <w:rsid w:val="4DDA3031"/>
    <w:rsid w:val="4E053C7B"/>
    <w:rsid w:val="4E0E5A4F"/>
    <w:rsid w:val="4E4435E1"/>
    <w:rsid w:val="4EAC1167"/>
    <w:rsid w:val="4EBF39F7"/>
    <w:rsid w:val="4EE52C6D"/>
    <w:rsid w:val="4F01127F"/>
    <w:rsid w:val="4F427061"/>
    <w:rsid w:val="4F860A4D"/>
    <w:rsid w:val="4FAB2D1B"/>
    <w:rsid w:val="4FF37764"/>
    <w:rsid w:val="50096F88"/>
    <w:rsid w:val="50146059"/>
    <w:rsid w:val="50477724"/>
    <w:rsid w:val="506130BA"/>
    <w:rsid w:val="506D5769"/>
    <w:rsid w:val="507C3BFE"/>
    <w:rsid w:val="50E45A03"/>
    <w:rsid w:val="51150190"/>
    <w:rsid w:val="51512E75"/>
    <w:rsid w:val="51567489"/>
    <w:rsid w:val="51D5048D"/>
    <w:rsid w:val="51E51FEE"/>
    <w:rsid w:val="520B7D74"/>
    <w:rsid w:val="52100AA2"/>
    <w:rsid w:val="522768AD"/>
    <w:rsid w:val="523251E2"/>
    <w:rsid w:val="52720E14"/>
    <w:rsid w:val="527B46FD"/>
    <w:rsid w:val="52853F43"/>
    <w:rsid w:val="528E51B8"/>
    <w:rsid w:val="5299186C"/>
    <w:rsid w:val="52A6664F"/>
    <w:rsid w:val="52B15411"/>
    <w:rsid w:val="52CC7DF3"/>
    <w:rsid w:val="52CE1289"/>
    <w:rsid w:val="52EB079C"/>
    <w:rsid w:val="531B4AC6"/>
    <w:rsid w:val="53277BCE"/>
    <w:rsid w:val="534C3D5B"/>
    <w:rsid w:val="535004C8"/>
    <w:rsid w:val="536C61AC"/>
    <w:rsid w:val="538423E9"/>
    <w:rsid w:val="538B7847"/>
    <w:rsid w:val="5398065B"/>
    <w:rsid w:val="539F3E8B"/>
    <w:rsid w:val="53A22BE3"/>
    <w:rsid w:val="53A53928"/>
    <w:rsid w:val="540A1104"/>
    <w:rsid w:val="541859EC"/>
    <w:rsid w:val="54420CBA"/>
    <w:rsid w:val="544D712B"/>
    <w:rsid w:val="54800E8E"/>
    <w:rsid w:val="5483555B"/>
    <w:rsid w:val="548A4BDF"/>
    <w:rsid w:val="549E4143"/>
    <w:rsid w:val="54A408D5"/>
    <w:rsid w:val="54B57808"/>
    <w:rsid w:val="552A2DE1"/>
    <w:rsid w:val="553920BD"/>
    <w:rsid w:val="55676834"/>
    <w:rsid w:val="557E0A27"/>
    <w:rsid w:val="55D10548"/>
    <w:rsid w:val="55D36179"/>
    <w:rsid w:val="563B33DC"/>
    <w:rsid w:val="56814E3E"/>
    <w:rsid w:val="56982E14"/>
    <w:rsid w:val="56B87FF7"/>
    <w:rsid w:val="56D12D5D"/>
    <w:rsid w:val="56E95B74"/>
    <w:rsid w:val="56F53225"/>
    <w:rsid w:val="57047B95"/>
    <w:rsid w:val="57236B81"/>
    <w:rsid w:val="573773E9"/>
    <w:rsid w:val="57415259"/>
    <w:rsid w:val="57593089"/>
    <w:rsid w:val="5794682F"/>
    <w:rsid w:val="57A852D8"/>
    <w:rsid w:val="57BF2D4E"/>
    <w:rsid w:val="57D0356B"/>
    <w:rsid w:val="57D52571"/>
    <w:rsid w:val="57E82455"/>
    <w:rsid w:val="57F047F5"/>
    <w:rsid w:val="582564D7"/>
    <w:rsid w:val="58264E59"/>
    <w:rsid w:val="582B34CF"/>
    <w:rsid w:val="583848AE"/>
    <w:rsid w:val="58402AE0"/>
    <w:rsid w:val="58603F84"/>
    <w:rsid w:val="589A7317"/>
    <w:rsid w:val="58B0750F"/>
    <w:rsid w:val="58B35CA0"/>
    <w:rsid w:val="58DD7C1D"/>
    <w:rsid w:val="58E41F09"/>
    <w:rsid w:val="58FE1654"/>
    <w:rsid w:val="590651C6"/>
    <w:rsid w:val="59255A95"/>
    <w:rsid w:val="592866D1"/>
    <w:rsid w:val="59312499"/>
    <w:rsid w:val="595A2AA1"/>
    <w:rsid w:val="59754D64"/>
    <w:rsid w:val="59934492"/>
    <w:rsid w:val="599F5584"/>
    <w:rsid w:val="59BF0C4D"/>
    <w:rsid w:val="59F640F1"/>
    <w:rsid w:val="5A2B3EF4"/>
    <w:rsid w:val="5A32585F"/>
    <w:rsid w:val="5A3776B2"/>
    <w:rsid w:val="5A3879B1"/>
    <w:rsid w:val="5A3B68D8"/>
    <w:rsid w:val="5A51742C"/>
    <w:rsid w:val="5A780863"/>
    <w:rsid w:val="5AA10B95"/>
    <w:rsid w:val="5AC62645"/>
    <w:rsid w:val="5ACD3059"/>
    <w:rsid w:val="5AEE5383"/>
    <w:rsid w:val="5B056235"/>
    <w:rsid w:val="5B0C581F"/>
    <w:rsid w:val="5B677436"/>
    <w:rsid w:val="5B8D79ED"/>
    <w:rsid w:val="5BA46702"/>
    <w:rsid w:val="5BA83B17"/>
    <w:rsid w:val="5BBE7DF7"/>
    <w:rsid w:val="5BC62257"/>
    <w:rsid w:val="5BD3501A"/>
    <w:rsid w:val="5C0B5D25"/>
    <w:rsid w:val="5C26298E"/>
    <w:rsid w:val="5C4E644E"/>
    <w:rsid w:val="5C6006D9"/>
    <w:rsid w:val="5C9127DF"/>
    <w:rsid w:val="5C913374"/>
    <w:rsid w:val="5C9218B6"/>
    <w:rsid w:val="5C997D95"/>
    <w:rsid w:val="5CA93FCD"/>
    <w:rsid w:val="5CAE1C5C"/>
    <w:rsid w:val="5CBE07F4"/>
    <w:rsid w:val="5CC608C4"/>
    <w:rsid w:val="5CEA4624"/>
    <w:rsid w:val="5CF36FF6"/>
    <w:rsid w:val="5CFC234E"/>
    <w:rsid w:val="5D080CF3"/>
    <w:rsid w:val="5D2B3347"/>
    <w:rsid w:val="5D762135"/>
    <w:rsid w:val="5D7E3D19"/>
    <w:rsid w:val="5DA153CA"/>
    <w:rsid w:val="5DBC1DC9"/>
    <w:rsid w:val="5DC43727"/>
    <w:rsid w:val="5DD07337"/>
    <w:rsid w:val="5DDC3B9C"/>
    <w:rsid w:val="5DFF67AF"/>
    <w:rsid w:val="5E2E21D3"/>
    <w:rsid w:val="5E4B6CD4"/>
    <w:rsid w:val="5E64625A"/>
    <w:rsid w:val="5E67591F"/>
    <w:rsid w:val="5E743855"/>
    <w:rsid w:val="5E953FF5"/>
    <w:rsid w:val="5EBB4155"/>
    <w:rsid w:val="5EBE461E"/>
    <w:rsid w:val="5EC22FE7"/>
    <w:rsid w:val="5ED33DDE"/>
    <w:rsid w:val="5EE057F0"/>
    <w:rsid w:val="5F170E02"/>
    <w:rsid w:val="5F6661A5"/>
    <w:rsid w:val="5FC812E1"/>
    <w:rsid w:val="60181471"/>
    <w:rsid w:val="6042276E"/>
    <w:rsid w:val="605305D2"/>
    <w:rsid w:val="60716B51"/>
    <w:rsid w:val="609F0BE8"/>
    <w:rsid w:val="611759A9"/>
    <w:rsid w:val="61325D85"/>
    <w:rsid w:val="61330309"/>
    <w:rsid w:val="613C715F"/>
    <w:rsid w:val="614C45C2"/>
    <w:rsid w:val="6162741E"/>
    <w:rsid w:val="61633837"/>
    <w:rsid w:val="619C0D54"/>
    <w:rsid w:val="61AA24B2"/>
    <w:rsid w:val="61B559C9"/>
    <w:rsid w:val="61C10516"/>
    <w:rsid w:val="61D8036A"/>
    <w:rsid w:val="61F61177"/>
    <w:rsid w:val="61FA7BC0"/>
    <w:rsid w:val="62061579"/>
    <w:rsid w:val="620850D8"/>
    <w:rsid w:val="620B6608"/>
    <w:rsid w:val="6223212B"/>
    <w:rsid w:val="62293020"/>
    <w:rsid w:val="625D388F"/>
    <w:rsid w:val="62700306"/>
    <w:rsid w:val="6277148C"/>
    <w:rsid w:val="627B785A"/>
    <w:rsid w:val="62EE6294"/>
    <w:rsid w:val="62F56FFB"/>
    <w:rsid w:val="62F873C6"/>
    <w:rsid w:val="630C78A2"/>
    <w:rsid w:val="631811F9"/>
    <w:rsid w:val="63332842"/>
    <w:rsid w:val="6338786C"/>
    <w:rsid w:val="635D166D"/>
    <w:rsid w:val="635F1070"/>
    <w:rsid w:val="63663C6E"/>
    <w:rsid w:val="63732A2E"/>
    <w:rsid w:val="63846BFA"/>
    <w:rsid w:val="6388493C"/>
    <w:rsid w:val="639B14F1"/>
    <w:rsid w:val="63DC35A2"/>
    <w:rsid w:val="64497237"/>
    <w:rsid w:val="644A6763"/>
    <w:rsid w:val="6458713F"/>
    <w:rsid w:val="64B61035"/>
    <w:rsid w:val="64C134D4"/>
    <w:rsid w:val="64D17DD0"/>
    <w:rsid w:val="64D92D39"/>
    <w:rsid w:val="64F1286C"/>
    <w:rsid w:val="64FA7837"/>
    <w:rsid w:val="65257F68"/>
    <w:rsid w:val="6539772E"/>
    <w:rsid w:val="65773904"/>
    <w:rsid w:val="65A25A5D"/>
    <w:rsid w:val="65AA7ED4"/>
    <w:rsid w:val="65B51681"/>
    <w:rsid w:val="65BC5116"/>
    <w:rsid w:val="65C07C91"/>
    <w:rsid w:val="65C53559"/>
    <w:rsid w:val="65D04378"/>
    <w:rsid w:val="66634A35"/>
    <w:rsid w:val="66703465"/>
    <w:rsid w:val="66711486"/>
    <w:rsid w:val="66772B67"/>
    <w:rsid w:val="667F610B"/>
    <w:rsid w:val="669332A9"/>
    <w:rsid w:val="66A838D4"/>
    <w:rsid w:val="66D659BE"/>
    <w:rsid w:val="670D4EDB"/>
    <w:rsid w:val="67584625"/>
    <w:rsid w:val="675E7762"/>
    <w:rsid w:val="676A6010"/>
    <w:rsid w:val="67844D97"/>
    <w:rsid w:val="679F4002"/>
    <w:rsid w:val="67AF3709"/>
    <w:rsid w:val="67B927F7"/>
    <w:rsid w:val="67C07B0C"/>
    <w:rsid w:val="67C26372"/>
    <w:rsid w:val="67F30BFC"/>
    <w:rsid w:val="67F45EB1"/>
    <w:rsid w:val="6800627B"/>
    <w:rsid w:val="68A5389A"/>
    <w:rsid w:val="68BD1306"/>
    <w:rsid w:val="68CC0A7B"/>
    <w:rsid w:val="690529E9"/>
    <w:rsid w:val="690A5DF3"/>
    <w:rsid w:val="692F7608"/>
    <w:rsid w:val="693A3C94"/>
    <w:rsid w:val="699072D5"/>
    <w:rsid w:val="69EF3CFC"/>
    <w:rsid w:val="6A1C4030"/>
    <w:rsid w:val="6A60677C"/>
    <w:rsid w:val="6A61315C"/>
    <w:rsid w:val="6A6854FB"/>
    <w:rsid w:val="6ACA30EF"/>
    <w:rsid w:val="6AE22020"/>
    <w:rsid w:val="6AFE7F06"/>
    <w:rsid w:val="6B163F01"/>
    <w:rsid w:val="6B18454C"/>
    <w:rsid w:val="6B3449D8"/>
    <w:rsid w:val="6B44190F"/>
    <w:rsid w:val="6B6A1504"/>
    <w:rsid w:val="6B7660F1"/>
    <w:rsid w:val="6B8805B7"/>
    <w:rsid w:val="6B8C31C6"/>
    <w:rsid w:val="6B9A16B0"/>
    <w:rsid w:val="6BBB2B79"/>
    <w:rsid w:val="6BC37EBD"/>
    <w:rsid w:val="6BEE1B1F"/>
    <w:rsid w:val="6BF222BC"/>
    <w:rsid w:val="6BFD5ADD"/>
    <w:rsid w:val="6C496C32"/>
    <w:rsid w:val="6C4A0645"/>
    <w:rsid w:val="6C5555D7"/>
    <w:rsid w:val="6C5E29A1"/>
    <w:rsid w:val="6C8469CD"/>
    <w:rsid w:val="6C883B28"/>
    <w:rsid w:val="6CAF3E08"/>
    <w:rsid w:val="6D055307"/>
    <w:rsid w:val="6D0B294D"/>
    <w:rsid w:val="6D0F2724"/>
    <w:rsid w:val="6D34343E"/>
    <w:rsid w:val="6D580A73"/>
    <w:rsid w:val="6D765805"/>
    <w:rsid w:val="6D853231"/>
    <w:rsid w:val="6D9A533D"/>
    <w:rsid w:val="6DA47FDB"/>
    <w:rsid w:val="6DC24155"/>
    <w:rsid w:val="6DCF13B9"/>
    <w:rsid w:val="6DFB5D0A"/>
    <w:rsid w:val="6E13574A"/>
    <w:rsid w:val="6E1A3DCB"/>
    <w:rsid w:val="6E237077"/>
    <w:rsid w:val="6E390A34"/>
    <w:rsid w:val="6E843F52"/>
    <w:rsid w:val="6E895A0C"/>
    <w:rsid w:val="6EA77C40"/>
    <w:rsid w:val="6EB81E4D"/>
    <w:rsid w:val="6F6B6B85"/>
    <w:rsid w:val="6FA56875"/>
    <w:rsid w:val="6FC43A9D"/>
    <w:rsid w:val="6FDF1606"/>
    <w:rsid w:val="6FF814B9"/>
    <w:rsid w:val="701418C2"/>
    <w:rsid w:val="702D1E02"/>
    <w:rsid w:val="7037771F"/>
    <w:rsid w:val="707149AA"/>
    <w:rsid w:val="70743576"/>
    <w:rsid w:val="70A63B08"/>
    <w:rsid w:val="70C3758A"/>
    <w:rsid w:val="70D162B1"/>
    <w:rsid w:val="70DF7033"/>
    <w:rsid w:val="71045017"/>
    <w:rsid w:val="71073633"/>
    <w:rsid w:val="710904E6"/>
    <w:rsid w:val="71162BC3"/>
    <w:rsid w:val="71257C6E"/>
    <w:rsid w:val="7129096F"/>
    <w:rsid w:val="712C7364"/>
    <w:rsid w:val="71436346"/>
    <w:rsid w:val="71B27028"/>
    <w:rsid w:val="71B57799"/>
    <w:rsid w:val="71CC633B"/>
    <w:rsid w:val="71EF0F7D"/>
    <w:rsid w:val="72AC3A77"/>
    <w:rsid w:val="72B7759F"/>
    <w:rsid w:val="72F042DC"/>
    <w:rsid w:val="72FE42B8"/>
    <w:rsid w:val="7312546F"/>
    <w:rsid w:val="733046A8"/>
    <w:rsid w:val="73445EC6"/>
    <w:rsid w:val="734C778A"/>
    <w:rsid w:val="737F4524"/>
    <w:rsid w:val="73874C52"/>
    <w:rsid w:val="739A5360"/>
    <w:rsid w:val="739B6B88"/>
    <w:rsid w:val="739F0A39"/>
    <w:rsid w:val="73A36C4B"/>
    <w:rsid w:val="73B54BAD"/>
    <w:rsid w:val="73CA0EB2"/>
    <w:rsid w:val="73E47A11"/>
    <w:rsid w:val="73FC7501"/>
    <w:rsid w:val="73FD3278"/>
    <w:rsid w:val="741928EC"/>
    <w:rsid w:val="741E260C"/>
    <w:rsid w:val="7428537F"/>
    <w:rsid w:val="749018A2"/>
    <w:rsid w:val="74C01A5C"/>
    <w:rsid w:val="751029E3"/>
    <w:rsid w:val="754601B3"/>
    <w:rsid w:val="75DF6571"/>
    <w:rsid w:val="75F61C4F"/>
    <w:rsid w:val="75FE7663"/>
    <w:rsid w:val="760342F6"/>
    <w:rsid w:val="7611222F"/>
    <w:rsid w:val="761A7C28"/>
    <w:rsid w:val="7623456A"/>
    <w:rsid w:val="762C55FB"/>
    <w:rsid w:val="76485DDD"/>
    <w:rsid w:val="76601FFC"/>
    <w:rsid w:val="766306AC"/>
    <w:rsid w:val="76665F88"/>
    <w:rsid w:val="769D5ED7"/>
    <w:rsid w:val="76B2751A"/>
    <w:rsid w:val="76B876CE"/>
    <w:rsid w:val="76BF67F2"/>
    <w:rsid w:val="76C6276D"/>
    <w:rsid w:val="76CC02DA"/>
    <w:rsid w:val="770A12C8"/>
    <w:rsid w:val="770F5ED0"/>
    <w:rsid w:val="77304C77"/>
    <w:rsid w:val="7735668B"/>
    <w:rsid w:val="774861C7"/>
    <w:rsid w:val="778E5D01"/>
    <w:rsid w:val="77AD760B"/>
    <w:rsid w:val="77C83F73"/>
    <w:rsid w:val="78006D3F"/>
    <w:rsid w:val="78174088"/>
    <w:rsid w:val="78362F6E"/>
    <w:rsid w:val="78370600"/>
    <w:rsid w:val="78415AB7"/>
    <w:rsid w:val="7858084F"/>
    <w:rsid w:val="78674A79"/>
    <w:rsid w:val="786D7B25"/>
    <w:rsid w:val="78787715"/>
    <w:rsid w:val="78812D47"/>
    <w:rsid w:val="78A32AA7"/>
    <w:rsid w:val="78AF300A"/>
    <w:rsid w:val="78B84A7D"/>
    <w:rsid w:val="78CB43CD"/>
    <w:rsid w:val="78DD2BDC"/>
    <w:rsid w:val="790673B4"/>
    <w:rsid w:val="790E548B"/>
    <w:rsid w:val="792E3346"/>
    <w:rsid w:val="79314CD6"/>
    <w:rsid w:val="793F25E5"/>
    <w:rsid w:val="798028C5"/>
    <w:rsid w:val="79A67472"/>
    <w:rsid w:val="79AE27CB"/>
    <w:rsid w:val="79BF7C3B"/>
    <w:rsid w:val="79C21A2B"/>
    <w:rsid w:val="79CA006C"/>
    <w:rsid w:val="7A0B7BCF"/>
    <w:rsid w:val="7A384B54"/>
    <w:rsid w:val="7A3E2302"/>
    <w:rsid w:val="7A4D1FE3"/>
    <w:rsid w:val="7A691309"/>
    <w:rsid w:val="7A837C4E"/>
    <w:rsid w:val="7A8F5FE5"/>
    <w:rsid w:val="7A9856F3"/>
    <w:rsid w:val="7AA67B95"/>
    <w:rsid w:val="7ABD5135"/>
    <w:rsid w:val="7AE80C9A"/>
    <w:rsid w:val="7B18439F"/>
    <w:rsid w:val="7B40617B"/>
    <w:rsid w:val="7B707964"/>
    <w:rsid w:val="7B752FA7"/>
    <w:rsid w:val="7BAE37D0"/>
    <w:rsid w:val="7BAE62E8"/>
    <w:rsid w:val="7BB0282A"/>
    <w:rsid w:val="7BBF4352"/>
    <w:rsid w:val="7BD45C18"/>
    <w:rsid w:val="7C241981"/>
    <w:rsid w:val="7C3E1B1F"/>
    <w:rsid w:val="7C597EB8"/>
    <w:rsid w:val="7C7A24E5"/>
    <w:rsid w:val="7C7A4E0E"/>
    <w:rsid w:val="7CA40E8B"/>
    <w:rsid w:val="7CC055E5"/>
    <w:rsid w:val="7CDE5175"/>
    <w:rsid w:val="7CE06A63"/>
    <w:rsid w:val="7CFF60C4"/>
    <w:rsid w:val="7D0211AE"/>
    <w:rsid w:val="7D0270B5"/>
    <w:rsid w:val="7D117BBB"/>
    <w:rsid w:val="7D2675D0"/>
    <w:rsid w:val="7D2B72C1"/>
    <w:rsid w:val="7D362AB8"/>
    <w:rsid w:val="7D5176F5"/>
    <w:rsid w:val="7D87238A"/>
    <w:rsid w:val="7D890ACB"/>
    <w:rsid w:val="7D902913"/>
    <w:rsid w:val="7DCF3B2B"/>
    <w:rsid w:val="7E046E5D"/>
    <w:rsid w:val="7E1D5AA3"/>
    <w:rsid w:val="7E5409CF"/>
    <w:rsid w:val="7E890F19"/>
    <w:rsid w:val="7E8C4CB0"/>
    <w:rsid w:val="7EA32746"/>
    <w:rsid w:val="7EAF1681"/>
    <w:rsid w:val="7EFC017C"/>
    <w:rsid w:val="7F0E52CF"/>
    <w:rsid w:val="7F0F7842"/>
    <w:rsid w:val="7F1460DC"/>
    <w:rsid w:val="7F65392B"/>
    <w:rsid w:val="7F7B3F7D"/>
    <w:rsid w:val="7F896D93"/>
    <w:rsid w:val="7F8A5F55"/>
    <w:rsid w:val="7F9A3684"/>
    <w:rsid w:val="7FB56661"/>
    <w:rsid w:val="7FC72C59"/>
    <w:rsid w:val="7FE54E2A"/>
    <w:rsid w:val="7FE5632B"/>
    <w:rsid w:val="7FEB051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link w:val="52"/>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link w:val="117"/>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37">
    <w:name w:val="Default Paragraph Font"/>
    <w:qFormat/>
    <w:uiPriority w:val="0"/>
    <w:rPr>
      <w:rFonts w:ascii="Calibri" w:hAnsi="Calibri" w:eastAsia="宋体" w:cs="Times New Roman"/>
    </w:rPr>
  </w:style>
  <w:style w:type="table" w:default="1" w:styleId="35">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7">
    <w:name w:val="toc 7"/>
    <w:basedOn w:val="1"/>
    <w:next w:val="1"/>
    <w:qFormat/>
    <w:uiPriority w:val="0"/>
    <w:pPr>
      <w:ind w:left="2520" w:leftChars="1200"/>
    </w:pPr>
    <w:rPr>
      <w:rFonts w:ascii="Calibri" w:hAnsi="Calibri" w:eastAsia="宋体" w:cs="Times New Roman"/>
    </w:rPr>
  </w:style>
  <w:style w:type="paragraph" w:styleId="8">
    <w:name w:val="Normal Indent"/>
    <w:basedOn w:val="1"/>
    <w:next w:val="1"/>
    <w:qFormat/>
    <w:uiPriority w:val="0"/>
    <w:pPr>
      <w:widowControl/>
      <w:ind w:firstLine="420"/>
      <w:jc w:val="left"/>
    </w:pPr>
    <w:rPr>
      <w:rFonts w:ascii="Calibri" w:hAnsi="Calibri" w:eastAsia="宋体" w:cs="Times New Roman"/>
      <w:kern w:val="0"/>
      <w:sz w:val="20"/>
    </w:rPr>
  </w:style>
  <w:style w:type="paragraph" w:styleId="9">
    <w:name w:val="annotation text"/>
    <w:basedOn w:val="1"/>
    <w:qFormat/>
    <w:uiPriority w:val="0"/>
    <w:pPr>
      <w:adjustRightInd w:val="0"/>
      <w:spacing w:line="360" w:lineRule="atLeast"/>
      <w:jc w:val="left"/>
      <w:textAlignment w:val="baseline"/>
    </w:pPr>
    <w:rPr>
      <w:rFonts w:ascii="Calibri" w:hAnsi="Calibri" w:eastAsia="宋体" w:cs="Times New Roman"/>
      <w:kern w:val="0"/>
      <w:sz w:val="24"/>
    </w:rPr>
  </w:style>
  <w:style w:type="paragraph" w:styleId="10">
    <w:name w:val="Body Text 3"/>
    <w:basedOn w:val="1"/>
    <w:qFormat/>
    <w:uiPriority w:val="0"/>
    <w:rPr>
      <w:rFonts w:ascii="宋体" w:hAnsi="Calibri" w:eastAsia="宋体" w:cs="Times New Roman"/>
      <w:sz w:val="24"/>
      <w:szCs w:val="20"/>
    </w:rPr>
  </w:style>
  <w:style w:type="paragraph" w:styleId="11">
    <w:name w:val="Body Text"/>
    <w:basedOn w:val="1"/>
    <w:next w:val="1"/>
    <w:qFormat/>
    <w:uiPriority w:val="0"/>
    <w:rPr>
      <w:rFonts w:ascii="宋体" w:hAnsi="宋体" w:eastAsia="宋体" w:cs="Times New Roman"/>
      <w:sz w:val="30"/>
      <w:szCs w:val="20"/>
    </w:rPr>
  </w:style>
  <w:style w:type="paragraph" w:styleId="12">
    <w:name w:val="Body Text Indent"/>
    <w:basedOn w:val="1"/>
    <w:qFormat/>
    <w:uiPriority w:val="0"/>
    <w:pPr>
      <w:ind w:firstLine="600" w:firstLineChars="200"/>
    </w:pPr>
    <w:rPr>
      <w:rFonts w:ascii="宋体" w:hAnsi="宋体" w:eastAsia="宋体" w:cs="Times New Roman"/>
      <w:sz w:val="30"/>
      <w:szCs w:val="20"/>
    </w:rPr>
  </w:style>
  <w:style w:type="paragraph" w:styleId="13">
    <w:name w:val="Block Text"/>
    <w:basedOn w:val="1"/>
    <w:qFormat/>
    <w:uiPriority w:val="0"/>
    <w:pPr>
      <w:ind w:left="1440" w:leftChars="700" w:right="700" w:rightChars="700"/>
    </w:pPr>
    <w:rPr>
      <w:rFonts w:ascii="Calibri" w:hAnsi="Calibri" w:eastAsia="宋体" w:cs="Times New Roman"/>
    </w:rPr>
  </w:style>
  <w:style w:type="paragraph" w:styleId="14">
    <w:name w:val="toc 5"/>
    <w:basedOn w:val="1"/>
    <w:next w:val="1"/>
    <w:qFormat/>
    <w:uiPriority w:val="0"/>
    <w:pPr>
      <w:ind w:left="1680" w:leftChars="800"/>
    </w:pPr>
    <w:rPr>
      <w:rFonts w:ascii="Calibri" w:hAnsi="Calibri" w:eastAsia="宋体" w:cs="Times New Roman"/>
    </w:rPr>
  </w:style>
  <w:style w:type="paragraph" w:styleId="15">
    <w:name w:val="toc 3"/>
    <w:basedOn w:val="1"/>
    <w:next w:val="1"/>
    <w:qFormat/>
    <w:uiPriority w:val="0"/>
    <w:pPr>
      <w:ind w:left="840" w:leftChars="400"/>
    </w:pPr>
    <w:rPr>
      <w:rFonts w:ascii="Calibri" w:hAnsi="Calibri" w:eastAsia="宋体" w:cs="Times New Roman"/>
    </w:rPr>
  </w:style>
  <w:style w:type="paragraph" w:styleId="16">
    <w:name w:val="Plain Text"/>
    <w:basedOn w:val="1"/>
    <w:qFormat/>
    <w:uiPriority w:val="0"/>
    <w:rPr>
      <w:rFonts w:ascii="宋体" w:hAnsi="Courier New" w:eastAsia="宋体" w:cs="宋体"/>
      <w:szCs w:val="21"/>
    </w:rPr>
  </w:style>
  <w:style w:type="paragraph" w:styleId="17">
    <w:name w:val="toc 8"/>
    <w:basedOn w:val="1"/>
    <w:next w:val="1"/>
    <w:qFormat/>
    <w:uiPriority w:val="0"/>
    <w:pPr>
      <w:ind w:left="2940" w:leftChars="1400"/>
    </w:pPr>
    <w:rPr>
      <w:rFonts w:ascii="Calibri" w:hAnsi="Calibri" w:eastAsia="宋体" w:cs="Times New Roman"/>
    </w:rPr>
  </w:style>
  <w:style w:type="paragraph" w:styleId="18">
    <w:name w:val="Date"/>
    <w:basedOn w:val="1"/>
    <w:next w:val="1"/>
    <w:qFormat/>
    <w:uiPriority w:val="0"/>
    <w:pPr>
      <w:ind w:left="100" w:leftChars="2500"/>
    </w:pPr>
    <w:rPr>
      <w:rFonts w:ascii="Calibri" w:hAnsi="Calibri" w:eastAsia="宋体" w:cs="Times New Roman"/>
    </w:rPr>
  </w:style>
  <w:style w:type="paragraph" w:styleId="19">
    <w:name w:val="Body Text Indent 2"/>
    <w:basedOn w:val="1"/>
    <w:qFormat/>
    <w:uiPriority w:val="0"/>
    <w:pPr>
      <w:autoSpaceDE w:val="0"/>
      <w:autoSpaceDN w:val="0"/>
      <w:adjustRightInd w:val="0"/>
      <w:spacing w:line="640" w:lineRule="exact"/>
      <w:ind w:firstLine="645"/>
    </w:pPr>
    <w:rPr>
      <w:rFonts w:ascii="楷体_GB2312" w:hAnsi="Calibri" w:eastAsia="楷体_GB2312" w:cs="Times New Roman"/>
      <w:kern w:val="0"/>
      <w:sz w:val="32"/>
      <w:szCs w:val="32"/>
    </w:rPr>
  </w:style>
  <w:style w:type="paragraph" w:styleId="20">
    <w:name w:val="footer"/>
    <w:basedOn w:val="1"/>
    <w:link w:val="53"/>
    <w:qFormat/>
    <w:uiPriority w:val="0"/>
    <w:pPr>
      <w:tabs>
        <w:tab w:val="center" w:pos="4153"/>
        <w:tab w:val="right" w:pos="8306"/>
      </w:tabs>
      <w:snapToGrid w:val="0"/>
      <w:jc w:val="left"/>
    </w:pPr>
    <w:rPr>
      <w:rFonts w:ascii="Calibri" w:hAnsi="Calibri" w:eastAsia="宋体" w:cs="Times New Roman"/>
      <w:sz w:val="18"/>
      <w:szCs w:val="20"/>
    </w:rPr>
  </w:style>
  <w:style w:type="paragraph" w:styleId="21">
    <w:name w:val="envelope return"/>
    <w:basedOn w:val="1"/>
    <w:qFormat/>
    <w:uiPriority w:val="0"/>
    <w:pPr>
      <w:snapToGrid w:val="0"/>
    </w:pPr>
    <w:rPr>
      <w:rFonts w:ascii="Arial" w:hAnsi="Arial" w:eastAsia="宋体" w:cs="Times New Roman"/>
    </w:rPr>
  </w:style>
  <w:style w:type="paragraph" w:styleId="22">
    <w:name w:val="header"/>
    <w:basedOn w:val="1"/>
    <w:link w:val="5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23">
    <w:name w:val="toc 1"/>
    <w:basedOn w:val="1"/>
    <w:next w:val="1"/>
    <w:qFormat/>
    <w:uiPriority w:val="0"/>
    <w:rPr>
      <w:rFonts w:ascii="Calibri" w:hAnsi="Calibri" w:eastAsia="宋体" w:cs="Times New Roman"/>
    </w:rPr>
  </w:style>
  <w:style w:type="paragraph" w:styleId="24">
    <w:name w:val="toc 4"/>
    <w:basedOn w:val="1"/>
    <w:next w:val="1"/>
    <w:qFormat/>
    <w:uiPriority w:val="0"/>
    <w:pPr>
      <w:ind w:left="1260" w:leftChars="600"/>
    </w:pPr>
    <w:rPr>
      <w:rFonts w:ascii="Calibri" w:hAnsi="Calibri" w:eastAsia="宋体" w:cs="Times New Roman"/>
    </w:rPr>
  </w:style>
  <w:style w:type="paragraph" w:styleId="25">
    <w:name w:val="toc 6"/>
    <w:basedOn w:val="1"/>
    <w:next w:val="1"/>
    <w:qFormat/>
    <w:uiPriority w:val="0"/>
    <w:pPr>
      <w:ind w:left="2100" w:leftChars="1000"/>
    </w:pPr>
    <w:rPr>
      <w:rFonts w:ascii="Calibri" w:hAnsi="Calibri" w:eastAsia="宋体" w:cs="Times New Roman"/>
    </w:rPr>
  </w:style>
  <w:style w:type="paragraph" w:styleId="26">
    <w:name w:val="toc 2"/>
    <w:basedOn w:val="1"/>
    <w:next w:val="1"/>
    <w:qFormat/>
    <w:uiPriority w:val="0"/>
    <w:pPr>
      <w:ind w:left="420" w:leftChars="200"/>
    </w:pPr>
    <w:rPr>
      <w:rFonts w:ascii="Calibri" w:hAnsi="Calibri" w:eastAsia="宋体" w:cs="Times New Roman"/>
    </w:rPr>
  </w:style>
  <w:style w:type="paragraph" w:styleId="27">
    <w:name w:val="toc 9"/>
    <w:basedOn w:val="1"/>
    <w:next w:val="1"/>
    <w:qFormat/>
    <w:uiPriority w:val="0"/>
    <w:pPr>
      <w:ind w:left="3360" w:leftChars="1600"/>
    </w:pPr>
    <w:rPr>
      <w:rFonts w:ascii="Calibri" w:hAnsi="Calibri" w:eastAsia="宋体" w:cs="Times New Roman"/>
    </w:rPr>
  </w:style>
  <w:style w:type="paragraph" w:styleId="28">
    <w:name w:val="Body Text 2"/>
    <w:basedOn w:val="1"/>
    <w:qFormat/>
    <w:uiPriority w:val="0"/>
    <w:pPr>
      <w:spacing w:line="440" w:lineRule="exact"/>
    </w:pPr>
    <w:rPr>
      <w:rFonts w:ascii="宋体" w:hAnsi="宋体"/>
      <w:color w:val="000000"/>
      <w:kern w:val="0"/>
    </w:rPr>
  </w:style>
  <w:style w:type="paragraph" w:styleId="29">
    <w:name w:val="List Continue 2"/>
    <w:basedOn w:val="1"/>
    <w:qFormat/>
    <w:uiPriority w:val="0"/>
    <w:pPr>
      <w:spacing w:after="120" w:afterLines="0"/>
      <w:ind w:left="840" w:leftChars="400"/>
    </w:pPr>
    <w:rPr>
      <w:rFonts w:ascii="Calibri" w:hAnsi="Calibri" w:eastAsia="宋体" w:cs="Times New Roman"/>
      <w:szCs w:val="20"/>
    </w:rPr>
  </w:style>
  <w:style w:type="paragraph" w:styleId="30">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1">
    <w:name w:val="HTML Preformatted"/>
    <w:basedOn w:val="1"/>
    <w:link w:val="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eastAsia="宋体" w:cs="Arial"/>
      <w:kern w:val="0"/>
      <w:szCs w:val="21"/>
    </w:rPr>
  </w:style>
  <w:style w:type="paragraph" w:styleId="32">
    <w:name w:val="Normal (Web)"/>
    <w:basedOn w:val="1"/>
    <w:qFormat/>
    <w:uiPriority w:val="0"/>
    <w:pPr>
      <w:widowControl/>
      <w:spacing w:before="100" w:beforeLines="0" w:beforeAutospacing="1" w:after="100" w:afterLines="0" w:afterAutospacing="1"/>
      <w:jc w:val="left"/>
    </w:pPr>
    <w:rPr>
      <w:rFonts w:ascii="宋体" w:hAnsi="宋体" w:eastAsia="宋体" w:cs="宋体"/>
      <w:kern w:val="0"/>
      <w:sz w:val="24"/>
    </w:rPr>
  </w:style>
  <w:style w:type="paragraph" w:styleId="33">
    <w:name w:val="Body Text First Indent"/>
    <w:basedOn w:val="11"/>
    <w:qFormat/>
    <w:uiPriority w:val="0"/>
    <w:pPr>
      <w:ind w:firstLine="420" w:firstLineChars="100"/>
    </w:pPr>
    <w:rPr>
      <w:rFonts w:ascii="Calibri" w:hAnsi="Calibri" w:eastAsia="宋体" w:cs="Times New Roman"/>
    </w:rPr>
  </w:style>
  <w:style w:type="paragraph" w:styleId="34">
    <w:name w:val="Body Text First Indent 2"/>
    <w:basedOn w:val="12"/>
    <w:qFormat/>
    <w:uiPriority w:val="0"/>
    <w:pPr>
      <w:adjustRightInd w:val="0"/>
      <w:spacing w:after="80"/>
      <w:textAlignment w:val="baseline"/>
    </w:pPr>
    <w:rPr>
      <w:rFonts w:ascii="宋体" w:hAnsi="宋体"/>
      <w:color w:val="000000"/>
      <w:kern w:val="0"/>
      <w:szCs w:val="20"/>
    </w:rPr>
  </w:style>
  <w:style w:type="table" w:styleId="36">
    <w:name w:val="Table Grid"/>
    <w:basedOn w:val="35"/>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rFonts w:ascii="Calibri" w:hAnsi="Calibri" w:eastAsia="宋体" w:cs="Times New Roman"/>
      <w:b/>
    </w:rPr>
  </w:style>
  <w:style w:type="character" w:styleId="39">
    <w:name w:val="page number"/>
    <w:qFormat/>
    <w:uiPriority w:val="0"/>
    <w:rPr>
      <w:rFonts w:ascii="Calibri" w:hAnsi="Calibri" w:eastAsia="宋体" w:cs="Times New Roman"/>
    </w:rPr>
  </w:style>
  <w:style w:type="character" w:styleId="40">
    <w:name w:val="FollowedHyperlink"/>
    <w:qFormat/>
    <w:uiPriority w:val="0"/>
    <w:rPr>
      <w:rFonts w:ascii="Calibri" w:hAnsi="Calibri" w:eastAsia="宋体" w:cs="Times New Roman"/>
      <w:color w:val="333333"/>
      <w:u w:val="none"/>
    </w:rPr>
  </w:style>
  <w:style w:type="character" w:styleId="41">
    <w:name w:val="Emphasis"/>
    <w:qFormat/>
    <w:uiPriority w:val="0"/>
    <w:rPr>
      <w:rFonts w:ascii="Calibri" w:hAnsi="Calibri" w:eastAsia="宋体" w:cs="Times New Roman"/>
    </w:rPr>
  </w:style>
  <w:style w:type="character" w:styleId="42">
    <w:name w:val="HTML Definition"/>
    <w:qFormat/>
    <w:uiPriority w:val="0"/>
    <w:rPr>
      <w:rFonts w:ascii="Calibri" w:hAnsi="Calibri" w:eastAsia="宋体" w:cs="Times New Roman"/>
      <w:i/>
      <w:sz w:val="20"/>
      <w:szCs w:val="20"/>
    </w:rPr>
  </w:style>
  <w:style w:type="character" w:styleId="43">
    <w:name w:val="HTML Typewriter"/>
    <w:basedOn w:val="37"/>
    <w:qFormat/>
    <w:uiPriority w:val="0"/>
    <w:rPr>
      <w:rFonts w:hint="default" w:ascii="monospace" w:hAnsi="monospace" w:eastAsia="monospace" w:cs="monospace"/>
      <w:sz w:val="20"/>
    </w:rPr>
  </w:style>
  <w:style w:type="character" w:styleId="44">
    <w:name w:val="HTML Acronym"/>
    <w:basedOn w:val="37"/>
    <w:qFormat/>
    <w:uiPriority w:val="0"/>
  </w:style>
  <w:style w:type="character" w:styleId="45">
    <w:name w:val="HTML Variable"/>
    <w:basedOn w:val="37"/>
    <w:qFormat/>
    <w:uiPriority w:val="0"/>
  </w:style>
  <w:style w:type="character" w:styleId="46">
    <w:name w:val="Hyperlink"/>
    <w:qFormat/>
    <w:uiPriority w:val="0"/>
    <w:rPr>
      <w:rFonts w:hint="default" w:ascii="Times New Roman" w:hAnsi="Times New Roman" w:eastAsia="宋体" w:cs="Times New Roman"/>
      <w:color w:val="0000FF"/>
      <w:u w:val="single"/>
    </w:rPr>
  </w:style>
  <w:style w:type="character" w:styleId="47">
    <w:name w:val="HTML Code"/>
    <w:qFormat/>
    <w:uiPriority w:val="0"/>
    <w:rPr>
      <w:rFonts w:ascii="Consolas" w:hAnsi="Consolas" w:eastAsia="Consolas" w:cs="Consolas"/>
      <w:color w:val="C7254E"/>
      <w:sz w:val="21"/>
      <w:szCs w:val="21"/>
      <w:shd w:val="clear" w:color="auto" w:fill="F9F2F4"/>
    </w:rPr>
  </w:style>
  <w:style w:type="character" w:styleId="48">
    <w:name w:val="annotation reference"/>
    <w:qFormat/>
    <w:uiPriority w:val="0"/>
    <w:rPr>
      <w:rFonts w:ascii="Calibri" w:hAnsi="Calibri" w:eastAsia="宋体" w:cs="Times New Roman"/>
      <w:sz w:val="21"/>
      <w:szCs w:val="21"/>
    </w:rPr>
  </w:style>
  <w:style w:type="character" w:styleId="49">
    <w:name w:val="HTML Cite"/>
    <w:basedOn w:val="37"/>
    <w:qFormat/>
    <w:uiPriority w:val="0"/>
  </w:style>
  <w:style w:type="character" w:styleId="50">
    <w:name w:val="HTML Keyboard"/>
    <w:qFormat/>
    <w:uiPriority w:val="0"/>
    <w:rPr>
      <w:rFonts w:hint="default" w:ascii="Consolas" w:hAnsi="Consolas" w:eastAsia="Consolas" w:cs="Consolas"/>
      <w:color w:val="FFFFFF"/>
      <w:sz w:val="21"/>
      <w:szCs w:val="21"/>
      <w:shd w:val="clear" w:color="auto" w:fill="333333"/>
    </w:rPr>
  </w:style>
  <w:style w:type="character" w:styleId="51">
    <w:name w:val="HTML Sample"/>
    <w:qFormat/>
    <w:uiPriority w:val="0"/>
    <w:rPr>
      <w:rFonts w:hint="default" w:ascii="Consolas" w:hAnsi="Consolas" w:eastAsia="Consolas" w:cs="Consolas"/>
      <w:sz w:val="21"/>
      <w:szCs w:val="21"/>
    </w:rPr>
  </w:style>
  <w:style w:type="character" w:customStyle="1" w:styleId="52">
    <w:name w:val="标题 1 字符"/>
    <w:link w:val="2"/>
    <w:qFormat/>
    <w:uiPriority w:val="0"/>
    <w:rPr>
      <w:rFonts w:ascii="Times New Roman" w:hAnsi="Times New Roman" w:eastAsia="宋体" w:cs="Times New Roman"/>
      <w:b/>
      <w:bCs/>
      <w:kern w:val="44"/>
      <w:sz w:val="28"/>
      <w:szCs w:val="44"/>
    </w:rPr>
  </w:style>
  <w:style w:type="character" w:customStyle="1" w:styleId="53">
    <w:name w:val="页脚 字符"/>
    <w:link w:val="20"/>
    <w:qFormat/>
    <w:uiPriority w:val="0"/>
    <w:rPr>
      <w:rFonts w:ascii="Calibri" w:hAnsi="Calibri" w:eastAsia="宋体" w:cs="Times New Roman"/>
      <w:kern w:val="2"/>
      <w:sz w:val="18"/>
    </w:rPr>
  </w:style>
  <w:style w:type="character" w:customStyle="1" w:styleId="54">
    <w:name w:val="页眉 字符"/>
    <w:link w:val="22"/>
    <w:qFormat/>
    <w:uiPriority w:val="0"/>
    <w:rPr>
      <w:rFonts w:ascii="Calibri" w:hAnsi="Calibri" w:eastAsia="宋体" w:cs="Times New Roman"/>
      <w:kern w:val="2"/>
      <w:sz w:val="18"/>
      <w:szCs w:val="18"/>
    </w:rPr>
  </w:style>
  <w:style w:type="character" w:customStyle="1" w:styleId="55">
    <w:name w:val="HTML 预设格式 字符"/>
    <w:link w:val="31"/>
    <w:qFormat/>
    <w:uiPriority w:val="0"/>
    <w:rPr>
      <w:rFonts w:ascii="Arial" w:hAnsi="Arial" w:eastAsia="宋体" w:cs="Arial"/>
      <w:sz w:val="21"/>
      <w:szCs w:val="21"/>
      <w:lang w:val="en-US" w:eastAsia="zh-CN" w:bidi="ar-SA"/>
    </w:rPr>
  </w:style>
  <w:style w:type="paragraph" w:customStyle="1" w:styleId="56">
    <w:name w:val="BodyText"/>
    <w:basedOn w:val="1"/>
    <w:next w:val="1"/>
    <w:qFormat/>
    <w:uiPriority w:val="0"/>
    <w:pPr>
      <w:jc w:val="center"/>
      <w:textAlignment w:val="baseline"/>
    </w:pPr>
  </w:style>
  <w:style w:type="character" w:customStyle="1" w:styleId="57">
    <w:name w:val="button"/>
    <w:qFormat/>
    <w:uiPriority w:val="0"/>
    <w:rPr>
      <w:rFonts w:ascii="Calibri" w:hAnsi="Calibri" w:eastAsia="宋体" w:cs="Times New Roman"/>
    </w:rPr>
  </w:style>
  <w:style w:type="character" w:customStyle="1" w:styleId="58">
    <w:name w:val="glyphicon4"/>
    <w:qFormat/>
    <w:uiPriority w:val="0"/>
    <w:rPr>
      <w:rFonts w:ascii="Calibri" w:hAnsi="Calibri" w:eastAsia="宋体" w:cs="Times New Roman"/>
    </w:rPr>
  </w:style>
  <w:style w:type="character" w:customStyle="1" w:styleId="59">
    <w:name w:val="font71"/>
    <w:qFormat/>
    <w:uiPriority w:val="0"/>
    <w:rPr>
      <w:rFonts w:hint="eastAsia" w:ascii="宋体" w:hAnsi="宋体" w:eastAsia="宋体" w:cs="宋体"/>
      <w:color w:val="000000"/>
      <w:sz w:val="21"/>
      <w:szCs w:val="21"/>
      <w:u w:val="none"/>
    </w:rPr>
  </w:style>
  <w:style w:type="character" w:customStyle="1" w:styleId="60">
    <w:name w:val="font12"/>
    <w:qFormat/>
    <w:uiPriority w:val="0"/>
    <w:rPr>
      <w:rFonts w:hint="eastAsia" w:ascii="宋体" w:hAnsi="宋体" w:eastAsia="宋体" w:cs="宋体"/>
      <w:color w:val="000000"/>
      <w:sz w:val="18"/>
      <w:szCs w:val="18"/>
      <w:u w:val="none"/>
      <w:vertAlign w:val="superscript"/>
    </w:rPr>
  </w:style>
  <w:style w:type="character" w:customStyle="1" w:styleId="61">
    <w:name w:val="hour_am"/>
    <w:qFormat/>
    <w:uiPriority w:val="0"/>
    <w:rPr>
      <w:rFonts w:ascii="Calibri" w:hAnsi="Calibri" w:eastAsia="宋体" w:cs="Times New Roman"/>
    </w:rPr>
  </w:style>
  <w:style w:type="character" w:customStyle="1" w:styleId="62">
    <w:name w:val="font121"/>
    <w:qFormat/>
    <w:uiPriority w:val="0"/>
    <w:rPr>
      <w:rFonts w:hint="default" w:ascii="Times New Roman" w:hAnsi="Times New Roman" w:eastAsia="宋体" w:cs="Times New Roman"/>
      <w:color w:val="000000"/>
      <w:sz w:val="20"/>
      <w:szCs w:val="20"/>
      <w:u w:val="none"/>
    </w:rPr>
  </w:style>
  <w:style w:type="character" w:customStyle="1" w:styleId="63">
    <w:name w:val="indent"/>
    <w:qFormat/>
    <w:uiPriority w:val="0"/>
    <w:rPr>
      <w:rFonts w:ascii="Calibri" w:hAnsi="Calibri" w:eastAsia="宋体" w:cs="Times New Roman"/>
    </w:rPr>
  </w:style>
  <w:style w:type="character" w:customStyle="1" w:styleId="64">
    <w:name w:val="font21"/>
    <w:qFormat/>
    <w:uiPriority w:val="0"/>
    <w:rPr>
      <w:rFonts w:hint="eastAsia" w:ascii="宋体" w:hAnsi="宋体" w:eastAsia="宋体" w:cs="宋体"/>
      <w:color w:val="000000"/>
      <w:sz w:val="18"/>
      <w:szCs w:val="18"/>
      <w:u w:val="none"/>
    </w:rPr>
  </w:style>
  <w:style w:type="character" w:customStyle="1" w:styleId="65">
    <w:name w:val="font11"/>
    <w:qFormat/>
    <w:uiPriority w:val="0"/>
    <w:rPr>
      <w:rFonts w:hint="eastAsia" w:ascii="宋体" w:hAnsi="宋体" w:eastAsia="宋体" w:cs="宋体"/>
      <w:color w:val="000000"/>
      <w:sz w:val="20"/>
      <w:szCs w:val="20"/>
      <w:u w:val="none"/>
    </w:rPr>
  </w:style>
  <w:style w:type="character" w:customStyle="1" w:styleId="66">
    <w:name w:val="font81"/>
    <w:qFormat/>
    <w:uiPriority w:val="0"/>
    <w:rPr>
      <w:rFonts w:hint="eastAsia" w:ascii="宋体" w:hAnsi="宋体" w:eastAsia="宋体" w:cs="宋体"/>
      <w:color w:val="000000"/>
      <w:sz w:val="21"/>
      <w:szCs w:val="21"/>
      <w:u w:val="none"/>
      <w:vertAlign w:val="superscript"/>
    </w:rPr>
  </w:style>
  <w:style w:type="character" w:customStyle="1" w:styleId="67">
    <w:name w:val="font01"/>
    <w:qFormat/>
    <w:uiPriority w:val="0"/>
    <w:rPr>
      <w:rFonts w:hint="eastAsia" w:ascii="宋体" w:hAnsi="宋体" w:eastAsia="宋体" w:cs="宋体"/>
      <w:color w:val="000000"/>
      <w:sz w:val="20"/>
      <w:szCs w:val="20"/>
      <w:u w:val="none"/>
      <w:vertAlign w:val="superscript"/>
    </w:rPr>
  </w:style>
  <w:style w:type="character" w:customStyle="1" w:styleId="68">
    <w:name w:val="hover3"/>
    <w:qFormat/>
    <w:uiPriority w:val="0"/>
    <w:rPr>
      <w:rFonts w:ascii="Calibri" w:hAnsi="Calibri" w:eastAsia="宋体" w:cs="Times New Roman"/>
      <w:shd w:val="clear" w:color="auto" w:fill="EEEEEE"/>
    </w:rPr>
  </w:style>
  <w:style w:type="character" w:customStyle="1" w:styleId="69">
    <w:name w:val="font51"/>
    <w:qFormat/>
    <w:uiPriority w:val="0"/>
    <w:rPr>
      <w:rFonts w:hint="eastAsia" w:ascii="宋体" w:hAnsi="宋体" w:eastAsia="宋体" w:cs="宋体"/>
      <w:color w:val="000000"/>
      <w:sz w:val="18"/>
      <w:szCs w:val="18"/>
      <w:u w:val="none"/>
    </w:rPr>
  </w:style>
  <w:style w:type="character" w:customStyle="1" w:styleId="70">
    <w:name w:val="font41"/>
    <w:qFormat/>
    <w:uiPriority w:val="0"/>
    <w:rPr>
      <w:rFonts w:hint="eastAsia" w:ascii="宋体" w:hAnsi="宋体" w:eastAsia="宋体" w:cs="宋体"/>
      <w:color w:val="000000"/>
      <w:sz w:val="22"/>
      <w:szCs w:val="22"/>
      <w:u w:val="none"/>
    </w:rPr>
  </w:style>
  <w:style w:type="character" w:customStyle="1" w:styleId="71">
    <w:name w:val="hour_pm"/>
    <w:qFormat/>
    <w:uiPriority w:val="0"/>
    <w:rPr>
      <w:rFonts w:ascii="Calibri" w:hAnsi="Calibri" w:eastAsia="宋体" w:cs="Times New Roman"/>
    </w:rPr>
  </w:style>
  <w:style w:type="character" w:customStyle="1" w:styleId="72">
    <w:name w:val="old"/>
    <w:qFormat/>
    <w:uiPriority w:val="0"/>
    <w:rPr>
      <w:rFonts w:ascii="Calibri" w:hAnsi="Calibri" w:eastAsia="宋体" w:cs="Times New Roman"/>
      <w:color w:val="999999"/>
    </w:rPr>
  </w:style>
  <w:style w:type="character" w:customStyle="1" w:styleId="73">
    <w:name w:val="font61"/>
    <w:qFormat/>
    <w:uiPriority w:val="0"/>
    <w:rPr>
      <w:rFonts w:hint="eastAsia" w:ascii="宋体" w:hAnsi="宋体" w:eastAsia="宋体" w:cs="宋体"/>
      <w:b/>
      <w:color w:val="000000"/>
      <w:sz w:val="20"/>
      <w:szCs w:val="20"/>
      <w:u w:val="none"/>
    </w:rPr>
  </w:style>
  <w:style w:type="character" w:customStyle="1" w:styleId="74">
    <w:name w:val="font101"/>
    <w:qFormat/>
    <w:uiPriority w:val="0"/>
    <w:rPr>
      <w:rFonts w:ascii="华文中宋" w:hAnsi="华文中宋" w:eastAsia="华文中宋" w:cs="华文中宋"/>
      <w:color w:val="000000"/>
      <w:sz w:val="21"/>
      <w:szCs w:val="21"/>
      <w:u w:val="none"/>
      <w:vertAlign w:val="superscript"/>
    </w:rPr>
  </w:style>
  <w:style w:type="character" w:customStyle="1" w:styleId="75">
    <w:name w:val="tmpztreemove_arrow"/>
    <w:qFormat/>
    <w:uiPriority w:val="0"/>
    <w:rPr>
      <w:rFonts w:ascii="Calibri" w:hAnsi="Calibri" w:eastAsia="宋体" w:cs="Times New Roman"/>
      <w:shd w:val="clear" w:color="auto" w:fill="FFFFFF"/>
    </w:rPr>
  </w:style>
  <w:style w:type="character" w:customStyle="1" w:styleId="76">
    <w:name w:val="font31"/>
    <w:qFormat/>
    <w:uiPriority w:val="0"/>
    <w:rPr>
      <w:rFonts w:hint="eastAsia" w:ascii="宋体" w:hAnsi="宋体" w:eastAsia="宋体" w:cs="宋体"/>
      <w:color w:val="000000"/>
      <w:sz w:val="22"/>
      <w:szCs w:val="22"/>
      <w:u w:val="none"/>
    </w:rPr>
  </w:style>
  <w:style w:type="character" w:customStyle="1" w:styleId="77">
    <w:name w:val="正文1"/>
    <w:qFormat/>
    <w:uiPriority w:val="0"/>
    <w:rPr>
      <w:rFonts w:hint="eastAsia" w:ascii="宋体" w:hAnsi="宋体" w:eastAsia="宋体" w:cs="Times New Roman"/>
      <w:sz w:val="22"/>
      <w:szCs w:val="22"/>
    </w:rPr>
  </w:style>
  <w:style w:type="paragraph" w:customStyle="1" w:styleId="78">
    <w:name w:val="WPSOffice手动目录 1"/>
    <w:qFormat/>
    <w:uiPriority w:val="0"/>
    <w:rPr>
      <w:rFonts w:ascii="Calibri" w:hAnsi="Calibri" w:eastAsia="宋体" w:cs="Times New Roman"/>
      <w:lang w:val="en-US" w:eastAsia="zh-CN" w:bidi="ar-SA"/>
    </w:rPr>
  </w:style>
  <w:style w:type="paragraph" w:customStyle="1" w:styleId="79">
    <w:name w:val="_Style 7"/>
    <w:basedOn w:val="1"/>
    <w:qFormat/>
    <w:uiPriority w:val="0"/>
    <w:pPr>
      <w:ind w:firstLine="420" w:firstLineChars="200"/>
    </w:pPr>
    <w:rPr>
      <w:rFonts w:ascii="Calibri" w:hAnsi="Calibri" w:eastAsia="宋体" w:cs="Times New Roman"/>
    </w:rPr>
  </w:style>
  <w:style w:type="paragraph" w:customStyle="1" w:styleId="80">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81">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82">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83">
    <w:name w:val="_Style 3"/>
    <w:basedOn w:val="2"/>
    <w:next w:val="1"/>
    <w:qFormat/>
    <w:uiPriority w:val="0"/>
    <w:pPr>
      <w:widowControl/>
      <w:spacing w:before="480" w:after="0" w:line="276" w:lineRule="auto"/>
      <w:jc w:val="left"/>
      <w:outlineLvl w:val="9"/>
    </w:pPr>
    <w:rPr>
      <w:rFonts w:ascii="Cambria" w:hAnsi="Cambria" w:eastAsia="宋体" w:cs="Times New Roman"/>
      <w:color w:val="365F91"/>
      <w:kern w:val="0"/>
      <w:szCs w:val="28"/>
    </w:rPr>
  </w:style>
  <w:style w:type="paragraph" w:customStyle="1" w:styleId="84">
    <w:name w:val="_Style 1"/>
    <w:basedOn w:val="1"/>
    <w:qFormat/>
    <w:uiPriority w:val="0"/>
    <w:pPr>
      <w:adjustRightInd/>
      <w:spacing w:line="240" w:lineRule="auto"/>
      <w:ind w:firstLine="420" w:firstLineChars="200"/>
      <w:textAlignment w:val="auto"/>
    </w:pPr>
    <w:rPr>
      <w:rFonts w:ascii="Abadi MT Condensed Light" w:hAnsi="Abadi MT Condensed Light" w:eastAsia="仿宋_GB2312" w:cs="Times New Roman"/>
      <w:kern w:val="2"/>
      <w:sz w:val="10"/>
    </w:rPr>
  </w:style>
  <w:style w:type="paragraph" w:customStyle="1" w:styleId="85">
    <w:name w:val="Char Char Char Char"/>
    <w:basedOn w:val="1"/>
    <w:qFormat/>
    <w:uiPriority w:val="0"/>
    <w:rPr>
      <w:rFonts w:ascii="Calibri" w:hAnsi="Calibri" w:eastAsia="宋体" w:cs="Times New Roman"/>
    </w:rPr>
  </w:style>
  <w:style w:type="paragraph" w:customStyle="1" w:styleId="86">
    <w:name w:val="表内文字1"/>
    <w:basedOn w:val="16"/>
    <w:qFormat/>
    <w:uiPriority w:val="0"/>
    <w:pPr>
      <w:adjustRightInd w:val="0"/>
      <w:snapToGrid w:val="0"/>
      <w:spacing w:before="78" w:beforeLines="25" w:line="300" w:lineRule="auto"/>
      <w:jc w:val="center"/>
    </w:pPr>
    <w:rPr>
      <w:rFonts w:ascii="Times New Roman" w:hAnsi="Times New Roman" w:eastAsia="宋体" w:cs="Courier New"/>
      <w:snapToGrid w:val="0"/>
      <w:spacing w:val="10"/>
      <w:kern w:val="0"/>
      <w:sz w:val="24"/>
      <w:szCs w:val="21"/>
    </w:rPr>
  </w:style>
  <w:style w:type="paragraph" w:customStyle="1" w:styleId="87">
    <w:name w:val="p0"/>
    <w:basedOn w:val="1"/>
    <w:qFormat/>
    <w:uiPriority w:val="0"/>
    <w:rPr>
      <w:rFonts w:ascii="Calibri" w:hAnsi="Calibri" w:eastAsia="宋体" w:cs="Times New Roman"/>
      <w:kern w:val="0"/>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eastAsia="宋体" w:cs="宋体"/>
      <w:b w:val="0"/>
      <w:bCs w:val="0"/>
      <w:sz w:val="28"/>
      <w:szCs w:val="20"/>
    </w:rPr>
  </w:style>
  <w:style w:type="paragraph" w:customStyle="1" w:styleId="89">
    <w:name w:val="样式 标题 3 + (中文) 黑体 小四 非加粗 段前: 7.8 磅 段后: 0 磅 行距: 固定值 20 磅"/>
    <w:basedOn w:val="4"/>
    <w:qFormat/>
    <w:uiPriority w:val="0"/>
    <w:pPr>
      <w:spacing w:before="0" w:beforeLines="0" w:after="0" w:afterLines="0" w:line="400" w:lineRule="exact"/>
    </w:pPr>
    <w:rPr>
      <w:rFonts w:ascii="Calibri" w:hAnsi="Calibri" w:eastAsia="黑体" w:cs="宋体"/>
      <w:b w:val="0"/>
      <w:bCs w:val="0"/>
      <w:sz w:val="24"/>
      <w:szCs w:val="20"/>
    </w:rPr>
  </w:style>
  <w:style w:type="paragraph" w:customStyle="1" w:styleId="90">
    <w:name w:val="表内文字"/>
    <w:basedOn w:val="16"/>
    <w:qFormat/>
    <w:uiPriority w:val="0"/>
    <w:pPr>
      <w:adjustRightInd w:val="0"/>
      <w:snapToGrid w:val="0"/>
      <w:spacing w:before="78" w:beforeLines="25"/>
      <w:jc w:val="center"/>
    </w:pPr>
    <w:rPr>
      <w:rFonts w:ascii="Times New Roman" w:hAnsi="Times New Roman" w:eastAsia="宋体" w:cs="Times New Roman"/>
      <w:snapToGrid w:val="0"/>
      <w:spacing w:val="10"/>
      <w:kern w:val="0"/>
      <w:sz w:val="24"/>
      <w:szCs w:val="24"/>
    </w:rPr>
  </w:style>
  <w:style w:type="paragraph" w:customStyle="1" w:styleId="9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92">
    <w:name w:val="List Paragraph"/>
    <w:basedOn w:val="1"/>
    <w:qFormat/>
    <w:uiPriority w:val="0"/>
    <w:pPr>
      <w:ind w:firstLine="420" w:firstLineChars="200"/>
    </w:pPr>
    <w:rPr>
      <w:rFonts w:ascii="Calibri" w:hAnsi="Calibri" w:eastAsia="宋体" w:cs="Times New Roman"/>
    </w:rPr>
  </w:style>
  <w:style w:type="paragraph" w:customStyle="1" w:styleId="93">
    <w:name w:val="MessageHeader"/>
    <w:basedOn w:val="1"/>
    <w:next w:val="56"/>
    <w:qFormat/>
    <w:uiPriority w:val="0"/>
    <w:pPr>
      <w:pBdr>
        <w:top w:val="none" w:color="000000" w:sz="0" w:space="1"/>
        <w:left w:val="none" w:color="000000" w:sz="0" w:space="1"/>
        <w:bottom w:val="none" w:color="000000" w:sz="0" w:space="1"/>
        <w:right w:val="none" w:color="000000" w:sz="0" w:space="1"/>
      </w:pBdr>
      <w:snapToGrid w:val="0"/>
      <w:spacing w:line="360" w:lineRule="auto"/>
      <w:jc w:val="both"/>
      <w:textAlignment w:val="baseline"/>
    </w:pPr>
    <w:rPr>
      <w:rFonts w:ascii="Arial" w:hAnsi="Arial"/>
      <w:kern w:val="2"/>
      <w:sz w:val="28"/>
      <w:lang w:val="en-US" w:eastAsia="zh-CN" w:bidi="ar-SA"/>
    </w:rPr>
  </w:style>
  <w:style w:type="paragraph" w:customStyle="1" w:styleId="94">
    <w:name w:val="彩色列表 - 着色 11"/>
    <w:basedOn w:val="1"/>
    <w:qFormat/>
    <w:uiPriority w:val="0"/>
    <w:pPr>
      <w:ind w:firstLine="420" w:firstLineChars="200"/>
    </w:pPr>
    <w:rPr>
      <w:rFonts w:ascii="Calibri" w:hAnsi="Calibri" w:eastAsia="宋体" w:cs="Times New Roman"/>
      <w:szCs w:val="22"/>
    </w:rPr>
  </w:style>
  <w:style w:type="paragraph" w:customStyle="1" w:styleId="95">
    <w:name w:val="Table Paragraph"/>
    <w:basedOn w:val="1"/>
    <w:qFormat/>
    <w:uiPriority w:val="0"/>
    <w:rPr>
      <w:rFonts w:ascii="PMingLiU" w:hAnsi="PMingLiU" w:eastAsia="PMingLiU" w:cs="PMingLiU"/>
      <w:lang w:val="zh-CN" w:eastAsia="zh-CN" w:bidi="zh-CN"/>
    </w:rPr>
  </w:style>
  <w:style w:type="paragraph" w:customStyle="1" w:styleId="96">
    <w:name w:val="BodyText1I2"/>
    <w:basedOn w:val="97"/>
    <w:qFormat/>
    <w:uiPriority w:val="0"/>
    <w:pPr>
      <w:spacing w:after="0"/>
      <w:ind w:left="0" w:leftChars="0" w:firstLine="420"/>
    </w:pPr>
    <w:rPr>
      <w:rFonts w:ascii="宋体" w:hAnsi="Calibri"/>
      <w:szCs w:val="20"/>
    </w:rPr>
  </w:style>
  <w:style w:type="paragraph" w:customStyle="1" w:styleId="97">
    <w:name w:val="BodyTextIndent"/>
    <w:basedOn w:val="1"/>
    <w:qFormat/>
    <w:uiPriority w:val="0"/>
    <w:pPr>
      <w:spacing w:after="120" w:line="360" w:lineRule="auto"/>
      <w:ind w:left="420" w:leftChars="200" w:firstLine="200" w:firstLineChars="200"/>
    </w:pPr>
    <w:rPr>
      <w:rFonts w:ascii="Arial" w:hAnsi="Arial"/>
      <w:sz w:val="24"/>
    </w:rPr>
  </w:style>
  <w:style w:type="paragraph" w:customStyle="1" w:styleId="98">
    <w:name w:val="09正文_wh"/>
    <w:next w:val="1"/>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99">
    <w:name w:val="正文_2_0"/>
    <w:next w:val="10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0">
    <w:name w:val="正文文本_2"/>
    <w:basedOn w:val="99"/>
    <w:next w:val="99"/>
    <w:qFormat/>
    <w:uiPriority w:val="1"/>
    <w:pPr>
      <w:ind w:firstLine="0" w:firstLineChars="0"/>
    </w:pPr>
    <w:rPr>
      <w:rFonts w:cs="Times New Roman"/>
      <w:kern w:val="0"/>
      <w:lang w:val="zh-CN"/>
    </w:rPr>
  </w:style>
  <w:style w:type="paragraph" w:customStyle="1" w:styleId="101">
    <w:name w:val="正文文本_1"/>
    <w:basedOn w:val="99"/>
    <w:unhideWhenUsed/>
    <w:qFormat/>
    <w:uiPriority w:val="0"/>
    <w:pPr>
      <w:widowControl/>
      <w:spacing w:after="160"/>
      <w:jc w:val="left"/>
    </w:pPr>
    <w:rPr>
      <w:rFonts w:ascii="宋体" w:hAnsi="宋体" w:cs="宋体"/>
      <w:kern w:val="0"/>
      <w:sz w:val="24"/>
      <w:szCs w:val="24"/>
      <w:lang w:val="zh-CN" w:bidi="zh-CN"/>
    </w:rPr>
  </w:style>
  <w:style w:type="paragraph" w:customStyle="1" w:styleId="102">
    <w:name w:val="正文_1_0"/>
    <w:next w:val="10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3">
    <w:name w:val="正文文本_1_0"/>
    <w:basedOn w:val="102"/>
    <w:unhideWhenUsed/>
    <w:qFormat/>
    <w:uiPriority w:val="0"/>
    <w:pPr>
      <w:widowControl/>
      <w:spacing w:after="160"/>
      <w:jc w:val="left"/>
    </w:pPr>
    <w:rPr>
      <w:rFonts w:ascii="宋体" w:hAnsi="宋体" w:cs="宋体"/>
      <w:kern w:val="0"/>
      <w:sz w:val="24"/>
      <w:szCs w:val="24"/>
      <w:lang w:val="zh-CN" w:bidi="zh-CN"/>
    </w:rPr>
  </w:style>
  <w:style w:type="paragraph" w:customStyle="1" w:styleId="104">
    <w:name w:val="目录"/>
    <w:basedOn w:val="1"/>
    <w:qFormat/>
    <w:uiPriority w:val="0"/>
    <w:pPr>
      <w:spacing w:line="540" w:lineRule="exact"/>
      <w:ind w:left="53" w:firstLine="560" w:firstLineChars="200"/>
    </w:pPr>
    <w:rPr>
      <w:rFonts w:eastAsia="仿宋_GB2312"/>
      <w:sz w:val="28"/>
      <w:szCs w:val="28"/>
    </w:rPr>
  </w:style>
  <w:style w:type="paragraph" w:customStyle="1" w:styleId="105">
    <w:name w:val="正文_3"/>
    <w:next w:val="106"/>
    <w:qFormat/>
    <w:uiPriority w:val="0"/>
    <w:pPr>
      <w:widowControl w:val="0"/>
      <w:spacing w:line="360" w:lineRule="auto"/>
      <w:ind w:firstLine="420" w:firstLineChars="200"/>
      <w:jc w:val="both"/>
    </w:pPr>
    <w:rPr>
      <w:rFonts w:ascii="Times New Roman" w:hAnsi="Times New Roman" w:eastAsia="宋体" w:cs="思源宋体 CN Light"/>
      <w:kern w:val="2"/>
      <w:sz w:val="21"/>
      <w:szCs w:val="24"/>
      <w:lang w:val="en-US" w:eastAsia="zh-CN" w:bidi="ar-SA"/>
    </w:rPr>
  </w:style>
  <w:style w:type="paragraph" w:customStyle="1" w:styleId="106">
    <w:name w:val="样式 首行缩进:  2 字符_1"/>
    <w:basedOn w:val="105"/>
    <w:qFormat/>
    <w:uiPriority w:val="0"/>
    <w:pPr>
      <w:ind w:firstLine="480"/>
    </w:pPr>
    <w:rPr>
      <w:rFonts w:ascii="Calibri" w:hAnsi="Calibri" w:cs="宋体"/>
      <w:color w:val="000000"/>
      <w:szCs w:val="20"/>
    </w:rPr>
  </w:style>
  <w:style w:type="paragraph" w:customStyle="1" w:styleId="107">
    <w:name w:val="正文(1)"/>
    <w:basedOn w:val="1"/>
    <w:qFormat/>
    <w:uiPriority w:val="0"/>
    <w:pPr>
      <w:numPr>
        <w:ilvl w:val="0"/>
        <w:numId w:val="1"/>
      </w:numPr>
      <w:ind w:firstLine="200"/>
    </w:pPr>
    <w:rPr>
      <w:b/>
    </w:rPr>
  </w:style>
  <w:style w:type="paragraph" w:customStyle="1" w:styleId="108">
    <w:name w:val="Heading4"/>
    <w:basedOn w:val="1"/>
    <w:next w:val="1"/>
    <w:qFormat/>
    <w:uiPriority w:val="0"/>
    <w:pPr>
      <w:keepNext/>
      <w:spacing w:line="600" w:lineRule="exact"/>
      <w:jc w:val="center"/>
    </w:pPr>
    <w:rPr>
      <w:rFonts w:ascii="楷体_GB2312" w:hAnsi="Times New Roman" w:eastAsia="楷体_GB2312"/>
      <w:sz w:val="32"/>
      <w:szCs w:val="32"/>
    </w:rPr>
  </w:style>
  <w:style w:type="character" w:customStyle="1" w:styleId="109">
    <w:name w:val="NormalCharacter"/>
    <w:qFormat/>
    <w:uiPriority w:val="0"/>
    <w:rPr>
      <w:rFonts w:ascii="Calibri Light" w:hAnsi="Calibri Light" w:eastAsia="华文仿宋" w:cs="Calibri Light"/>
      <w:kern w:val="2"/>
      <w:sz w:val="28"/>
      <w:szCs w:val="28"/>
      <w:lang w:val="en-US" w:eastAsia="zh-CN" w:bidi="ar-SA"/>
    </w:rPr>
  </w:style>
  <w:style w:type="paragraph" w:customStyle="1" w:styleId="110">
    <w:name w:val="正文缩进1"/>
    <w:basedOn w:val="1"/>
    <w:qFormat/>
    <w:uiPriority w:val="0"/>
    <w:pPr>
      <w:ind w:firstLine="420" w:firstLineChars="200"/>
    </w:pPr>
  </w:style>
  <w:style w:type="character" w:customStyle="1" w:styleId="111">
    <w:name w:val="font171"/>
    <w:basedOn w:val="37"/>
    <w:qFormat/>
    <w:uiPriority w:val="0"/>
    <w:rPr>
      <w:rFonts w:ascii="Arial" w:hAnsi="Arial" w:cs="Arial"/>
      <w:color w:val="333333"/>
      <w:sz w:val="20"/>
      <w:szCs w:val="20"/>
      <w:u w:val="none"/>
    </w:rPr>
  </w:style>
  <w:style w:type="character" w:customStyle="1" w:styleId="112">
    <w:name w:val="font151"/>
    <w:basedOn w:val="37"/>
    <w:qFormat/>
    <w:uiPriority w:val="0"/>
    <w:rPr>
      <w:rFonts w:hint="eastAsia" w:ascii="宋体" w:hAnsi="宋体" w:eastAsia="宋体" w:cs="宋体"/>
      <w:color w:val="333333"/>
      <w:sz w:val="20"/>
      <w:szCs w:val="20"/>
      <w:u w:val="none"/>
    </w:rPr>
  </w:style>
  <w:style w:type="paragraph" w:customStyle="1" w:styleId="11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14">
    <w:name w:val="列出段落1"/>
    <w:basedOn w:val="1"/>
    <w:qFormat/>
    <w:uiPriority w:val="34"/>
    <w:pPr>
      <w:ind w:firstLine="420" w:firstLineChars="200"/>
    </w:pPr>
  </w:style>
  <w:style w:type="table" w:customStyle="1" w:styleId="115">
    <w:name w:val="Table Normal"/>
    <w:unhideWhenUsed/>
    <w:qFormat/>
    <w:uiPriority w:val="0"/>
    <w:tblPr>
      <w:tblCellMar>
        <w:top w:w="0" w:type="dxa"/>
        <w:left w:w="0" w:type="dxa"/>
        <w:bottom w:w="0" w:type="dxa"/>
        <w:right w:w="0" w:type="dxa"/>
      </w:tblCellMar>
    </w:tblPr>
  </w:style>
  <w:style w:type="paragraph" w:customStyle="1" w:styleId="116">
    <w:name w:val="Table Text"/>
    <w:basedOn w:val="1"/>
    <w:semiHidden/>
    <w:qFormat/>
    <w:uiPriority w:val="0"/>
    <w:rPr>
      <w:rFonts w:ascii="Times New Roman" w:hAnsi="Times New Roman" w:eastAsia="Times New Roman" w:cs="Times New Roman"/>
      <w:sz w:val="22"/>
      <w:szCs w:val="22"/>
      <w:lang w:val="en-US" w:eastAsia="en-US" w:bidi="ar-SA"/>
    </w:rPr>
  </w:style>
  <w:style w:type="character" w:customStyle="1" w:styleId="117">
    <w:name w:val="标题 2 Char"/>
    <w:link w:val="3"/>
    <w:qFormat/>
    <w:uiPriority w:val="0"/>
    <w:rPr>
      <w:rFonts w:ascii="Arial" w:hAnsi="Arial" w:eastAsia="宋体" w:cs="Times New Roman"/>
      <w:b/>
      <w:bCs/>
      <w:sz w:val="28"/>
      <w:szCs w:val="32"/>
    </w:rPr>
  </w:style>
  <w:style w:type="paragraph" w:customStyle="1" w:styleId="1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116</Pages>
  <Words>25153</Words>
  <Characters>26940</Characters>
  <Lines>425</Lines>
  <Paragraphs>119</Paragraphs>
  <TotalTime>4</TotalTime>
  <ScaleCrop>false</ScaleCrop>
  <LinksUpToDate>false</LinksUpToDate>
  <CharactersWithSpaces>28963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2016-12-15T15:01:00Z</dcterms:created>
  <dc:creator>wangchao</dc:creator>
  <cp:lastModifiedBy>云深不知处</cp:lastModifiedBy>
  <cp:lastPrinted>2026-02-09T01:53:00Z</cp:lastPrinted>
  <dcterms:modified xsi:type="dcterms:W3CDTF">2026-07-30T05:47:24Z</dcterms:modified>
  <dc:title>陕西延长石油（集团）有限责任公司油煤新技术开发公司安全评估项目</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DDDEDBEDBED945CABDEF4A0BF3B1EE4E_13</vt:lpwstr>
  </property>
  <property fmtid="{D5CDD505-2E9C-101B-9397-08002B2CF9AE}" pid="4" name="KSOTemplateDocerSaveRecord">
    <vt:lpwstr>eyJoZGlkIjoiYjQ1MmM1YjFkMzFlY2UyMWU4ODZlY2M1YzBiYzcxMmYiLCJ1c2VySWQiOiI3NzYzNzEwMDkifQ==</vt:lpwstr>
  </property>
</Properties>
</file>