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版本号：SXKK2026-CS10420260609002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校舍维修改造项目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SXKK2026-CS104</w:t>
      </w:r>
      <w:r>
        <w:br/>
      </w:r>
      <w:r>
        <w:br/>
      </w:r>
      <w:r>
        <w:br/>
      </w:r>
    </w:p>
    <w:p>
      <w:pPr>
        <w:pStyle w:val="null3"/>
        <w:jc w:val="center"/>
        <w:outlineLvl w:val="2"/>
      </w:pPr>
      <w:r>
        <w:rPr>
          <w:rFonts w:ascii="仿宋_GB2312" w:hAnsi="仿宋_GB2312" w:cs="仿宋_GB2312" w:eastAsia="仿宋_GB2312"/>
          <w:sz w:val="28"/>
          <w:b/>
        </w:rPr>
        <w:t>西安师范附属小学</w:t>
      </w:r>
    </w:p>
    <w:p>
      <w:pPr>
        <w:pStyle w:val="null3"/>
        <w:jc w:val="center"/>
        <w:outlineLvl w:val="2"/>
      </w:pPr>
      <w:r>
        <w:rPr>
          <w:rFonts w:ascii="仿宋_GB2312" w:hAnsi="仿宋_GB2312" w:cs="仿宋_GB2312" w:eastAsia="仿宋_GB2312"/>
          <w:sz w:val="28"/>
          <w:b/>
        </w:rPr>
        <w:t>陕西凯坤项目管理咨询有限公司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陕西凯坤项目管理咨询有限公司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西安师范附属小学</w:t>
      </w:r>
      <w:r>
        <w:rPr>
          <w:rFonts w:ascii="仿宋_GB2312" w:hAnsi="仿宋_GB2312" w:cs="仿宋_GB2312" w:eastAsia="仿宋_GB2312"/>
        </w:rPr>
        <w:t>委托，拟对</w:t>
      </w:r>
      <w:r>
        <w:rPr>
          <w:rFonts w:ascii="仿宋_GB2312" w:hAnsi="仿宋_GB2312" w:cs="仿宋_GB2312" w:eastAsia="仿宋_GB2312"/>
        </w:rPr>
        <w:t>校舍维修改造项目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SXKK2026-CS104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校舍维修改造项目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陕西省西安师范附属小学校舍维修改造项目，具体内容详见工程量清单及竞争性磋商文件。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采购包1（校舍维修改造项目）：属于专门面向中小企业采购。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2025年任一年度经审计的财务审计报告(成立时间至提交磋商响应文件截止时间不足年的可提供成立后任意时段的资产负债表)或开标前6个月内其基本开户银行出具的资信证明。供应商需在项目电子化交易系统中按要求上传相应证明文件并进行电子签章；</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供应商具备建设行政主管部门颁发的建筑装修装饰工程专业承包二级及以上资质；同时具有合格有效的安全生产许可证。供应商需在项目电子化交易系统中按要求上传相应证明文件并进行电子签章；</w:t>
      </w:r>
    </w:p>
    <w:p>
      <w:pPr>
        <w:pStyle w:val="null3"/>
      </w:pPr>
      <w:r>
        <w:rPr>
          <w:rFonts w:ascii="仿宋_GB2312" w:hAnsi="仿宋_GB2312" w:cs="仿宋_GB2312" w:eastAsia="仿宋_GB2312"/>
        </w:rPr>
        <w:t>9、拟派项目负责人要求：证书等级：二级及以上注册建造师证书专业：建筑工程补充说明：同时具备有效期内的安全生产考核合格证书（安B证），且无在建项目（提供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西安师范附属小学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陕西省西安市碑林区书院门123号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陕西省西安师范附属小学胡朝辉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029-87277280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陕西凯坤项目管理咨询有限公司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陕西省西安市沣东新城三桥新街630号搜宝中心1幢11406室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029-68322062转609/17868498956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采购包1：389,999.62元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银行户名：陕西凯坤项目管理咨询有限公司开户行：中国建设银行股份有限公司西安劳动北路支行账号：61050174390000000683 联系电话：029-68322062转609/17868498956</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西安师范附属小学</w:t>
      </w:r>
      <w:r>
        <w:rPr>
          <w:rFonts w:ascii="仿宋_GB2312" w:hAnsi="仿宋_GB2312" w:cs="仿宋_GB2312" w:eastAsia="仿宋_GB2312"/>
        </w:rPr>
        <w:t>和</w:t>
      </w:r>
      <w:r>
        <w:rPr>
          <w:rFonts w:ascii="仿宋_GB2312" w:hAnsi="仿宋_GB2312" w:cs="仿宋_GB2312" w:eastAsia="仿宋_GB2312"/>
        </w:rPr>
        <w:t>陕西凯坤项目管理咨询有限公司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西安师范附属小学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陕西凯坤项目管理咨询有限公司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西安师范附属小学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陕西凯坤项目管理咨询有限公司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陕西凯坤项目管理咨询有限公司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陕西凯坤项目管理咨询有限公司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陕西凯坤项目管理咨询有限公司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联系人：白工</w:t>
      </w:r>
    </w:p>
    <w:p>
      <w:pPr>
        <w:pStyle w:val="null3"/>
      </w:pPr>
      <w:r>
        <w:rPr>
          <w:rFonts w:ascii="仿宋_GB2312" w:hAnsi="仿宋_GB2312" w:cs="仿宋_GB2312" w:eastAsia="仿宋_GB2312"/>
        </w:rPr>
        <w:t>联系电话：029-68322062转609</w:t>
      </w:r>
    </w:p>
    <w:p>
      <w:pPr>
        <w:pStyle w:val="null3"/>
      </w:pPr>
      <w:r>
        <w:rPr>
          <w:rFonts w:ascii="仿宋_GB2312" w:hAnsi="仿宋_GB2312" w:cs="仿宋_GB2312" w:eastAsia="仿宋_GB2312"/>
        </w:rPr>
        <w:t>地址：陕西省西安市沣东新城三桥新街630号搜宝中心1幢11406室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389,999.62</w:t>
      </w:r>
    </w:p>
    <w:p>
      <w:pPr>
        <w:pStyle w:val="null3"/>
      </w:pPr>
      <w:r>
        <w:rPr>
          <w:rFonts w:ascii="仿宋_GB2312" w:hAnsi="仿宋_GB2312" w:cs="仿宋_GB2312" w:eastAsia="仿宋_GB2312"/>
        </w:rPr>
        <w:t>采购包最高限价（元）: 389,999.62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校舍维修改造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389,999.62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标的名称：校舍维修改造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工程</w:t>
            </w:r>
            <w:r>
              <w:rPr>
                <w:rFonts w:ascii="仿宋_GB2312" w:hAnsi="仿宋_GB2312" w:cs="仿宋_GB2312" w:eastAsia="仿宋_GB2312"/>
                <w:sz w:val="21"/>
              </w:rPr>
              <w:t>概况</w:t>
            </w:r>
          </w:p>
          <w:p>
            <w:pPr>
              <w:pStyle w:val="null3"/>
              <w:jc w:val="both"/>
            </w:pPr>
            <w:r>
              <w:rPr>
                <w:rFonts w:ascii="仿宋_GB2312" w:hAnsi="仿宋_GB2312" w:cs="仿宋_GB2312" w:eastAsia="仿宋_GB2312"/>
                <w:sz w:val="21"/>
              </w:rPr>
              <w:t>1、工程名称：</w:t>
            </w:r>
            <w:r>
              <w:rPr>
                <w:rFonts w:ascii="仿宋_GB2312" w:hAnsi="仿宋_GB2312" w:cs="仿宋_GB2312" w:eastAsia="仿宋_GB2312"/>
                <w:sz w:val="21"/>
              </w:rPr>
              <w:t>陕西省西安师范附属小学校舍维修改造项目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工程地点：</w:t>
            </w:r>
            <w:r>
              <w:rPr>
                <w:rFonts w:ascii="仿宋_GB2312" w:hAnsi="仿宋_GB2312" w:cs="仿宋_GB2312" w:eastAsia="仿宋_GB2312"/>
                <w:sz w:val="21"/>
              </w:rPr>
              <w:t>陕西省西安</w:t>
            </w:r>
            <w:r>
              <w:rPr>
                <w:rFonts w:ascii="仿宋_GB2312" w:hAnsi="仿宋_GB2312" w:cs="仿宋_GB2312" w:eastAsia="仿宋_GB2312"/>
                <w:sz w:val="21"/>
              </w:rPr>
              <w:t>市碑林区书院门</w:t>
            </w:r>
            <w:r>
              <w:rPr>
                <w:rFonts w:ascii="仿宋_GB2312" w:hAnsi="仿宋_GB2312" w:cs="仿宋_GB2312" w:eastAsia="仿宋_GB2312"/>
                <w:sz w:val="21"/>
              </w:rPr>
              <w:t>123号。</w:t>
            </w:r>
          </w:p>
          <w:p>
            <w:pPr>
              <w:pStyle w:val="null3"/>
              <w:jc w:val="both"/>
            </w:pPr>
            <w:r>
              <w:rPr>
                <w:rFonts w:ascii="仿宋_GB2312" w:hAnsi="仿宋_GB2312" w:cs="仿宋_GB2312" w:eastAsia="仿宋_GB2312"/>
                <w:sz w:val="21"/>
              </w:rPr>
              <w:t>3、主要建设内容：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1）厨房地面砖、墙面砖、吊顶、地面排水沟、屋面板、屋面排水沟及门窗改造，墙体开裂加固处理，厨房隔断改造，窗洞封堵，给排水管道及电气改造；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2）厨房管理用房地面、墙面、天棚改造，门窗改造以及置物架、文件柜制作安装；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3）餐厅及楼梯间天棚、墙面改造，餐厅地面漏水维修，水池柜门更换，窗户加装窗纱；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4）主教学楼楼梯间、走廊墙面、天棚粉刷改造以及教室照明改造。</w:t>
            </w:r>
          </w:p>
          <w:p>
            <w:pPr>
              <w:pStyle w:val="null3"/>
              <w:jc w:val="both"/>
            </w:pPr>
            <w:r>
              <w:rPr>
                <w:rFonts w:ascii="仿宋_GB2312" w:hAnsi="仿宋_GB2312" w:cs="仿宋_GB2312" w:eastAsia="仿宋_GB2312"/>
                <w:sz w:val="21"/>
              </w:rPr>
              <w:t>未尽之处详见工程量清单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工期：</w:t>
            </w:r>
            <w:r>
              <w:rPr>
                <w:rFonts w:ascii="仿宋_GB2312" w:hAnsi="仿宋_GB2312" w:cs="仿宋_GB2312" w:eastAsia="仿宋_GB2312"/>
                <w:sz w:val="21"/>
              </w:rPr>
              <w:t>自合同签订之日起</w:t>
            </w:r>
            <w:r>
              <w:rPr>
                <w:rFonts w:ascii="仿宋_GB2312" w:hAnsi="仿宋_GB2312" w:cs="仿宋_GB2312" w:eastAsia="仿宋_GB2312"/>
                <w:sz w:val="21"/>
              </w:rPr>
              <w:t>30日历天内。</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工程量清单编制说明</w:t>
            </w:r>
          </w:p>
          <w:p>
            <w:pPr>
              <w:pStyle w:val="null3"/>
              <w:jc w:val="both"/>
            </w:pPr>
            <w:r>
              <w:rPr>
                <w:rFonts w:ascii="仿宋_GB2312" w:hAnsi="仿宋_GB2312" w:cs="仿宋_GB2312" w:eastAsia="仿宋_GB2312"/>
                <w:sz w:val="21"/>
              </w:rPr>
              <w:t>1、《陕西省建设工程工程量清单计价规则》（2025）；</w:t>
            </w:r>
          </w:p>
          <w:p>
            <w:pPr>
              <w:pStyle w:val="null3"/>
              <w:jc w:val="both"/>
            </w:pPr>
            <w:r>
              <w:rPr>
                <w:rFonts w:ascii="仿宋_GB2312" w:hAnsi="仿宋_GB2312" w:cs="仿宋_GB2312" w:eastAsia="仿宋_GB2312"/>
                <w:sz w:val="21"/>
              </w:rPr>
              <w:t>2、《陕西省建设工程费用规则》（2025）；</w:t>
            </w:r>
          </w:p>
          <w:p>
            <w:pPr>
              <w:pStyle w:val="null3"/>
              <w:jc w:val="both"/>
            </w:pPr>
            <w:r>
              <w:rPr>
                <w:rFonts w:ascii="仿宋_GB2312" w:hAnsi="仿宋_GB2312" w:cs="仿宋_GB2312" w:eastAsia="仿宋_GB2312"/>
                <w:sz w:val="21"/>
              </w:rPr>
              <w:t>3、《陕西省建设工程基价表》（2025）；</w:t>
            </w:r>
          </w:p>
          <w:p>
            <w:pPr>
              <w:pStyle w:val="null3"/>
              <w:jc w:val="both"/>
            </w:pPr>
            <w:r>
              <w:rPr>
                <w:rFonts w:ascii="仿宋_GB2312" w:hAnsi="仿宋_GB2312" w:cs="仿宋_GB2312" w:eastAsia="仿宋_GB2312"/>
                <w:sz w:val="21"/>
              </w:rPr>
              <w:t>4、《陕西省建设工程消耗量定额》（2025）；</w:t>
            </w:r>
          </w:p>
          <w:p>
            <w:pPr>
              <w:pStyle w:val="null3"/>
              <w:jc w:val="both"/>
            </w:pPr>
            <w:r>
              <w:rPr>
                <w:rFonts w:ascii="仿宋_GB2312" w:hAnsi="仿宋_GB2312" w:cs="仿宋_GB2312" w:eastAsia="仿宋_GB2312"/>
                <w:sz w:val="21"/>
              </w:rPr>
              <w:t>5、《陕西省建设工程施工机械台班费用定额》（2025）；</w:t>
            </w:r>
          </w:p>
          <w:p>
            <w:pPr>
              <w:pStyle w:val="null3"/>
              <w:jc w:val="both"/>
            </w:pPr>
            <w:r>
              <w:rPr>
                <w:rFonts w:ascii="仿宋_GB2312" w:hAnsi="仿宋_GB2312" w:cs="仿宋_GB2312" w:eastAsia="仿宋_GB2312"/>
                <w:sz w:val="21"/>
              </w:rPr>
              <w:t>6、《陕西省建设工程施工仪器仪表台班费用定额》（2025）；</w:t>
            </w:r>
          </w:p>
          <w:p>
            <w:pPr>
              <w:pStyle w:val="null3"/>
              <w:jc w:val="both"/>
            </w:pPr>
            <w:r>
              <w:rPr>
                <w:rFonts w:ascii="仿宋_GB2312" w:hAnsi="仿宋_GB2312" w:cs="仿宋_GB2312" w:eastAsia="仿宋_GB2312"/>
                <w:sz w:val="21"/>
              </w:rPr>
              <w:t>7、建筑施工规范及质量验收相关规范。</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材料价格执行《</w:t>
            </w:r>
            <w:r>
              <w:rPr>
                <w:rFonts w:ascii="仿宋_GB2312" w:hAnsi="仿宋_GB2312" w:cs="仿宋_GB2312" w:eastAsia="仿宋_GB2312"/>
                <w:sz w:val="21"/>
              </w:rPr>
              <w:t>陕西</w:t>
            </w:r>
            <w:r>
              <w:rPr>
                <w:rFonts w:ascii="仿宋_GB2312" w:hAnsi="仿宋_GB2312" w:cs="仿宋_GB2312" w:eastAsia="仿宋_GB2312"/>
                <w:sz w:val="21"/>
              </w:rPr>
              <w:t>工程造价管理信息》（</w:t>
            </w:r>
            <w:r>
              <w:rPr>
                <w:rFonts w:ascii="仿宋_GB2312" w:hAnsi="仿宋_GB2312" w:cs="仿宋_GB2312" w:eastAsia="仿宋_GB2312"/>
                <w:sz w:val="21"/>
              </w:rPr>
              <w:t>20</w:t>
            </w:r>
            <w:r>
              <w:rPr>
                <w:rFonts w:ascii="仿宋_GB2312" w:hAnsi="仿宋_GB2312" w:cs="仿宋_GB2312" w:eastAsia="仿宋_GB2312"/>
                <w:sz w:val="21"/>
              </w:rPr>
              <w:t>26</w:t>
            </w:r>
            <w:r>
              <w:rPr>
                <w:rFonts w:ascii="仿宋_GB2312" w:hAnsi="仿宋_GB2312" w:cs="仿宋_GB2312" w:eastAsia="仿宋_GB2312"/>
                <w:sz w:val="21"/>
              </w:rPr>
              <w:t>年第</w:t>
            </w:r>
            <w:r>
              <w:rPr>
                <w:rFonts w:ascii="仿宋_GB2312" w:hAnsi="仿宋_GB2312" w:cs="仿宋_GB2312" w:eastAsia="仿宋_GB2312"/>
                <w:sz w:val="21"/>
              </w:rPr>
              <w:t>4</w:t>
            </w:r>
            <w:r>
              <w:rPr>
                <w:rFonts w:ascii="仿宋_GB2312" w:hAnsi="仿宋_GB2312" w:cs="仿宋_GB2312" w:eastAsia="仿宋_GB2312"/>
                <w:sz w:val="21"/>
              </w:rPr>
              <w:t>期）</w:t>
            </w:r>
            <w:r>
              <w:rPr>
                <w:rFonts w:ascii="仿宋_GB2312" w:hAnsi="仿宋_GB2312" w:cs="仿宋_GB2312" w:eastAsia="仿宋_GB2312"/>
                <w:sz w:val="21"/>
              </w:rPr>
              <w:t>及市场价询价。</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其他有关说明：</w:t>
            </w:r>
          </w:p>
          <w:p>
            <w:pPr>
              <w:pStyle w:val="null3"/>
              <w:jc w:val="both"/>
            </w:pPr>
            <w:r>
              <w:rPr>
                <w:rFonts w:ascii="仿宋_GB2312" w:hAnsi="仿宋_GB2312" w:cs="仿宋_GB2312" w:eastAsia="仿宋_GB2312"/>
                <w:sz w:val="21"/>
              </w:rPr>
              <w:t>1、本清单采用广联达云计价平台GCCP7.0软件编制，软件版本号7.5000.23.3；</w:t>
            </w:r>
          </w:p>
          <w:p>
            <w:pPr>
              <w:pStyle w:val="null3"/>
              <w:jc w:val="both"/>
            </w:pPr>
            <w:r>
              <w:rPr>
                <w:rFonts w:ascii="仿宋_GB2312" w:hAnsi="仿宋_GB2312" w:cs="仿宋_GB2312" w:eastAsia="仿宋_GB2312"/>
                <w:sz w:val="21"/>
              </w:rPr>
              <w:t>2、厨房墙体裂缝加固处理由于设计方案不详，暂定5000元/项，结算据实调整；</w:t>
            </w:r>
          </w:p>
          <w:p>
            <w:pPr>
              <w:pStyle w:val="null3"/>
              <w:jc w:val="both"/>
            </w:pPr>
            <w:r>
              <w:rPr>
                <w:rFonts w:ascii="仿宋_GB2312" w:hAnsi="仿宋_GB2312" w:cs="仿宋_GB2312" w:eastAsia="仿宋_GB2312"/>
                <w:sz w:val="21"/>
              </w:rPr>
              <w:t>3、餐厅地面漏水检修暂定600元/项，结算据实调整；</w:t>
            </w:r>
          </w:p>
          <w:p>
            <w:pPr>
              <w:pStyle w:val="null3"/>
              <w:jc w:val="both"/>
            </w:pPr>
            <w:r>
              <w:rPr>
                <w:rFonts w:ascii="仿宋_GB2312" w:hAnsi="仿宋_GB2312" w:cs="仿宋_GB2312" w:eastAsia="仿宋_GB2312"/>
                <w:sz w:val="21"/>
              </w:rPr>
              <w:t>4、厨房内综合布线系统暂定100元/项，结算据实调整；</w:t>
            </w:r>
          </w:p>
          <w:p>
            <w:pPr>
              <w:pStyle w:val="null3"/>
              <w:jc w:val="both"/>
            </w:pPr>
            <w:r>
              <w:rPr>
                <w:rFonts w:ascii="仿宋_GB2312" w:hAnsi="仿宋_GB2312" w:cs="仿宋_GB2312" w:eastAsia="仿宋_GB2312"/>
                <w:sz w:val="21"/>
              </w:rPr>
              <w:t>5、厨房燃气管道拆除或封堵及恢复需由专业团队进行施工，计入专业工程暂估价中，暂定不含税单价1500元/项，发生费用据实结算；</w:t>
            </w:r>
          </w:p>
          <w:p>
            <w:pPr>
              <w:pStyle w:val="null3"/>
              <w:jc w:val="both"/>
            </w:pPr>
            <w:r>
              <w:rPr>
                <w:rFonts w:ascii="仿宋_GB2312" w:hAnsi="仿宋_GB2312" w:cs="仿宋_GB2312" w:eastAsia="仿宋_GB2312"/>
                <w:sz w:val="21"/>
              </w:rPr>
              <w:t>6、厨房区域的砖结构开槽、配管、配线、冷热水管、排水管等无具体规格型号，预算中暂定规格型号，工程量暂按预估量计入预算，最终根据现场实际施工情况据实调整；</w:t>
            </w:r>
          </w:p>
          <w:p>
            <w:pPr>
              <w:pStyle w:val="null3"/>
              <w:jc w:val="both"/>
            </w:pPr>
            <w:r>
              <w:rPr>
                <w:rFonts w:ascii="仿宋_GB2312" w:hAnsi="仿宋_GB2312" w:cs="仿宋_GB2312" w:eastAsia="仿宋_GB2312"/>
                <w:sz w:val="21"/>
              </w:rPr>
              <w:t>7、以下主材无具体规格型号，暂按材料暂估价计入预算，结算时以认质认价单为准。</w:t>
            </w:r>
          </w:p>
          <w:tbl>
            <w:tblPr>
              <w:tblBorders>
                <w:top w:val="none" w:color="000000" w:sz="4"/>
                <w:left w:val="none" w:color="000000" w:sz="4"/>
                <w:bottom w:val="none" w:color="000000" w:sz="4"/>
                <w:right w:val="none" w:color="000000" w:sz="4"/>
                <w:insideH w:val="none"/>
                <w:insideV w:val="none"/>
              </w:tblBorders>
            </w:tblPr>
            <w:tblGrid>
              <w:gridCol w:w="1359"/>
              <w:gridCol w:w="1193"/>
            </w:tblGrid>
            <w:tr>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主材名称</w:t>
                  </w:r>
                </w:p>
              </w:tc>
              <w:tc>
                <w:tcPr>
                  <w:tcW w:type="dxa" w:w="1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暂估价</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厨房配电箱</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350元/套</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紫外线杀菌灯</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45元/套</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厨房平板灯</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90元/套</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吊风扇</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144元/套</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通风器</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120元/套</w:t>
                  </w:r>
                </w:p>
              </w:tc>
            </w:tr>
          </w:tbl>
          <w:p>
            <w:pPr>
              <w:pStyle w:val="null3"/>
              <w:jc w:val="both"/>
            </w:pPr>
            <w:r>
              <w:rPr>
                <w:rFonts w:ascii="仿宋_GB2312" w:hAnsi="仿宋_GB2312" w:cs="仿宋_GB2312" w:eastAsia="仿宋_GB2312"/>
                <w:sz w:val="21"/>
              </w:rPr>
              <w:t>四、施工要求</w:t>
            </w:r>
          </w:p>
          <w:p>
            <w:pPr>
              <w:pStyle w:val="null3"/>
              <w:jc w:val="both"/>
            </w:pPr>
            <w:r>
              <w:rPr>
                <w:rFonts w:ascii="仿宋_GB2312" w:hAnsi="仿宋_GB2312" w:cs="仿宋_GB2312" w:eastAsia="仿宋_GB2312"/>
                <w:sz w:val="21"/>
              </w:rPr>
              <w:t>1、成交供应商必须配备足够的人员和充足的机械设备进入实施，确保按时保质保量完成任务。</w:t>
            </w:r>
          </w:p>
          <w:p>
            <w:pPr>
              <w:pStyle w:val="null3"/>
              <w:jc w:val="both"/>
            </w:pPr>
            <w:r>
              <w:rPr>
                <w:rFonts w:ascii="仿宋_GB2312" w:hAnsi="仿宋_GB2312" w:cs="仿宋_GB2312" w:eastAsia="仿宋_GB2312"/>
                <w:sz w:val="21"/>
              </w:rPr>
              <w:t>2、必须严密组织，文明施工，作好四周维护及安全环保措施，所需费用由成交供应商承担，施工过程必须严格遵守政府相关规定。</w:t>
            </w:r>
          </w:p>
          <w:p>
            <w:pPr>
              <w:pStyle w:val="null3"/>
              <w:jc w:val="both"/>
            </w:pPr>
            <w:r>
              <w:rPr>
                <w:rFonts w:ascii="仿宋_GB2312" w:hAnsi="仿宋_GB2312" w:cs="仿宋_GB2312" w:eastAsia="仿宋_GB2312"/>
                <w:sz w:val="21"/>
              </w:rPr>
              <w:t>3、严格遵守西安市关于控制扬尘污染、治污减霾的相关规定，并承担一切安全事故或违规处罚所带来的经济及法律责任。</w:t>
            </w:r>
          </w:p>
          <w:p>
            <w:pPr>
              <w:pStyle w:val="null3"/>
              <w:jc w:val="both"/>
            </w:pPr>
            <w:r>
              <w:rPr>
                <w:rFonts w:ascii="仿宋_GB2312" w:hAnsi="仿宋_GB2312" w:cs="仿宋_GB2312" w:eastAsia="仿宋_GB2312"/>
                <w:sz w:val="21"/>
              </w:rPr>
              <w:t>4、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p>
          <w:p>
            <w:pPr>
              <w:pStyle w:val="null3"/>
              <w:jc w:val="both"/>
            </w:pPr>
            <w:r>
              <w:rPr>
                <w:rFonts w:ascii="仿宋_GB2312" w:hAnsi="仿宋_GB2312" w:cs="仿宋_GB2312" w:eastAsia="仿宋_GB2312"/>
                <w:sz w:val="21"/>
              </w:rPr>
              <w:t>承包方在垃圾外运中应严格遵守</w:t>
            </w:r>
            <w:r>
              <w:rPr>
                <w:rFonts w:ascii="仿宋_GB2312" w:hAnsi="仿宋_GB2312" w:cs="仿宋_GB2312" w:eastAsia="仿宋_GB2312"/>
                <w:sz w:val="21"/>
              </w:rPr>
              <w:t>碑林</w:t>
            </w:r>
            <w:r>
              <w:rPr>
                <w:rFonts w:ascii="仿宋_GB2312" w:hAnsi="仿宋_GB2312" w:cs="仿宋_GB2312" w:eastAsia="仿宋_GB2312"/>
                <w:sz w:val="21"/>
              </w:rPr>
              <w:t>区关于治污减霾相关规定，服从采购人相关部门管理，严格做好治污减霾工作。</w:t>
            </w:r>
          </w:p>
          <w:p>
            <w:pPr>
              <w:pStyle w:val="null3"/>
              <w:jc w:val="both"/>
            </w:pPr>
            <w:r>
              <w:rPr>
                <w:rFonts w:ascii="仿宋_GB2312" w:hAnsi="仿宋_GB2312" w:cs="仿宋_GB2312" w:eastAsia="仿宋_GB2312"/>
                <w:sz w:val="21"/>
              </w:rPr>
              <w:t>5、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招标人各项管理规定，要求停工时必须立即停工，如因承包方私自作业，不按要求施工等情况由承包方承担全部责任，由此产生的全部费用由承包方承担。</w:t>
            </w:r>
          </w:p>
          <w:p>
            <w:pPr>
              <w:pStyle w:val="null3"/>
              <w:jc w:val="both"/>
            </w:pPr>
            <w:r>
              <w:rPr>
                <w:rFonts w:ascii="仿宋_GB2312" w:hAnsi="仿宋_GB2312" w:cs="仿宋_GB2312" w:eastAsia="仿宋_GB2312"/>
                <w:sz w:val="21"/>
              </w:rPr>
              <w:t>6、承包方负责现场安全管理工作，并承担全部责任及由此产生的全部费用，现场人员由承包方按照相关规定办理相关保险事宜。</w:t>
            </w:r>
          </w:p>
          <w:p>
            <w:pPr>
              <w:pStyle w:val="null3"/>
              <w:jc w:val="both"/>
            </w:pPr>
            <w:r>
              <w:rPr>
                <w:rFonts w:ascii="仿宋_GB2312" w:hAnsi="仿宋_GB2312" w:cs="仿宋_GB2312" w:eastAsia="仿宋_GB2312"/>
                <w:sz w:val="21"/>
              </w:rPr>
              <w:t>五、商务要求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付款方式：</w:t>
            </w:r>
          </w:p>
          <w:p>
            <w:pPr>
              <w:pStyle w:val="null3"/>
              <w:jc w:val="both"/>
            </w:pPr>
            <w:r>
              <w:rPr>
                <w:rFonts w:ascii="仿宋_GB2312" w:hAnsi="仿宋_GB2312" w:cs="仿宋_GB2312" w:eastAsia="仿宋_GB2312"/>
                <w:sz w:val="21"/>
              </w:rPr>
              <w:t>合同签订后，支付合同总金额的</w:t>
            </w:r>
            <w:r>
              <w:rPr>
                <w:rFonts w:ascii="仿宋_GB2312" w:hAnsi="仿宋_GB2312" w:cs="仿宋_GB2312" w:eastAsia="仿宋_GB2312"/>
                <w:sz w:val="21"/>
              </w:rPr>
              <w:t>40.00%；工程全部竣工验收通过后，支付至合同总金额的85.00%；工程审计结束后，支付至审计总金额的97.00%，剩余金额为工程质量保修金，质量保修期结束后一次性支付。</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达到国家及行业现行技术规范标准，符合国家及行业验收合格标准。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质量保修期：</w:t>
            </w:r>
          </w:p>
          <w:p>
            <w:pPr>
              <w:pStyle w:val="null3"/>
            </w:pPr>
            <w:r>
              <w:rPr>
                <w:rFonts w:ascii="仿宋_GB2312" w:hAnsi="仿宋_GB2312" w:cs="仿宋_GB2312" w:eastAsia="仿宋_GB2312"/>
                <w:sz w:val="21"/>
              </w:rPr>
              <w:t>质量保修期其他工程为二年，防水工程为五年。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2025年任一年度经审计的财务审计报告(成立时间至提交磋商响应文件截止时间不足年的可提供成立后任意时段的资产负债表)或开标前6个月内其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2025年任一年度经审计的财务审计报告(成立时间至提交磋商响应文件截止时间不足年的可提供成立后任意时段的资产负债表)或开标前6个月内其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供应商具备建设行政主管部门颁发的建筑装修装饰工程专业承包二级及以上资质；同时具有合格有效的安全生产许可证。供应商需在项目电子化交易系统中按要求上传相应证明文件并进行电子签章；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证书等级：二级及以上注册建造师证书专业：建筑工程补充说明：同时具备有效期内的安全生产考核合格证书（安B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至少以下三处的项目名称、项目编号、标段与本项目完全一致：（1）竞争性磋商响应文件封面（2）响应函（3）法定代表人（主要负责人）委托授权书\身份证明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施工总体方案内容至少包括：①施工准备；②施工进度安排;③施工方法；④重点难点工程分析及解决措施；⑤影响正常施工外在因素分析及对应预案等。以上内容专门针对本项目且阐述明晰、完整、科学得10分，每缺一项内容扣2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⑤施工检测及工序交验方案等。以上内容专门针对本项目且阐述明晰、完整、科学得5分，每缺一项内容扣1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安全生产技术组织措施内容至少包括：①安全生产管理制度；②配置安全组织机构；③安全隐患排查制度；④安全隐患整改制度；⑤应急救援机制等。以上内容专门针对本项目且阐述明晰、完整、科学得5分，每缺一项内容扣1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施工部署与进度计划内容至少包括：①施工总平面布置；②进度安排计划；③工期目标控制和保证措施；④材料供应措施； ⑤成品、半成品保护监管措施等。以上内容专门针对本项目且阐述明晰、完整、科学得5分，每缺一项内容扣1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施工组织和项目管理机构内容至少包括：①项目管理机构图；②岗位安排及职责（包含但不限于施工员、安全员、资料员、材料员、质量员）；③岗位人员管理制度；④相应的协调措施等。以上内容专门针对本项目且阐述明晰、完整、科学得8分，每缺一项内容扣2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施工组织和项目管理机构内容至少包括：①项目管理机构图；②岗位安排及职责（包含但不限于施工员、安全员、资料员、材料员、质量员）；③岗位人员管理制度；④相应的协调措施等。以上内容专门针对本项目且阐述明晰、完整、科学得8分，每缺一项内容扣2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施工机械配置和材料投入计划内容至少包括：①施工机械配置计划；②施工材料投入计划；③施工机械的维护保养和材料的贮存；④施工机械、材料的监督和检查等。以上内容专门针对本项目且阐述明晰、完整、科学得6分，每缺一项内容扣1.5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提供针对本项目的主材清单（清单内容包括但不限于材料名称、品牌、规格、材质等）及相关证明材料（包括但不限于主材检测报告、合格证、技术参数性能证明材料等），根据提供内容的完整程度进行评分：①提供主材清单内容完整、证明资料齐全，技术参数性能完全满足采购人要求得5分；②清单及证明材料不完整、未提供或提供不全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节能产品、环保标志产品</w:t>
            </w:r>
          </w:p>
        </w:tc>
        <w:tc>
          <w:tcPr>
            <w:tcW w:type="dxa" w:w="2492"/>
          </w:tcPr>
          <w:p>
            <w:pPr>
              <w:pStyle w:val="null3"/>
            </w:pPr>
            <w:r>
              <w:rPr>
                <w:rFonts w:ascii="仿宋_GB2312" w:hAnsi="仿宋_GB2312" w:cs="仿宋_GB2312" w:eastAsia="仿宋_GB2312"/>
              </w:rPr>
              <w:t>采用的材料每有一项属于节能产品政府采购品目清单中优先采购范围，且获得国家确认的认证机构出具的、处于有效期之内的认证证书的，得0.5分；每有一项属于环境标志产品政府采购品目清单中优先采购范围，且获得国家确认的认证机构出具的、处于有效期之内的认证证书的，得0.5分。本项最高得2分。注：同时具备节能产品认证和环境标志产品认证的产品可分别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紧急预案措施</w:t>
            </w:r>
          </w:p>
        </w:tc>
        <w:tc>
          <w:tcPr>
            <w:tcW w:type="dxa" w:w="2492"/>
          </w:tcPr>
          <w:p>
            <w:pPr>
              <w:pStyle w:val="null3"/>
            </w:pPr>
            <w:r>
              <w:rPr>
                <w:rFonts w:ascii="仿宋_GB2312" w:hAnsi="仿宋_GB2312" w:cs="仿宋_GB2312" w:eastAsia="仿宋_GB2312"/>
              </w:rPr>
              <w:t>至少包括①对施工过程中紧急情况的处理措施②预案以及抵抗风险（包括工程施工过程中可能遇到的各种风险）的措施。以上内容专门针对本项目且阐述明晰、完整、科学得5分，缺一项扣2.5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项目经理要求</w:t>
            </w:r>
          </w:p>
        </w:tc>
        <w:tc>
          <w:tcPr>
            <w:tcW w:type="dxa" w:w="2492"/>
          </w:tcPr>
          <w:p>
            <w:pPr>
              <w:pStyle w:val="null3"/>
            </w:pPr>
            <w:r>
              <w:rPr>
                <w:rFonts w:ascii="仿宋_GB2312" w:hAnsi="仿宋_GB2312" w:cs="仿宋_GB2312" w:eastAsia="仿宋_GB2312"/>
              </w:rPr>
              <w:t>拟派项目经理提供相关专业中级及以上工程师职称证书得2分，其他不得分。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针对本项目竣工验收合格后，使用过程中的问题进行承诺（包括但不限于①质量保期内的保修与维护承诺；②质保期内应急响应承诺）。以上内容专门针对本项目且阐述明晰、完整、科学得4分，每缺一项扣2分，若上述内容存在瑕疵，每存在1处瑕疵扣0.5分，扣完为止。(瑕疵指内容不全/逻辑混乱/不符合采购需求/实施性较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提供2023年01月01日以来承担过类似项目业绩。每提供一份有效的业绩证明文件（以合同或中标通知书为准)得1分，满分5分。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4.磋商报价不完整的，不进入评审标准价的计算，本项得0分。 5.价格评审出现异常低价情形的，评审委员会应当启动异常低价审查进行价格评审。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