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37522">
      <w:pPr>
        <w:adjustRightInd w:val="0"/>
        <w:snapToGrid w:val="0"/>
        <w:spacing w:line="300" w:lineRule="auto"/>
        <w:jc w:val="center"/>
        <w:rPr>
          <w:rFonts w:hint="eastAsia" w:ascii="宋体" w:hAnsi="宋体" w:cs="Tahoma"/>
          <w:b/>
          <w:spacing w:val="20"/>
          <w:sz w:val="32"/>
          <w:szCs w:val="36"/>
        </w:rPr>
      </w:pPr>
    </w:p>
    <w:p w14:paraId="2D9FDB72">
      <w:pPr>
        <w:adjustRightInd w:val="0"/>
        <w:snapToGrid w:val="0"/>
        <w:spacing w:line="360" w:lineRule="auto"/>
        <w:jc w:val="center"/>
        <w:rPr>
          <w:rFonts w:ascii="宋体" w:hAnsi="宋体" w:cs="Tahoma"/>
          <w:b/>
          <w:spacing w:val="20"/>
          <w:sz w:val="32"/>
          <w:szCs w:val="36"/>
        </w:rPr>
      </w:pPr>
    </w:p>
    <w:p w14:paraId="4936708F">
      <w:pPr>
        <w:adjustRightInd w:val="0"/>
        <w:snapToGrid w:val="0"/>
        <w:spacing w:line="360" w:lineRule="auto"/>
        <w:jc w:val="center"/>
        <w:rPr>
          <w:rFonts w:ascii="宋体" w:hAnsi="宋体" w:cs="Tahoma"/>
          <w:b/>
          <w:spacing w:val="20"/>
          <w:sz w:val="32"/>
          <w:szCs w:val="36"/>
        </w:rPr>
      </w:pPr>
    </w:p>
    <w:p w14:paraId="4149048C">
      <w:pPr>
        <w:adjustRightInd w:val="0"/>
        <w:snapToGrid w:val="0"/>
        <w:spacing w:line="360" w:lineRule="auto"/>
        <w:jc w:val="center"/>
        <w:rPr>
          <w:rFonts w:ascii="宋体" w:hAnsi="宋体" w:cs="Tahoma"/>
          <w:b/>
          <w:spacing w:val="20"/>
          <w:sz w:val="32"/>
          <w:szCs w:val="36"/>
        </w:rPr>
      </w:pPr>
    </w:p>
    <w:p w14:paraId="2A0997F7">
      <w:pPr>
        <w:adjustRightInd w:val="0"/>
        <w:snapToGrid w:val="0"/>
        <w:spacing w:line="360" w:lineRule="auto"/>
        <w:jc w:val="center"/>
        <w:rPr>
          <w:rFonts w:ascii="宋体" w:hAnsi="宋体" w:cs="Tahoma"/>
          <w:b/>
          <w:spacing w:val="20"/>
          <w:sz w:val="32"/>
          <w:szCs w:val="36"/>
        </w:rPr>
      </w:pPr>
    </w:p>
    <w:p w14:paraId="3FFF319E">
      <w:pPr>
        <w:adjustRightInd w:val="0"/>
        <w:snapToGrid w:val="0"/>
        <w:spacing w:line="360" w:lineRule="auto"/>
        <w:jc w:val="center"/>
        <w:rPr>
          <w:rFonts w:hint="eastAsia" w:ascii="宋体" w:hAnsi="宋体" w:cs="Tahoma"/>
          <w:b/>
          <w:spacing w:val="20"/>
          <w:sz w:val="52"/>
          <w:szCs w:val="36"/>
        </w:rPr>
      </w:pPr>
      <w:r>
        <w:rPr>
          <w:rFonts w:hint="eastAsia" w:ascii="宋体" w:hAnsi="宋体" w:cs="Tahoma"/>
          <w:b/>
          <w:spacing w:val="20"/>
          <w:sz w:val="52"/>
          <w:szCs w:val="36"/>
        </w:rPr>
        <w:t>陕西国防工业职业技术学院</w:t>
      </w:r>
    </w:p>
    <w:p w14:paraId="0196FA73">
      <w:pPr>
        <w:adjustRightInd w:val="0"/>
        <w:snapToGrid w:val="0"/>
        <w:spacing w:line="360" w:lineRule="auto"/>
        <w:jc w:val="center"/>
        <w:rPr>
          <w:rFonts w:hint="eastAsia" w:ascii="宋体" w:hAnsi="宋体" w:cs="Tahoma"/>
          <w:b/>
          <w:spacing w:val="20"/>
          <w:sz w:val="52"/>
          <w:szCs w:val="36"/>
        </w:rPr>
      </w:pPr>
    </w:p>
    <w:p w14:paraId="305F62B1">
      <w:pPr>
        <w:adjustRightInd w:val="0"/>
        <w:snapToGrid w:val="0"/>
        <w:spacing w:line="360" w:lineRule="auto"/>
        <w:jc w:val="center"/>
        <w:rPr>
          <w:rFonts w:ascii="宋体" w:hAnsi="宋体" w:cs="Tahoma"/>
          <w:b/>
          <w:spacing w:val="20"/>
          <w:sz w:val="52"/>
          <w:szCs w:val="36"/>
        </w:rPr>
      </w:pPr>
      <w:r>
        <w:rPr>
          <w:rFonts w:hint="eastAsia" w:ascii="宋体" w:hAnsi="宋体" w:cs="Tahoma"/>
          <w:b/>
          <w:spacing w:val="20"/>
          <w:sz w:val="52"/>
          <w:szCs w:val="36"/>
        </w:rPr>
        <w:t>采购项目合同书</w:t>
      </w:r>
    </w:p>
    <w:p w14:paraId="6DEE0A7A">
      <w:pPr>
        <w:adjustRightInd w:val="0"/>
        <w:snapToGrid w:val="0"/>
        <w:spacing w:line="360" w:lineRule="auto"/>
        <w:ind w:left="2100" w:leftChars="1000"/>
        <w:rPr>
          <w:rFonts w:hint="eastAsia" w:ascii="宋体" w:hAnsi="宋体" w:cs="Tahoma"/>
          <w:b/>
          <w:sz w:val="28"/>
          <w:szCs w:val="28"/>
        </w:rPr>
      </w:pPr>
    </w:p>
    <w:p w14:paraId="45B608DA">
      <w:pPr>
        <w:adjustRightInd w:val="0"/>
        <w:snapToGrid w:val="0"/>
        <w:spacing w:line="360" w:lineRule="auto"/>
        <w:jc w:val="center"/>
        <w:rPr>
          <w:rFonts w:ascii="Tahoma" w:hAnsi="Tahoma" w:cs="Tahoma"/>
          <w:b/>
          <w:sz w:val="32"/>
        </w:rPr>
      </w:pPr>
    </w:p>
    <w:p w14:paraId="08E3C60A">
      <w:pPr>
        <w:adjustRightInd w:val="0"/>
        <w:snapToGrid w:val="0"/>
        <w:spacing w:line="360" w:lineRule="auto"/>
        <w:jc w:val="center"/>
        <w:rPr>
          <w:rFonts w:hint="eastAsia" w:ascii="Tahoma" w:hAnsi="Tahoma" w:cs="Tahoma"/>
          <w:b/>
          <w:sz w:val="32"/>
        </w:rPr>
      </w:pPr>
    </w:p>
    <w:p w14:paraId="759F8D1F">
      <w:pPr>
        <w:adjustRightInd w:val="0"/>
        <w:snapToGrid w:val="0"/>
        <w:spacing w:line="360" w:lineRule="auto"/>
        <w:jc w:val="center"/>
        <w:rPr>
          <w:rFonts w:ascii="Tahoma" w:hAnsi="Tahoma" w:cs="Tahoma"/>
          <w:b/>
          <w:sz w:val="32"/>
        </w:rPr>
      </w:pPr>
    </w:p>
    <w:p w14:paraId="0359DDA7">
      <w:pPr>
        <w:adjustRightInd w:val="0"/>
        <w:snapToGrid w:val="0"/>
        <w:spacing w:line="360" w:lineRule="auto"/>
        <w:ind w:left="1680" w:leftChars="800"/>
        <w:jc w:val="both"/>
        <w:rPr>
          <w:rFonts w:ascii="Tahoma" w:hAnsi="Tahoma" w:cs="Tahoma"/>
          <w:b/>
          <w:sz w:val="32"/>
        </w:rPr>
      </w:pPr>
    </w:p>
    <w:p w14:paraId="3F102E29">
      <w:pPr>
        <w:adjustRightInd w:val="0"/>
        <w:snapToGrid w:val="0"/>
        <w:spacing w:line="360" w:lineRule="auto"/>
        <w:ind w:left="1680" w:leftChars="800"/>
        <w:jc w:val="center"/>
        <w:rPr>
          <w:rFonts w:ascii="Tahoma" w:hAnsi="Tahoma" w:cs="Tahoma"/>
          <w:b/>
          <w:sz w:val="32"/>
        </w:rPr>
      </w:pPr>
    </w:p>
    <w:p w14:paraId="76BB86D5">
      <w:pPr>
        <w:spacing w:line="360" w:lineRule="auto"/>
        <w:ind w:left="1680" w:leftChars="800"/>
        <w:rPr>
          <w:rFonts w:ascii="宋体" w:hAnsi="宋体"/>
          <w:b/>
          <w:color w:val="auto"/>
          <w:sz w:val="28"/>
          <w:szCs w:val="28"/>
          <w:u w:val="single"/>
        </w:rPr>
      </w:pPr>
      <w:r>
        <w:rPr>
          <w:rFonts w:hint="eastAsia" w:ascii="宋体" w:hAnsi="宋体" w:cs="Tahoma"/>
          <w:b/>
          <w:sz w:val="28"/>
          <w:szCs w:val="28"/>
        </w:rPr>
        <w:t>项目名称：</w:t>
      </w:r>
      <w:r>
        <w:rPr>
          <w:rFonts w:hint="eastAsia" w:ascii="宋体" w:hAnsi="宋体" w:cs="Arial"/>
          <w:b/>
          <w:bCs/>
          <w:sz w:val="28"/>
          <w:szCs w:val="28"/>
          <w:u w:val="single"/>
        </w:rPr>
        <w:t xml:space="preserve">    </w:t>
      </w:r>
      <w:r>
        <w:rPr>
          <w:rFonts w:hint="eastAsia" w:ascii="宋体" w:hAnsi="宋体"/>
          <w:b/>
          <w:color w:val="auto"/>
          <w:sz w:val="28"/>
          <w:szCs w:val="28"/>
          <w:u w:val="single"/>
          <w:lang w:val="en-US" w:eastAsia="zh-CN"/>
        </w:rPr>
        <w:t>马来西亚智能控制技术企业培训中心</w:t>
      </w:r>
      <w:r>
        <w:rPr>
          <w:rFonts w:hint="eastAsia" w:ascii="宋体" w:hAnsi="宋体"/>
          <w:b/>
          <w:color w:val="auto"/>
          <w:sz w:val="28"/>
          <w:szCs w:val="28"/>
          <w:u w:val="single"/>
        </w:rPr>
        <w:t xml:space="preserve">  </w:t>
      </w:r>
      <w:r>
        <w:rPr>
          <w:rFonts w:hint="eastAsia" w:ascii="宋体" w:hAnsi="宋体"/>
          <w:b/>
          <w:color w:val="auto"/>
          <w:sz w:val="28"/>
          <w:szCs w:val="28"/>
          <w:u w:val="single"/>
          <w:lang w:val="en-US" w:eastAsia="zh-CN"/>
        </w:rPr>
        <w:t xml:space="preserve">  </w:t>
      </w:r>
      <w:r>
        <w:rPr>
          <w:rFonts w:hint="eastAsia" w:ascii="宋体" w:hAnsi="宋体"/>
          <w:b/>
          <w:color w:val="auto"/>
          <w:sz w:val="28"/>
          <w:szCs w:val="28"/>
          <w:u w:val="single"/>
        </w:rPr>
        <w:t xml:space="preserve">  </w:t>
      </w:r>
    </w:p>
    <w:p w14:paraId="6654D447">
      <w:pPr>
        <w:adjustRightInd w:val="0"/>
        <w:snapToGrid w:val="0"/>
        <w:spacing w:line="360" w:lineRule="auto"/>
        <w:ind w:left="1680" w:leftChars="800"/>
        <w:rPr>
          <w:rFonts w:hint="eastAsia" w:ascii="宋体" w:hAnsi="宋体" w:cs="Arial"/>
          <w:b/>
          <w:color w:val="auto"/>
          <w:sz w:val="28"/>
          <w:szCs w:val="28"/>
          <w:u w:val="single"/>
        </w:rPr>
      </w:pPr>
      <w:r>
        <w:rPr>
          <w:rFonts w:hint="eastAsia" w:ascii="宋体" w:hAnsi="宋体" w:cs="Tahoma"/>
          <w:b/>
          <w:color w:val="auto"/>
          <w:sz w:val="28"/>
          <w:szCs w:val="28"/>
        </w:rPr>
        <w:t>项目编号：</w:t>
      </w:r>
      <w:r>
        <w:rPr>
          <w:rFonts w:hint="eastAsia" w:ascii="宋体" w:hAnsi="宋体" w:cs="Arial"/>
          <w:b/>
          <w:color w:val="auto"/>
          <w:sz w:val="28"/>
          <w:szCs w:val="28"/>
          <w:u w:val="single"/>
        </w:rPr>
        <w:t xml:space="preserve">           </w:t>
      </w:r>
      <w:r>
        <w:rPr>
          <w:rFonts w:hint="eastAsia" w:ascii="宋体" w:hAnsi="宋体" w:cs="Arial"/>
          <w:b/>
          <w:color w:val="auto"/>
          <w:sz w:val="28"/>
          <w:szCs w:val="28"/>
          <w:u w:val="single"/>
          <w:lang w:val="en-US" w:eastAsia="zh-CN"/>
        </w:rPr>
        <w:t xml:space="preserve">                 </w:t>
      </w:r>
      <w:r>
        <w:rPr>
          <w:rFonts w:hint="eastAsia" w:ascii="宋体" w:hAnsi="宋体"/>
          <w:b/>
          <w:color w:val="auto"/>
          <w:sz w:val="28"/>
          <w:szCs w:val="28"/>
          <w:u w:val="single"/>
        </w:rPr>
        <w:t xml:space="preserve">      </w:t>
      </w:r>
      <w:r>
        <w:rPr>
          <w:rFonts w:hint="eastAsia" w:ascii="宋体" w:hAnsi="宋体"/>
          <w:b/>
          <w:color w:val="auto"/>
          <w:sz w:val="28"/>
          <w:szCs w:val="28"/>
          <w:u w:val="single"/>
          <w:lang w:val="en-US" w:eastAsia="zh-CN"/>
        </w:rPr>
        <w:t xml:space="preserve">    </w:t>
      </w:r>
      <w:r>
        <w:rPr>
          <w:rFonts w:hint="eastAsia" w:ascii="宋体" w:hAnsi="宋体"/>
          <w:b/>
          <w:color w:val="auto"/>
          <w:sz w:val="28"/>
          <w:szCs w:val="28"/>
          <w:u w:val="single"/>
        </w:rPr>
        <w:t xml:space="preserve">    </w:t>
      </w:r>
    </w:p>
    <w:p w14:paraId="24CB64D2">
      <w:pPr>
        <w:adjustRightInd w:val="0"/>
        <w:snapToGrid w:val="0"/>
        <w:spacing w:line="360" w:lineRule="auto"/>
        <w:ind w:left="1680" w:leftChars="800"/>
        <w:rPr>
          <w:rFonts w:hint="eastAsia" w:ascii="宋体" w:hAnsi="宋体" w:cs="Tahoma"/>
          <w:b/>
          <w:color w:val="auto"/>
          <w:sz w:val="28"/>
          <w:szCs w:val="28"/>
        </w:rPr>
      </w:pPr>
      <w:r>
        <w:rPr>
          <w:rFonts w:hint="eastAsia" w:ascii="宋体" w:hAnsi="宋体" w:cs="Tahoma"/>
          <w:b/>
          <w:color w:val="auto"/>
          <w:sz w:val="28"/>
          <w:szCs w:val="28"/>
        </w:rPr>
        <w:t>甲    方：</w:t>
      </w:r>
      <w:r>
        <w:rPr>
          <w:rFonts w:hint="eastAsia" w:ascii="宋体" w:hAnsi="宋体" w:cs="Arial"/>
          <w:b/>
          <w:color w:val="auto"/>
          <w:sz w:val="28"/>
          <w:szCs w:val="28"/>
          <w:u w:val="single"/>
        </w:rPr>
        <w:t xml:space="preserve">       </w:t>
      </w:r>
      <w:r>
        <w:rPr>
          <w:rFonts w:hint="eastAsia" w:ascii="宋体" w:hAnsi="宋体" w:cs="Arial"/>
          <w:b/>
          <w:bCs/>
          <w:color w:val="auto"/>
          <w:sz w:val="28"/>
          <w:szCs w:val="28"/>
          <w:u w:val="single"/>
        </w:rPr>
        <w:t xml:space="preserve">陕西国防工业职业技术学院  </w:t>
      </w:r>
      <w:r>
        <w:rPr>
          <w:rFonts w:hint="eastAsia" w:ascii="宋体" w:hAnsi="宋体" w:cs="Arial"/>
          <w:b/>
          <w:bCs/>
          <w:color w:val="auto"/>
          <w:sz w:val="28"/>
          <w:szCs w:val="28"/>
          <w:u w:val="single"/>
          <w:lang w:val="en-US" w:eastAsia="zh-CN"/>
        </w:rPr>
        <w:t xml:space="preserve">      </w:t>
      </w:r>
      <w:r>
        <w:rPr>
          <w:rFonts w:hint="eastAsia" w:ascii="宋体" w:hAnsi="宋体" w:cs="Arial"/>
          <w:b/>
          <w:bCs/>
          <w:color w:val="auto"/>
          <w:sz w:val="28"/>
          <w:szCs w:val="28"/>
          <w:u w:val="single"/>
        </w:rPr>
        <w:t xml:space="preserve">   </w:t>
      </w:r>
    </w:p>
    <w:p w14:paraId="521BFD74">
      <w:pPr>
        <w:adjustRightInd w:val="0"/>
        <w:snapToGrid w:val="0"/>
        <w:spacing w:line="360" w:lineRule="auto"/>
        <w:ind w:left="1680" w:leftChars="800"/>
        <w:rPr>
          <w:rFonts w:hint="eastAsia" w:ascii="宋体" w:hAnsi="宋体" w:cs="Tahoma"/>
          <w:b/>
          <w:color w:val="auto"/>
          <w:sz w:val="28"/>
          <w:szCs w:val="28"/>
        </w:rPr>
      </w:pPr>
      <w:r>
        <w:rPr>
          <w:rFonts w:hint="eastAsia" w:ascii="宋体" w:hAnsi="宋体" w:cs="Tahoma"/>
          <w:b/>
          <w:color w:val="auto"/>
          <w:sz w:val="28"/>
          <w:szCs w:val="28"/>
        </w:rPr>
        <w:t>乙    方：</w:t>
      </w:r>
      <w:r>
        <w:rPr>
          <w:rFonts w:hint="eastAsia" w:ascii="宋体" w:hAnsi="宋体" w:cs="Arial"/>
          <w:b/>
          <w:color w:val="auto"/>
          <w:sz w:val="28"/>
          <w:szCs w:val="28"/>
          <w:u w:val="single"/>
        </w:rPr>
        <w:t xml:space="preserve">       </w:t>
      </w:r>
      <w:r>
        <w:rPr>
          <w:rFonts w:hint="eastAsia" w:ascii="宋体" w:hAnsi="宋体" w:cs="Arial"/>
          <w:b/>
          <w:color w:val="auto"/>
          <w:sz w:val="28"/>
          <w:szCs w:val="28"/>
          <w:u w:val="single"/>
          <w:lang w:val="en-US" w:eastAsia="zh-CN"/>
        </w:rPr>
        <w:t xml:space="preserve">                            </w:t>
      </w:r>
      <w:r>
        <w:rPr>
          <w:rFonts w:hint="eastAsia" w:ascii="宋体" w:hAnsi="宋体" w:cs="宋体"/>
          <w:b/>
          <w:color w:val="auto"/>
          <w:sz w:val="28"/>
          <w:szCs w:val="28"/>
          <w:u w:val="single"/>
        </w:rPr>
        <w:t xml:space="preserve">    </w:t>
      </w:r>
      <w:r>
        <w:rPr>
          <w:rFonts w:hint="eastAsia" w:ascii="宋体" w:hAnsi="宋体" w:cs="宋体"/>
          <w:b/>
          <w:color w:val="auto"/>
          <w:sz w:val="28"/>
          <w:szCs w:val="28"/>
          <w:u w:val="single"/>
          <w:lang w:val="en-US" w:eastAsia="zh-CN"/>
        </w:rPr>
        <w:t xml:space="preserve">  </w:t>
      </w:r>
      <w:r>
        <w:rPr>
          <w:rFonts w:hint="eastAsia" w:ascii="宋体" w:hAnsi="宋体" w:cs="宋体"/>
          <w:b/>
          <w:color w:val="auto"/>
          <w:sz w:val="28"/>
          <w:szCs w:val="28"/>
          <w:u w:val="single"/>
        </w:rPr>
        <w:t xml:space="preserve"> </w:t>
      </w:r>
    </w:p>
    <w:p w14:paraId="6761A468">
      <w:pPr>
        <w:adjustRightInd w:val="0"/>
        <w:snapToGrid w:val="0"/>
        <w:spacing w:line="360" w:lineRule="auto"/>
        <w:ind w:left="1680" w:leftChars="800"/>
        <w:rPr>
          <w:rFonts w:hint="eastAsia" w:ascii="宋体" w:hAnsi="宋体" w:cs="Tahoma"/>
          <w:b/>
          <w:color w:val="auto"/>
          <w:sz w:val="28"/>
          <w:szCs w:val="28"/>
          <w:u w:val="single"/>
        </w:rPr>
      </w:pPr>
      <w:r>
        <w:rPr>
          <w:rFonts w:hint="eastAsia" w:ascii="宋体" w:hAnsi="宋体" w:cs="Tahoma"/>
          <w:b/>
          <w:color w:val="auto"/>
          <w:sz w:val="28"/>
          <w:szCs w:val="28"/>
        </w:rPr>
        <w:t>合同签订地点：</w:t>
      </w:r>
      <w:r>
        <w:rPr>
          <w:rFonts w:hint="eastAsia" w:ascii="宋体" w:hAnsi="宋体" w:cs="Arial"/>
          <w:b/>
          <w:color w:val="auto"/>
          <w:sz w:val="28"/>
          <w:szCs w:val="28"/>
          <w:u w:val="single"/>
        </w:rPr>
        <w:t xml:space="preserve">   </w:t>
      </w:r>
      <w:r>
        <w:rPr>
          <w:rFonts w:hint="eastAsia" w:ascii="宋体" w:hAnsi="宋体" w:cs="Tahoma"/>
          <w:b/>
          <w:color w:val="auto"/>
          <w:sz w:val="28"/>
          <w:szCs w:val="28"/>
          <w:u w:val="single"/>
        </w:rPr>
        <w:t xml:space="preserve">陕西国防工业职业技术学院  </w:t>
      </w:r>
      <w:r>
        <w:rPr>
          <w:rFonts w:hint="eastAsia" w:ascii="宋体" w:hAnsi="宋体" w:cs="Tahoma"/>
          <w:b/>
          <w:color w:val="auto"/>
          <w:sz w:val="28"/>
          <w:szCs w:val="28"/>
          <w:u w:val="single"/>
          <w:lang w:val="en-US" w:eastAsia="zh-CN"/>
        </w:rPr>
        <w:t xml:space="preserve">       </w:t>
      </w:r>
      <w:r>
        <w:rPr>
          <w:rFonts w:hint="eastAsia" w:ascii="宋体" w:hAnsi="宋体" w:cs="Tahoma"/>
          <w:b/>
          <w:color w:val="auto"/>
          <w:sz w:val="28"/>
          <w:szCs w:val="28"/>
          <w:u w:val="single"/>
        </w:rPr>
        <w:t xml:space="preserve">  </w:t>
      </w:r>
    </w:p>
    <w:p w14:paraId="6AB06239">
      <w:pPr>
        <w:adjustRightInd w:val="0"/>
        <w:snapToGrid w:val="0"/>
        <w:spacing w:line="360" w:lineRule="auto"/>
        <w:ind w:left="1680" w:leftChars="800"/>
        <w:rPr>
          <w:rFonts w:ascii="宋体" w:hAnsi="宋体" w:cs="Tahoma"/>
          <w:b/>
          <w:sz w:val="28"/>
          <w:szCs w:val="28"/>
          <w:u w:val="single"/>
        </w:rPr>
      </w:pPr>
      <w:r>
        <w:rPr>
          <w:rFonts w:hint="eastAsia" w:ascii="宋体" w:hAnsi="宋体" w:cs="Tahoma"/>
          <w:b/>
          <w:color w:val="auto"/>
          <w:sz w:val="28"/>
          <w:szCs w:val="28"/>
        </w:rPr>
        <w:t>合同签订时间：</w:t>
      </w:r>
      <w:r>
        <w:rPr>
          <w:rFonts w:hint="eastAsia" w:ascii="宋体" w:hAnsi="宋体" w:cs="Tahoma"/>
          <w:b/>
          <w:color w:val="auto"/>
          <w:sz w:val="28"/>
          <w:szCs w:val="28"/>
          <w:u w:val="single"/>
        </w:rPr>
        <w:t xml:space="preserve">      </w:t>
      </w:r>
      <w:r>
        <w:rPr>
          <w:rFonts w:hint="eastAsia" w:ascii="宋体" w:hAnsi="宋体" w:cs="Tahoma"/>
          <w:b/>
          <w:color w:val="auto"/>
          <w:sz w:val="28"/>
          <w:szCs w:val="28"/>
          <w:u w:val="single"/>
          <w:lang w:val="en-US" w:eastAsia="zh-CN"/>
        </w:rPr>
        <w:t xml:space="preserve">                </w:t>
      </w:r>
      <w:r>
        <w:rPr>
          <w:rFonts w:hint="eastAsia" w:ascii="宋体" w:hAnsi="宋体" w:cs="Tahoma"/>
          <w:b/>
          <w:color w:val="auto"/>
          <w:sz w:val="28"/>
          <w:szCs w:val="28"/>
          <w:u w:val="single"/>
        </w:rPr>
        <w:t xml:space="preserve">      </w:t>
      </w:r>
      <w:r>
        <w:rPr>
          <w:rFonts w:hint="eastAsia" w:ascii="宋体" w:hAnsi="宋体" w:cs="Tahoma"/>
          <w:b/>
          <w:sz w:val="28"/>
          <w:szCs w:val="28"/>
          <w:u w:val="single"/>
        </w:rPr>
        <w:t xml:space="preserve">  </w:t>
      </w:r>
      <w:r>
        <w:rPr>
          <w:rFonts w:hint="eastAsia" w:ascii="宋体" w:hAnsi="宋体" w:cs="Tahoma"/>
          <w:b/>
          <w:sz w:val="28"/>
          <w:szCs w:val="28"/>
          <w:u w:val="single"/>
          <w:lang w:val="en-US" w:eastAsia="zh-CN"/>
        </w:rPr>
        <w:t xml:space="preserve">     </w:t>
      </w:r>
      <w:r>
        <w:rPr>
          <w:rFonts w:hint="eastAsia" w:ascii="宋体" w:hAnsi="宋体" w:cs="Tahoma"/>
          <w:b/>
          <w:sz w:val="28"/>
          <w:szCs w:val="28"/>
          <w:u w:val="single"/>
        </w:rPr>
        <w:t xml:space="preserve">   </w:t>
      </w:r>
    </w:p>
    <w:p w14:paraId="2B1C3C18">
      <w:pPr>
        <w:adjustRightInd w:val="0"/>
        <w:snapToGrid w:val="0"/>
        <w:spacing w:line="360" w:lineRule="auto"/>
        <w:rPr>
          <w:rFonts w:hint="eastAsia" w:ascii="宋体" w:hAnsi="宋体" w:cs="Tahoma"/>
          <w:b/>
          <w:sz w:val="28"/>
          <w:szCs w:val="28"/>
          <w:u w:val="single"/>
        </w:rPr>
      </w:pPr>
    </w:p>
    <w:p w14:paraId="01D11E2A">
      <w:pPr>
        <w:adjustRightInd w:val="0"/>
        <w:snapToGrid w:val="0"/>
        <w:spacing w:line="300" w:lineRule="auto"/>
        <w:ind w:left="2101" w:leftChars="1000" w:hanging="1"/>
        <w:rPr>
          <w:rFonts w:ascii="宋体" w:hAnsi="宋体" w:cs="Tahoma"/>
          <w:b/>
          <w:sz w:val="28"/>
          <w:szCs w:val="28"/>
          <w:u w:val="single"/>
        </w:rPr>
      </w:pPr>
    </w:p>
    <w:p w14:paraId="154C0B2E">
      <w:pPr>
        <w:adjustRightInd w:val="0"/>
        <w:snapToGrid w:val="0"/>
        <w:spacing w:line="300" w:lineRule="auto"/>
        <w:ind w:left="2101" w:leftChars="1000" w:hanging="1"/>
        <w:rPr>
          <w:rFonts w:ascii="宋体" w:hAnsi="宋体" w:cs="Tahoma"/>
          <w:b/>
          <w:sz w:val="28"/>
          <w:szCs w:val="28"/>
          <w:u w:val="single"/>
        </w:rPr>
      </w:pPr>
    </w:p>
    <w:p w14:paraId="49C1082D">
      <w:pPr>
        <w:spacing w:before="156" w:beforeLines="50" w:line="360" w:lineRule="auto"/>
        <w:ind w:firstLine="480" w:firstLineChars="200"/>
        <w:rPr>
          <w:rFonts w:ascii="宋体" w:hAnsi="宋体"/>
          <w:sz w:val="24"/>
          <w:szCs w:val="24"/>
        </w:rPr>
      </w:pPr>
      <w:r>
        <w:rPr>
          <w:rFonts w:hint="eastAsia" w:ascii="宋体" w:hAnsi="宋体"/>
          <w:sz w:val="24"/>
          <w:szCs w:val="24"/>
        </w:rPr>
        <w:t>为了维护甲、乙双方合法权益，根据《中华人民共和国民法典》和陕西国防工业职业技术学院</w:t>
      </w:r>
      <w:r>
        <w:rPr>
          <w:rFonts w:hint="eastAsia" w:ascii="宋体" w:hAnsi="宋体"/>
          <w:color w:val="auto"/>
          <w:sz w:val="24"/>
          <w:szCs w:val="24"/>
          <w:u w:val="single"/>
        </w:rPr>
        <w:t xml:space="preserve">  </w:t>
      </w:r>
      <w:r>
        <w:rPr>
          <w:rFonts w:hint="eastAsia" w:ascii="宋体" w:hAnsi="宋体"/>
          <w:b/>
          <w:bCs/>
          <w:color w:val="auto"/>
          <w:sz w:val="24"/>
          <w:szCs w:val="24"/>
          <w:u w:val="single"/>
          <w:lang w:val="en-US" w:eastAsia="zh-CN"/>
        </w:rPr>
        <w:t>马来西亚智能控制技术企业培训中心</w:t>
      </w:r>
      <w:r>
        <w:rPr>
          <w:rFonts w:hint="eastAsia" w:ascii="宋体" w:hAnsi="宋体"/>
          <w:b/>
          <w:color w:val="auto"/>
          <w:sz w:val="24"/>
          <w:szCs w:val="24"/>
          <w:u w:val="single"/>
        </w:rPr>
        <w:t xml:space="preserve">  </w:t>
      </w:r>
      <w:r>
        <w:rPr>
          <w:rFonts w:hint="eastAsia" w:ascii="宋体" w:hAnsi="宋体"/>
          <w:color w:val="auto"/>
          <w:sz w:val="24"/>
          <w:szCs w:val="24"/>
        </w:rPr>
        <w:t>采购项目的采购结果，陕西国防工业职业技术学院（甲方）与</w:t>
      </w:r>
      <w:r>
        <w:rPr>
          <w:rFonts w:hint="eastAsia" w:ascii="宋体" w:hAnsi="宋体"/>
          <w:b/>
          <w:color w:val="auto"/>
          <w:sz w:val="24"/>
          <w:szCs w:val="24"/>
          <w:u w:val="single"/>
        </w:rPr>
        <w:t xml:space="preserve"> </w:t>
      </w:r>
      <w:r>
        <w:rPr>
          <w:rFonts w:hint="eastAsia" w:ascii="宋体" w:hAnsi="宋体"/>
          <w:b/>
          <w:color w:val="auto"/>
          <w:sz w:val="24"/>
          <w:szCs w:val="24"/>
          <w:u w:val="single"/>
          <w:lang w:val="en-US" w:eastAsia="zh-CN"/>
        </w:rPr>
        <w:t xml:space="preserve">                       </w:t>
      </w:r>
      <w:r>
        <w:rPr>
          <w:rFonts w:hint="eastAsia" w:ascii="宋体" w:hAnsi="宋体"/>
          <w:b/>
          <w:color w:val="auto"/>
          <w:sz w:val="24"/>
          <w:szCs w:val="24"/>
          <w:u w:val="single"/>
        </w:rPr>
        <w:t xml:space="preserve"> </w:t>
      </w:r>
      <w:r>
        <w:rPr>
          <w:rFonts w:hint="eastAsia" w:ascii="宋体" w:hAnsi="宋体"/>
          <w:sz w:val="24"/>
          <w:szCs w:val="24"/>
        </w:rPr>
        <w:t>（乙方）经协商在</w:t>
      </w:r>
      <w:r>
        <w:rPr>
          <w:rFonts w:ascii="宋体" w:hAnsi="宋体"/>
          <w:sz w:val="24"/>
          <w:szCs w:val="24"/>
        </w:rPr>
        <w:t>平等</w:t>
      </w:r>
      <w:r>
        <w:rPr>
          <w:rFonts w:hint="eastAsia" w:ascii="宋体" w:hAnsi="宋体"/>
          <w:sz w:val="24"/>
          <w:szCs w:val="24"/>
        </w:rPr>
        <w:t>自愿</w:t>
      </w:r>
      <w:r>
        <w:rPr>
          <w:rFonts w:ascii="宋体" w:hAnsi="宋体"/>
          <w:sz w:val="24"/>
          <w:szCs w:val="24"/>
        </w:rPr>
        <w:t>的基础上</w:t>
      </w:r>
      <w:r>
        <w:rPr>
          <w:rFonts w:hint="eastAsia" w:ascii="宋体" w:hAnsi="宋体"/>
          <w:sz w:val="24"/>
          <w:szCs w:val="24"/>
        </w:rPr>
        <w:t>订立本合同。</w:t>
      </w:r>
    </w:p>
    <w:p w14:paraId="197741AF">
      <w:pPr>
        <w:spacing w:line="360" w:lineRule="auto"/>
        <w:rPr>
          <w:rFonts w:ascii="宋体" w:hAnsi="宋体"/>
          <w:b/>
          <w:sz w:val="24"/>
          <w:szCs w:val="24"/>
        </w:rPr>
      </w:pPr>
      <w:r>
        <w:rPr>
          <w:rFonts w:hint="eastAsia" w:ascii="宋体" w:hAnsi="宋体"/>
          <w:b/>
          <w:sz w:val="24"/>
          <w:szCs w:val="24"/>
        </w:rPr>
        <w:t>一、服务内容及</w:t>
      </w:r>
      <w:r>
        <w:rPr>
          <w:rFonts w:ascii="宋体" w:hAnsi="宋体"/>
          <w:b/>
          <w:sz w:val="24"/>
          <w:szCs w:val="24"/>
        </w:rPr>
        <w:t>标准</w:t>
      </w:r>
    </w:p>
    <w:p w14:paraId="66899434">
      <w:pPr>
        <w:spacing w:line="360" w:lineRule="auto"/>
        <w:ind w:firstLine="480" w:firstLineChars="200"/>
        <w:rPr>
          <w:rFonts w:ascii="宋体" w:hAnsi="宋体"/>
          <w:color w:val="auto"/>
          <w:sz w:val="24"/>
          <w:szCs w:val="24"/>
        </w:rPr>
      </w:pPr>
      <w:r>
        <w:rPr>
          <w:rFonts w:hint="eastAsia" w:ascii="宋体" w:hAnsi="宋体"/>
          <w:color w:val="auto"/>
          <w:sz w:val="24"/>
          <w:szCs w:val="24"/>
        </w:rPr>
        <w:t>1．乙方同意向甲方提供以下服务内容及数量：</w:t>
      </w:r>
    </w:p>
    <w:p w14:paraId="5D0FDB5F">
      <w:pPr>
        <w:spacing w:line="360" w:lineRule="auto"/>
        <w:ind w:firstLine="480" w:firstLineChars="200"/>
        <w:rPr>
          <w:rFonts w:ascii="宋体" w:hAnsi="宋体"/>
          <w:color w:val="auto"/>
          <w:sz w:val="24"/>
          <w:szCs w:val="24"/>
          <w:u w:val="single"/>
        </w:rPr>
      </w:pPr>
      <w:r>
        <w:rPr>
          <w:rFonts w:hint="eastAsia" w:ascii="宋体" w:hAnsi="宋体"/>
          <w:color w:val="auto"/>
          <w:sz w:val="24"/>
          <w:szCs w:val="24"/>
          <w:u w:val="single"/>
        </w:rPr>
        <w:t xml:space="preserve">    </w:t>
      </w:r>
      <w:r>
        <w:rPr>
          <w:rFonts w:ascii="宋体" w:hAnsi="宋体"/>
          <w:color w:val="auto"/>
          <w:sz w:val="24"/>
          <w:szCs w:val="24"/>
          <w:u w:val="single"/>
        </w:rPr>
        <w:t xml:space="preserve"> </w:t>
      </w:r>
      <w:r>
        <w:rPr>
          <w:rFonts w:hint="eastAsia" w:ascii="宋体" w:hAnsi="宋体"/>
          <w:color w:val="auto"/>
          <w:sz w:val="24"/>
          <w:szCs w:val="24"/>
          <w:u w:val="single"/>
        </w:rPr>
        <w:t>详见附件一《服务项目清单》。</w:t>
      </w:r>
    </w:p>
    <w:p w14:paraId="5A221FA1">
      <w:pPr>
        <w:numPr>
          <w:ilvl w:val="0"/>
          <w:numId w:val="1"/>
        </w:numPr>
        <w:spacing w:line="360" w:lineRule="auto"/>
        <w:ind w:left="239" w:leftChars="114" w:firstLine="240" w:firstLineChars="100"/>
        <w:rPr>
          <w:rFonts w:ascii="宋体" w:hAnsi="宋体"/>
          <w:color w:val="auto"/>
          <w:sz w:val="24"/>
          <w:szCs w:val="24"/>
        </w:rPr>
      </w:pPr>
      <w:r>
        <w:rPr>
          <w:rFonts w:hint="eastAsia" w:ascii="宋体" w:hAnsi="宋体"/>
          <w:color w:val="auto"/>
          <w:sz w:val="24"/>
          <w:szCs w:val="24"/>
        </w:rPr>
        <w:t>服务期限：本合同服务期限为</w:t>
      </w:r>
      <w:r>
        <w:rPr>
          <w:rFonts w:hint="eastAsia" w:ascii="宋体" w:hAnsi="宋体"/>
          <w:color w:val="auto"/>
          <w:sz w:val="24"/>
          <w:szCs w:val="24"/>
          <w:lang w:val="en-US" w:eastAsia="zh-CN"/>
        </w:rPr>
        <w:t>自合同签订之日起</w:t>
      </w:r>
      <w:r>
        <w:rPr>
          <w:rFonts w:hint="eastAsia" w:ascii="宋体" w:hAnsi="宋体"/>
          <w:color w:val="auto"/>
          <w:sz w:val="24"/>
          <w:szCs w:val="24"/>
        </w:rPr>
        <w:t>至</w:t>
      </w:r>
      <w:r>
        <w:rPr>
          <w:rFonts w:hint="eastAsia" w:ascii="宋体" w:hAnsi="宋体"/>
          <w:color w:val="auto"/>
          <w:sz w:val="24"/>
          <w:szCs w:val="24"/>
          <w:u w:val="single"/>
          <w:lang w:val="en-US" w:eastAsia="zh-CN"/>
        </w:rPr>
        <w:t xml:space="preserve">  2026  </w:t>
      </w:r>
      <w:r>
        <w:rPr>
          <w:rFonts w:ascii="宋体" w:hAnsi="宋体"/>
          <w:color w:val="auto"/>
          <w:sz w:val="24"/>
          <w:szCs w:val="24"/>
          <w:u w:val="single"/>
        </w:rPr>
        <w:t xml:space="preserve"> </w:t>
      </w:r>
      <w:r>
        <w:rPr>
          <w:rFonts w:hint="eastAsia" w:ascii="宋体" w:hAnsi="宋体"/>
          <w:color w:val="auto"/>
          <w:sz w:val="24"/>
          <w:szCs w:val="24"/>
        </w:rPr>
        <w:t>年</w:t>
      </w:r>
      <w:r>
        <w:rPr>
          <w:rFonts w:ascii="宋体" w:hAnsi="宋体"/>
          <w:color w:val="auto"/>
          <w:sz w:val="24"/>
          <w:szCs w:val="24"/>
          <w:u w:val="single"/>
        </w:rPr>
        <w:t xml:space="preserve"> </w:t>
      </w:r>
      <w:r>
        <w:rPr>
          <w:rFonts w:hint="eastAsia" w:ascii="宋体" w:hAnsi="宋体"/>
          <w:color w:val="auto"/>
          <w:sz w:val="24"/>
          <w:szCs w:val="24"/>
          <w:u w:val="single"/>
          <w:lang w:val="en-US" w:eastAsia="zh-CN"/>
        </w:rPr>
        <w:t>11</w:t>
      </w:r>
      <w:r>
        <w:rPr>
          <w:rFonts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lang w:val="en-US" w:eastAsia="zh-CN"/>
        </w:rPr>
        <w:t xml:space="preserve"> 30  </w:t>
      </w:r>
      <w:r>
        <w:rPr>
          <w:rFonts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 w:val="24"/>
          <w:szCs w:val="24"/>
          <w:lang w:eastAsia="zh-CN"/>
        </w:rPr>
        <w:t>，</w:t>
      </w:r>
      <w:r>
        <w:rPr>
          <w:rFonts w:hint="eastAsia" w:ascii="宋体" w:hAnsi="宋体"/>
          <w:color w:val="auto"/>
          <w:sz w:val="24"/>
          <w:szCs w:val="24"/>
          <w:lang w:val="en-US" w:eastAsia="zh-CN"/>
        </w:rPr>
        <w:t>乙方按照合同要求完成项目内容，获得甲方验收合格为止</w:t>
      </w:r>
      <w:r>
        <w:rPr>
          <w:rFonts w:hint="eastAsia" w:ascii="宋体" w:hAnsi="宋体"/>
          <w:color w:val="auto"/>
          <w:sz w:val="24"/>
          <w:szCs w:val="24"/>
        </w:rPr>
        <w:t>。</w:t>
      </w:r>
      <w:r>
        <w:rPr>
          <w:rFonts w:ascii="宋体" w:hAnsi="宋体"/>
          <w:color w:val="auto"/>
          <w:sz w:val="24"/>
          <w:szCs w:val="24"/>
        </w:rPr>
        <w:t> </w:t>
      </w:r>
    </w:p>
    <w:p w14:paraId="3A7F8B8D">
      <w:pPr>
        <w:numPr>
          <w:ilvl w:val="0"/>
          <w:numId w:val="1"/>
        </w:numPr>
        <w:spacing w:line="360" w:lineRule="auto"/>
        <w:ind w:left="239" w:leftChars="114" w:firstLine="240" w:firstLineChars="100"/>
        <w:rPr>
          <w:rFonts w:ascii="宋体" w:hAnsi="宋体"/>
          <w:color w:val="auto"/>
          <w:sz w:val="24"/>
          <w:szCs w:val="24"/>
          <w:u w:val="single"/>
        </w:rPr>
      </w:pPr>
      <w:r>
        <w:rPr>
          <w:rFonts w:hint="eastAsia" w:ascii="宋体" w:hAnsi="宋体"/>
          <w:color w:val="auto"/>
          <w:sz w:val="24"/>
          <w:szCs w:val="24"/>
        </w:rPr>
        <w:t>服务实施</w:t>
      </w:r>
      <w:r>
        <w:rPr>
          <w:rFonts w:ascii="宋体" w:hAnsi="宋体"/>
          <w:color w:val="auto"/>
          <w:sz w:val="24"/>
          <w:szCs w:val="24"/>
        </w:rPr>
        <w:t>地点：</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27C1A4CC">
      <w:pPr>
        <w:spacing w:line="360" w:lineRule="auto"/>
        <w:ind w:firstLine="480" w:firstLineChars="200"/>
        <w:rPr>
          <w:rFonts w:hint="default" w:ascii="宋体" w:hAnsi="宋体" w:eastAsia="宋体"/>
          <w:color w:val="auto"/>
          <w:sz w:val="24"/>
          <w:szCs w:val="24"/>
          <w:u w:val="single"/>
          <w:lang w:val="en-US" w:eastAsia="zh-CN"/>
        </w:rPr>
      </w:pPr>
      <w:r>
        <w:rPr>
          <w:rFonts w:ascii="宋体" w:hAnsi="宋体"/>
          <w:color w:val="auto"/>
          <w:sz w:val="24"/>
          <w:szCs w:val="24"/>
        </w:rPr>
        <w:t>4</w:t>
      </w:r>
      <w:r>
        <w:rPr>
          <w:rFonts w:hint="eastAsia" w:ascii="宋体" w:hAnsi="宋体"/>
          <w:color w:val="auto"/>
          <w:sz w:val="24"/>
          <w:szCs w:val="24"/>
        </w:rPr>
        <w:t>.</w:t>
      </w:r>
      <w:r>
        <w:rPr>
          <w:rFonts w:hint="eastAsia"/>
          <w:color w:val="auto"/>
          <w:sz w:val="24"/>
          <w:szCs w:val="24"/>
        </w:rPr>
        <w:t xml:space="preserve"> </w:t>
      </w:r>
      <w:r>
        <w:rPr>
          <w:rFonts w:hint="eastAsia" w:ascii="宋体" w:hAnsi="宋体"/>
          <w:color w:val="auto"/>
          <w:sz w:val="24"/>
          <w:szCs w:val="24"/>
        </w:rPr>
        <w:t>联系人及电话：</w:t>
      </w:r>
      <w:r>
        <w:rPr>
          <w:rFonts w:hint="eastAsia" w:ascii="宋体" w:hAnsi="宋体"/>
          <w:color w:val="auto"/>
          <w:sz w:val="24"/>
          <w:szCs w:val="24"/>
          <w:lang w:val="en-US" w:eastAsia="zh-CN"/>
        </w:rPr>
        <w:t xml:space="preserve"> </w:t>
      </w:r>
      <w:r>
        <w:rPr>
          <w:rFonts w:hint="eastAsia" w:ascii="宋体" w:hAnsi="宋体" w:eastAsia="宋体" w:cs="Times New Roman"/>
          <w:b/>
          <w:color w:val="auto"/>
          <w:sz w:val="24"/>
          <w:szCs w:val="24"/>
          <w:u w:val="single"/>
          <w:lang w:val="en-US" w:eastAsia="zh-CN"/>
        </w:rPr>
        <w:t xml:space="preserve">甲方                   </w:t>
      </w:r>
      <w:r>
        <w:rPr>
          <w:rFonts w:hint="eastAsia" w:ascii="宋体" w:hAnsi="宋体"/>
          <w:b/>
          <w:color w:val="auto"/>
          <w:sz w:val="24"/>
          <w:szCs w:val="24"/>
          <w:u w:val="single"/>
          <w:lang w:val="en-US" w:eastAsia="zh-CN"/>
        </w:rPr>
        <w:t xml:space="preserve">  </w:t>
      </w:r>
    </w:p>
    <w:p w14:paraId="297F758B">
      <w:pPr>
        <w:spacing w:line="360" w:lineRule="auto"/>
        <w:ind w:firstLine="2650" w:firstLineChars="1100"/>
        <w:rPr>
          <w:rFonts w:hint="default" w:ascii="宋体" w:hAnsi="宋体"/>
          <w:b/>
          <w:color w:val="auto"/>
          <w:sz w:val="24"/>
          <w:szCs w:val="24"/>
          <w:u w:val="single"/>
          <w:lang w:val="en-US"/>
        </w:rPr>
      </w:pPr>
      <w:r>
        <w:rPr>
          <w:rFonts w:hint="eastAsia" w:ascii="宋体" w:hAnsi="宋体"/>
          <w:b/>
          <w:color w:val="auto"/>
          <w:sz w:val="24"/>
          <w:szCs w:val="24"/>
          <w:u w:val="single"/>
          <w:lang w:val="en-US" w:eastAsia="zh-CN"/>
        </w:rPr>
        <w:t xml:space="preserve">乙方                     </w:t>
      </w:r>
    </w:p>
    <w:p w14:paraId="6D912F9D">
      <w:pPr>
        <w:spacing w:line="360" w:lineRule="auto"/>
        <w:rPr>
          <w:rFonts w:ascii="宋体" w:hAnsi="宋体"/>
          <w:b/>
          <w:color w:val="000000"/>
          <w:sz w:val="24"/>
          <w:szCs w:val="24"/>
        </w:rPr>
      </w:pPr>
      <w:r>
        <w:rPr>
          <w:rFonts w:ascii="宋体" w:hAnsi="宋体"/>
          <w:b/>
          <w:color w:val="000000"/>
          <w:sz w:val="24"/>
          <w:szCs w:val="24"/>
        </w:rPr>
        <w:t>二、</w:t>
      </w:r>
      <w:r>
        <w:rPr>
          <w:rFonts w:hint="eastAsia" w:ascii="宋体" w:hAnsi="宋体"/>
          <w:b/>
          <w:color w:val="000000"/>
          <w:sz w:val="24"/>
          <w:szCs w:val="24"/>
        </w:rPr>
        <w:t>合同</w:t>
      </w:r>
      <w:r>
        <w:rPr>
          <w:rFonts w:ascii="宋体" w:hAnsi="宋体"/>
          <w:b/>
          <w:color w:val="000000"/>
          <w:sz w:val="24"/>
          <w:szCs w:val="24"/>
        </w:rPr>
        <w:t>金额及结算方式</w:t>
      </w:r>
    </w:p>
    <w:p w14:paraId="7635BC60">
      <w:pPr>
        <w:spacing w:line="360" w:lineRule="auto"/>
        <w:ind w:firstLine="480" w:firstLineChars="200"/>
        <w:rPr>
          <w:rFonts w:hint="eastAsia" w:ascii="宋体" w:hAnsi="宋体" w:eastAsia="宋体"/>
          <w:color w:val="000000"/>
          <w:sz w:val="24"/>
          <w:szCs w:val="24"/>
          <w:lang w:eastAsia="zh-CN"/>
        </w:rPr>
      </w:pPr>
      <w:r>
        <w:rPr>
          <w:rFonts w:hint="eastAsia" w:ascii="宋体" w:hAnsi="宋体"/>
          <w:color w:val="000000"/>
          <w:sz w:val="24"/>
          <w:szCs w:val="24"/>
        </w:rPr>
        <w:t>1．本合同服务费用总金额为：（大写）人民币</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，（小写：¥</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w:t>
      </w:r>
      <w:r>
        <w:rPr>
          <w:rFonts w:hint="eastAsia" w:ascii="宋体" w:hAnsi="宋体"/>
          <w:color w:val="000000"/>
          <w:sz w:val="24"/>
          <w:szCs w:val="24"/>
        </w:rPr>
        <w:t>本</w:t>
      </w:r>
      <w:r>
        <w:rPr>
          <w:rFonts w:ascii="宋体" w:hAnsi="宋体"/>
          <w:color w:val="000000"/>
          <w:sz w:val="24"/>
          <w:szCs w:val="24"/>
        </w:rPr>
        <w:t>合同总金额包</w:t>
      </w:r>
      <w:r>
        <w:rPr>
          <w:rFonts w:hint="eastAsia" w:ascii="宋体" w:hAnsi="宋体"/>
          <w:color w:val="000000"/>
          <w:sz w:val="24"/>
          <w:szCs w:val="24"/>
        </w:rPr>
        <w:t>含</w:t>
      </w:r>
      <w:r>
        <w:rPr>
          <w:rFonts w:ascii="宋体" w:hAnsi="宋体"/>
          <w:color w:val="000000"/>
          <w:sz w:val="24"/>
          <w:szCs w:val="24"/>
        </w:rPr>
        <w:t>完成</w:t>
      </w:r>
      <w:r>
        <w:rPr>
          <w:rFonts w:hint="eastAsia" w:ascii="宋体" w:hAnsi="宋体"/>
          <w:color w:val="000000"/>
          <w:sz w:val="24"/>
          <w:szCs w:val="24"/>
        </w:rPr>
        <w:t>本合</w:t>
      </w:r>
      <w:r>
        <w:rPr>
          <w:rFonts w:hint="eastAsia" w:ascii="宋体" w:hAnsi="宋体"/>
          <w:color w:val="000000"/>
          <w:sz w:val="24"/>
          <w:szCs w:val="24"/>
          <w:lang w:val="en-US" w:eastAsia="zh-CN"/>
        </w:rPr>
        <w:t>同</w:t>
      </w:r>
      <w:r>
        <w:rPr>
          <w:rFonts w:hint="eastAsia" w:ascii="宋体" w:hAnsi="宋体"/>
          <w:color w:val="000000"/>
          <w:sz w:val="24"/>
          <w:szCs w:val="24"/>
        </w:rPr>
        <w:t>所需的一切费用，不受市场价格变化因素的影响</w:t>
      </w:r>
      <w:r>
        <w:rPr>
          <w:rFonts w:hint="eastAsia" w:ascii="宋体" w:hAnsi="宋体"/>
          <w:color w:val="000000"/>
          <w:sz w:val="24"/>
          <w:szCs w:val="24"/>
          <w:lang w:eastAsia="zh-CN"/>
        </w:rPr>
        <w:t>。</w:t>
      </w:r>
    </w:p>
    <w:p w14:paraId="5CFDD6E9">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2.结算方式</w:t>
      </w:r>
    </w:p>
    <w:p w14:paraId="00A60C63">
      <w:pPr>
        <w:spacing w:line="360" w:lineRule="auto"/>
        <w:ind w:firstLine="480" w:firstLineChars="200"/>
        <w:rPr>
          <w:rFonts w:ascii="宋体" w:hAnsi="宋体"/>
          <w:sz w:val="24"/>
          <w:szCs w:val="24"/>
        </w:rPr>
      </w:pPr>
      <w:r>
        <w:rPr>
          <w:rFonts w:hint="eastAsia" w:ascii="宋体" w:hAnsi="宋体"/>
          <w:sz w:val="24"/>
          <w:szCs w:val="24"/>
        </w:rPr>
        <w:t>合同签订后，达到付款条件起20日内，支付合同总金额的 40.00%。甲方进行初次验收，验收合格后，达到付款条件起30日内，支付合同总金额的10.00%。乙方完成所有的服务，并提供验收报告给甲方，甲方组织验收，验收合格后，达到付款条件起7日内，支付合同总金额的50.00%。</w:t>
      </w:r>
    </w:p>
    <w:p w14:paraId="71DA44C4">
      <w:pPr>
        <w:spacing w:line="360" w:lineRule="auto"/>
        <w:rPr>
          <w:rFonts w:ascii="宋体" w:hAnsi="宋体"/>
          <w:color w:val="000000"/>
          <w:sz w:val="24"/>
          <w:szCs w:val="24"/>
        </w:rPr>
      </w:pPr>
      <w:r>
        <w:rPr>
          <w:rFonts w:hint="eastAsia" w:ascii="宋体" w:hAnsi="宋体"/>
          <w:b/>
          <w:sz w:val="24"/>
          <w:szCs w:val="24"/>
        </w:rPr>
        <w:t>三、服务质量保证</w:t>
      </w:r>
    </w:p>
    <w:p w14:paraId="0E205FFD">
      <w:pPr>
        <w:pStyle w:val="9"/>
        <w:widowControl w:val="0"/>
        <w:spacing w:before="0" w:beforeAutospacing="0" w:after="0" w:afterAutospacing="0" w:line="360" w:lineRule="auto"/>
        <w:ind w:firstLine="480" w:firstLineChars="200"/>
        <w:rPr>
          <w:color w:val="000000"/>
        </w:rPr>
      </w:pPr>
      <w:r>
        <w:rPr>
          <w:rFonts w:hint="eastAsia"/>
          <w:color w:val="000000"/>
        </w:rPr>
        <w:t>1.乙方按照本合同前款</w:t>
      </w:r>
      <w:r>
        <w:rPr>
          <w:color w:val="000000"/>
        </w:rPr>
        <w:t>所述的服务时间、地点</w:t>
      </w:r>
      <w:r>
        <w:rPr>
          <w:rFonts w:hint="eastAsia"/>
          <w:color w:val="000000"/>
        </w:rPr>
        <w:t>、</w:t>
      </w:r>
      <w:r>
        <w:rPr>
          <w:color w:val="000000"/>
        </w:rPr>
        <w:t>内容、数量和质量等要求向</w:t>
      </w:r>
      <w:r>
        <w:rPr>
          <w:rFonts w:hint="eastAsia"/>
          <w:color w:val="000000"/>
        </w:rPr>
        <w:t>甲方</w:t>
      </w:r>
      <w:r>
        <w:rPr>
          <w:color w:val="000000"/>
        </w:rPr>
        <w:t>提供服务，在服务期限内，</w:t>
      </w:r>
      <w:r>
        <w:rPr>
          <w:rFonts w:hint="eastAsia"/>
          <w:color w:val="000000"/>
        </w:rPr>
        <w:t>若</w:t>
      </w:r>
      <w:r>
        <w:rPr>
          <w:color w:val="000000"/>
        </w:rPr>
        <w:t>乙方提供的服务未达到</w:t>
      </w:r>
      <w:r>
        <w:rPr>
          <w:rFonts w:hint="eastAsia"/>
          <w:color w:val="000000"/>
        </w:rPr>
        <w:t>约定</w:t>
      </w:r>
      <w:r>
        <w:rPr>
          <w:color w:val="000000"/>
        </w:rPr>
        <w:t>的数量、质量</w:t>
      </w:r>
      <w:r>
        <w:rPr>
          <w:rFonts w:hint="eastAsia"/>
          <w:color w:val="000000"/>
        </w:rPr>
        <w:t>等</w:t>
      </w:r>
      <w:r>
        <w:rPr>
          <w:color w:val="000000"/>
        </w:rPr>
        <w:t>标准</w:t>
      </w:r>
      <w:r>
        <w:rPr>
          <w:rFonts w:hint="eastAsia"/>
          <w:color w:val="000000"/>
        </w:rPr>
        <w:t>，</w:t>
      </w:r>
      <w:r>
        <w:rPr>
          <w:color w:val="000000"/>
        </w:rPr>
        <w:t>应当及时</w:t>
      </w:r>
      <w:r>
        <w:rPr>
          <w:rFonts w:hint="eastAsia"/>
          <w:color w:val="000000"/>
        </w:rPr>
        <w:t>更换</w:t>
      </w:r>
      <w:r>
        <w:rPr>
          <w:color w:val="000000"/>
        </w:rPr>
        <w:t>、补齐</w:t>
      </w:r>
      <w:r>
        <w:rPr>
          <w:rFonts w:hint="eastAsia"/>
          <w:color w:val="000000"/>
        </w:rPr>
        <w:t>或</w:t>
      </w:r>
      <w:r>
        <w:rPr>
          <w:color w:val="000000"/>
        </w:rPr>
        <w:t>提升服务质量水平至本合同要求的标准。</w:t>
      </w:r>
    </w:p>
    <w:p w14:paraId="185C18B9">
      <w:pPr>
        <w:spacing w:line="360" w:lineRule="auto"/>
        <w:ind w:firstLine="480" w:firstLineChars="200"/>
        <w:rPr>
          <w:rFonts w:hint="eastAsia" w:ascii="宋体" w:hAnsi="宋体"/>
          <w:sz w:val="24"/>
          <w:szCs w:val="24"/>
        </w:rPr>
      </w:pPr>
      <w:r>
        <w:rPr>
          <w:rFonts w:ascii="宋体" w:hAnsi="宋体"/>
          <w:sz w:val="24"/>
          <w:szCs w:val="24"/>
        </w:rPr>
        <w:t>2.</w:t>
      </w:r>
      <w:r>
        <w:rPr>
          <w:rFonts w:hint="eastAsia" w:ascii="宋体" w:hAnsi="宋体"/>
          <w:sz w:val="24"/>
          <w:szCs w:val="24"/>
        </w:rPr>
        <w:t>乙方根据</w:t>
      </w:r>
      <w:r>
        <w:rPr>
          <w:rFonts w:ascii="宋体" w:hAnsi="宋体"/>
          <w:sz w:val="24"/>
          <w:szCs w:val="24"/>
        </w:rPr>
        <w:t>甲方提供的</w:t>
      </w:r>
      <w:r>
        <w:rPr>
          <w:rFonts w:hint="eastAsia" w:ascii="宋体" w:hAnsi="宋体"/>
          <w:sz w:val="24"/>
          <w:szCs w:val="24"/>
        </w:rPr>
        <w:t>场地</w:t>
      </w:r>
      <w:r>
        <w:rPr>
          <w:rFonts w:ascii="宋体" w:hAnsi="宋体"/>
          <w:sz w:val="24"/>
          <w:szCs w:val="24"/>
        </w:rPr>
        <w:t>、设施或材料</w:t>
      </w:r>
      <w:r>
        <w:rPr>
          <w:rFonts w:hint="eastAsia" w:ascii="宋体" w:hAnsi="宋体"/>
          <w:sz w:val="24"/>
          <w:szCs w:val="24"/>
        </w:rPr>
        <w:t>等</w:t>
      </w:r>
      <w:r>
        <w:rPr>
          <w:rFonts w:ascii="宋体" w:hAnsi="宋体"/>
          <w:sz w:val="24"/>
          <w:szCs w:val="24"/>
        </w:rPr>
        <w:t>条件完成服务内容。</w:t>
      </w:r>
      <w:r>
        <w:rPr>
          <w:rFonts w:hint="eastAsia" w:ascii="宋体" w:hAnsi="宋体"/>
          <w:sz w:val="24"/>
          <w:szCs w:val="24"/>
        </w:rPr>
        <w:t>乙方保证所提供的服务必须符合本合同服务项目</w:t>
      </w:r>
      <w:r>
        <w:rPr>
          <w:rFonts w:ascii="宋体" w:hAnsi="宋体"/>
          <w:sz w:val="24"/>
          <w:szCs w:val="24"/>
        </w:rPr>
        <w:t>质量标准</w:t>
      </w:r>
      <w:r>
        <w:rPr>
          <w:rFonts w:hint="eastAsia" w:ascii="宋体" w:hAnsi="宋体"/>
          <w:sz w:val="24"/>
          <w:szCs w:val="24"/>
        </w:rPr>
        <w:t>要求及相关</w:t>
      </w:r>
      <w:r>
        <w:rPr>
          <w:rFonts w:ascii="宋体" w:hAnsi="宋体"/>
          <w:sz w:val="24"/>
          <w:szCs w:val="24"/>
        </w:rPr>
        <w:t>的</w:t>
      </w:r>
      <w:r>
        <w:rPr>
          <w:rFonts w:hint="eastAsia" w:ascii="宋体" w:hAnsi="宋体"/>
          <w:sz w:val="24"/>
          <w:szCs w:val="24"/>
        </w:rPr>
        <w:t>国家标准、行业标准、地方标准或者其他标准、规范。</w:t>
      </w:r>
    </w:p>
    <w:p w14:paraId="3DBFACEA">
      <w:pPr>
        <w:bidi w:val="0"/>
        <w:ind w:firstLine="480" w:firstLineChars="200"/>
        <w:rPr>
          <w:rFonts w:hint="eastAsia"/>
          <w:sz w:val="21"/>
          <w:lang w:val="en-US" w:eastAsia="zh-CN" w:bidi="ar-SA"/>
        </w:rPr>
      </w:pPr>
      <w:r>
        <w:rPr>
          <w:rFonts w:ascii="宋体" w:hAnsi="宋体"/>
          <w:sz w:val="24"/>
          <w:szCs w:val="24"/>
        </w:rPr>
        <w:t>3</w:t>
      </w:r>
      <w:r>
        <w:rPr>
          <w:rFonts w:hint="eastAsia" w:ascii="宋体" w:hAnsi="宋体"/>
          <w:sz w:val="24"/>
          <w:szCs w:val="24"/>
        </w:rPr>
        <w:t>．乙方应具有提供本合同所载服务应当具有的各项资质及专业技术人员，乙方工作人员</w:t>
      </w:r>
    </w:p>
    <w:p w14:paraId="0BAA2362">
      <w:pPr>
        <w:spacing w:line="360" w:lineRule="auto"/>
        <w:rPr>
          <w:rFonts w:ascii="宋体" w:hAnsi="宋体"/>
          <w:sz w:val="24"/>
          <w:szCs w:val="24"/>
        </w:rPr>
      </w:pPr>
      <w:r>
        <w:rPr>
          <w:rFonts w:hint="eastAsia" w:ascii="宋体" w:hAnsi="宋体"/>
          <w:sz w:val="24"/>
          <w:szCs w:val="24"/>
        </w:rPr>
        <w:t>应遵守甲方以及学校相关的规章制度，文明操作，安全服务；由于乙方的管理失误或乙方工作人员的过错造成的损失，由乙方承担全部责任，甲方保留追究乙方相关责任的权利。</w:t>
      </w:r>
    </w:p>
    <w:p w14:paraId="0E202FFD">
      <w:pPr>
        <w:spacing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．如果乙方工作人员在服务中，未尽安全义务，有可能出现伤害自身或威胁到他人生命、财产安全的</w:t>
      </w:r>
      <w:r>
        <w:rPr>
          <w:rFonts w:ascii="宋体" w:hAnsi="宋体"/>
          <w:sz w:val="24"/>
          <w:szCs w:val="24"/>
        </w:rPr>
        <w:t>情况</w:t>
      </w:r>
      <w:r>
        <w:rPr>
          <w:rFonts w:hint="eastAsia" w:ascii="宋体" w:hAnsi="宋体"/>
          <w:sz w:val="24"/>
          <w:szCs w:val="24"/>
        </w:rPr>
        <w:t>，甲方以及相关人员有权立即要求中止服务，由此产生的一切费用及损失由乙方自行承担。</w:t>
      </w:r>
    </w:p>
    <w:p w14:paraId="04C79459">
      <w:pPr>
        <w:spacing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.乙方</w:t>
      </w:r>
      <w:r>
        <w:rPr>
          <w:rFonts w:ascii="宋体" w:hAnsi="宋体"/>
          <w:sz w:val="24"/>
          <w:szCs w:val="24"/>
        </w:rPr>
        <w:t>应确保向甲方提供服务</w:t>
      </w:r>
      <w:r>
        <w:rPr>
          <w:rFonts w:hint="eastAsia" w:ascii="宋体" w:hAnsi="宋体"/>
          <w:sz w:val="24"/>
          <w:szCs w:val="24"/>
        </w:rPr>
        <w:t>的过程中</w:t>
      </w:r>
      <w:r>
        <w:rPr>
          <w:rFonts w:ascii="宋体" w:hAnsi="宋体"/>
          <w:sz w:val="24"/>
          <w:szCs w:val="24"/>
        </w:rPr>
        <w:t>不存在</w:t>
      </w:r>
      <w:r>
        <w:rPr>
          <w:rFonts w:hint="eastAsia" w:ascii="宋体" w:hAnsi="宋体"/>
          <w:sz w:val="24"/>
          <w:szCs w:val="24"/>
        </w:rPr>
        <w:t>侵犯甲方</w:t>
      </w:r>
      <w:r>
        <w:rPr>
          <w:rFonts w:ascii="宋体" w:hAnsi="宋体"/>
          <w:sz w:val="24"/>
          <w:szCs w:val="24"/>
        </w:rPr>
        <w:t>或第三方</w:t>
      </w:r>
      <w:r>
        <w:rPr>
          <w:rFonts w:hint="eastAsia" w:ascii="宋体" w:hAnsi="宋体"/>
          <w:sz w:val="24"/>
          <w:szCs w:val="24"/>
        </w:rPr>
        <w:t>知识</w:t>
      </w:r>
      <w:r>
        <w:rPr>
          <w:rFonts w:ascii="宋体" w:hAnsi="宋体"/>
          <w:sz w:val="24"/>
          <w:szCs w:val="24"/>
        </w:rPr>
        <w:t>产权、名誉权、隐私权等合法权利的情况</w:t>
      </w:r>
      <w:r>
        <w:rPr>
          <w:rFonts w:hint="eastAsia" w:ascii="宋体" w:hAnsi="宋体"/>
          <w:sz w:val="24"/>
          <w:szCs w:val="24"/>
        </w:rPr>
        <w:t>，</w:t>
      </w:r>
      <w:r>
        <w:rPr>
          <w:rFonts w:ascii="宋体" w:hAnsi="宋体"/>
          <w:sz w:val="24"/>
          <w:szCs w:val="24"/>
        </w:rPr>
        <w:t>保证甲方免受任何第三方主张任何权利。</w:t>
      </w:r>
    </w:p>
    <w:p w14:paraId="5BB77AE7">
      <w:pPr>
        <w:spacing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.质量保证期内，乙方负责持续提供交流互访、教学资源开发、师生研学，校企合作等升级服务。</w:t>
      </w:r>
    </w:p>
    <w:p w14:paraId="1F554809">
      <w:pPr>
        <w:spacing w:line="360" w:lineRule="auto"/>
        <w:rPr>
          <w:rFonts w:ascii="宋体" w:hAnsi="宋体"/>
          <w:b/>
          <w:sz w:val="24"/>
          <w:szCs w:val="24"/>
        </w:rPr>
      </w:pPr>
      <w:r>
        <w:rPr>
          <w:rFonts w:hint="eastAsia" w:ascii="宋体" w:hAnsi="宋体"/>
          <w:b/>
          <w:sz w:val="24"/>
          <w:szCs w:val="24"/>
        </w:rPr>
        <w:t>四</w:t>
      </w:r>
      <w:r>
        <w:rPr>
          <w:rFonts w:ascii="宋体" w:hAnsi="宋体"/>
          <w:b/>
          <w:sz w:val="24"/>
          <w:szCs w:val="24"/>
        </w:rPr>
        <w:t>、</w:t>
      </w:r>
      <w:r>
        <w:rPr>
          <w:rFonts w:hint="eastAsia" w:ascii="宋体" w:hAnsi="宋体"/>
          <w:b/>
          <w:sz w:val="24"/>
          <w:szCs w:val="24"/>
        </w:rPr>
        <w:t>项目</w:t>
      </w:r>
      <w:r>
        <w:rPr>
          <w:rFonts w:ascii="宋体" w:hAnsi="宋体"/>
          <w:b/>
          <w:sz w:val="24"/>
          <w:szCs w:val="24"/>
        </w:rPr>
        <w:t>验收</w:t>
      </w:r>
    </w:p>
    <w:p w14:paraId="03C5F827">
      <w:pPr>
        <w:spacing w:line="360" w:lineRule="auto"/>
        <w:ind w:firstLine="600" w:firstLineChars="250"/>
        <w:rPr>
          <w:rFonts w:hint="default" w:ascii="宋体" w:hAnsi="宋体" w:eastAsia="宋体"/>
          <w:color w:val="000000"/>
          <w:sz w:val="24"/>
          <w:szCs w:val="24"/>
          <w:lang w:val="en-US" w:eastAsia="zh-CN"/>
        </w:rPr>
      </w:pPr>
      <w:r>
        <w:rPr>
          <w:rFonts w:ascii="宋体" w:hAnsi="宋体"/>
          <w:color w:val="000000"/>
          <w:sz w:val="24"/>
          <w:szCs w:val="24"/>
        </w:rPr>
        <w:t>1</w:t>
      </w:r>
      <w:r>
        <w:rPr>
          <w:rFonts w:hint="eastAsia" w:ascii="宋体" w:hAnsi="宋体"/>
          <w:color w:val="000000"/>
          <w:sz w:val="24"/>
          <w:szCs w:val="24"/>
        </w:rPr>
        <w:t>.</w:t>
      </w:r>
      <w:r>
        <w:rPr>
          <w:rFonts w:hint="eastAsia" w:ascii="宋体" w:hAnsi="宋体"/>
          <w:color w:val="000000"/>
          <w:sz w:val="24"/>
          <w:szCs w:val="24"/>
          <w:lang w:val="en-US" w:eastAsia="zh-CN"/>
        </w:rPr>
        <w:t>开发的国际化教学标准需获马来西亚国家相关主管部门认证和官网查询，并出具认证证书。开发的智能控制领域相关职业技能标准需获得当地行业协会认证，并出具认证证书。开发的国际化双语教材需公开出版发行。</w:t>
      </w:r>
    </w:p>
    <w:p w14:paraId="2766CF3B">
      <w:pPr>
        <w:spacing w:line="360" w:lineRule="auto"/>
        <w:ind w:firstLine="600" w:firstLineChars="250"/>
        <w:rPr>
          <w:rFonts w:hint="eastAsia" w:ascii="宋体" w:hAnsi="宋体"/>
          <w:color w:val="000000"/>
          <w:sz w:val="24"/>
          <w:szCs w:val="24"/>
        </w:rPr>
      </w:pPr>
      <w:r>
        <w:rPr>
          <w:rFonts w:hint="eastAsia" w:ascii="宋体" w:hAnsi="宋体"/>
          <w:color w:val="000000"/>
          <w:sz w:val="24"/>
          <w:szCs w:val="24"/>
          <w:lang w:val="en-US" w:eastAsia="zh-CN"/>
        </w:rPr>
        <w:t>2.为马来西亚中资企业开展线上和线下技术培训各1次，其中线下培训不低于820人日，线上培训不低于400人日，要求提供培训人员名单、培训课表、培训现场照片等过程资料。</w:t>
      </w:r>
    </w:p>
    <w:p w14:paraId="138EDB4D">
      <w:pPr>
        <w:spacing w:line="360" w:lineRule="auto"/>
        <w:ind w:firstLine="600" w:firstLineChars="250"/>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3</w:t>
      </w:r>
      <w:r>
        <w:rPr>
          <w:rFonts w:hint="eastAsia" w:ascii="宋体" w:hAnsi="宋体"/>
          <w:color w:val="000000"/>
          <w:sz w:val="24"/>
          <w:szCs w:val="24"/>
        </w:rPr>
        <w:t>.</w:t>
      </w:r>
      <w:r>
        <w:rPr>
          <w:rFonts w:hint="eastAsia" w:ascii="宋体" w:hAnsi="宋体"/>
          <w:color w:val="000000"/>
          <w:sz w:val="24"/>
          <w:szCs w:val="24"/>
          <w:lang w:val="en-US" w:eastAsia="zh-CN"/>
        </w:rPr>
        <w:t>挂牌成立陕西国防学院马来西亚教师培训基地1个，选派6名马来西亚教师来校开展技术培训，要求挂牌和培训过程资料齐全，包含挂牌仪式流程清单、挂牌和培训现场照片等。负责国内外相关媒体报道不少于2次。</w:t>
      </w:r>
    </w:p>
    <w:p w14:paraId="0C9642C8">
      <w:pPr>
        <w:spacing w:line="360" w:lineRule="auto"/>
        <w:rPr>
          <w:rFonts w:ascii="宋体" w:hAnsi="宋体"/>
          <w:b/>
          <w:color w:val="000000"/>
          <w:sz w:val="24"/>
          <w:szCs w:val="24"/>
        </w:rPr>
      </w:pPr>
      <w:r>
        <w:rPr>
          <w:rFonts w:hint="eastAsia" w:ascii="宋体" w:hAnsi="宋体"/>
          <w:b/>
          <w:color w:val="000000"/>
          <w:sz w:val="24"/>
          <w:szCs w:val="24"/>
        </w:rPr>
        <w:t>五、违约责任</w:t>
      </w:r>
    </w:p>
    <w:p w14:paraId="44A5C5B0">
      <w:pPr>
        <w:spacing w:line="360" w:lineRule="auto"/>
        <w:ind w:firstLine="561"/>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.合同生效后，甲乙双方应按合同规定认真履约。合同履约责任只涉及合同甲乙双方，不考虑第三方因素。</w:t>
      </w:r>
    </w:p>
    <w:p w14:paraId="74AF591E">
      <w:pPr>
        <w:spacing w:line="360" w:lineRule="auto"/>
        <w:ind w:firstLine="561"/>
        <w:rPr>
          <w:rFonts w:ascii="宋体" w:hAnsi="宋体"/>
          <w:sz w:val="24"/>
          <w:szCs w:val="24"/>
        </w:rPr>
      </w:pPr>
      <w:r>
        <w:rPr>
          <w:rFonts w:ascii="宋体" w:hAnsi="宋体"/>
          <w:color w:val="000000"/>
          <w:sz w:val="24"/>
          <w:szCs w:val="24"/>
        </w:rPr>
        <w:t>2</w:t>
      </w:r>
      <w:r>
        <w:rPr>
          <w:rFonts w:hint="eastAsia" w:ascii="宋体" w:hAnsi="宋体"/>
          <w:color w:val="000000"/>
          <w:sz w:val="24"/>
          <w:szCs w:val="24"/>
        </w:rPr>
        <w:t>.乙方若因非不可抗力因素无法按时提供服务，乙方应从要求最迟服务起始日期的</w:t>
      </w:r>
      <w:r>
        <w:rPr>
          <w:rFonts w:hint="eastAsia" w:ascii="宋体" w:hAnsi="宋体"/>
          <w:sz w:val="24"/>
          <w:szCs w:val="24"/>
        </w:rPr>
        <w:t>次日起，每日向甲方支付延迟交货部分货款的万分之三的违约金，此项违约金额以本合同服务</w:t>
      </w:r>
      <w:r>
        <w:rPr>
          <w:rFonts w:ascii="宋体" w:hAnsi="宋体"/>
          <w:sz w:val="24"/>
          <w:szCs w:val="24"/>
        </w:rPr>
        <w:t>费</w:t>
      </w:r>
      <w:r>
        <w:rPr>
          <w:rFonts w:hint="eastAsia" w:ascii="宋体" w:hAnsi="宋体"/>
          <w:sz w:val="24"/>
          <w:szCs w:val="24"/>
        </w:rPr>
        <w:t>总值的百分之五为限度。</w:t>
      </w:r>
    </w:p>
    <w:p w14:paraId="5FEE3A44">
      <w:pPr>
        <w:spacing w:line="360" w:lineRule="auto"/>
        <w:ind w:firstLine="561"/>
        <w:rPr>
          <w:rFonts w:ascii="宋体" w:hAnsi="宋体"/>
          <w:sz w:val="24"/>
          <w:szCs w:val="24"/>
        </w:rPr>
      </w:pPr>
      <w:r>
        <w:rPr>
          <w:rFonts w:ascii="宋体" w:hAnsi="宋体"/>
          <w:sz w:val="24"/>
          <w:szCs w:val="24"/>
        </w:rPr>
        <w:t>3</w:t>
      </w:r>
      <w:r>
        <w:rPr>
          <w:rFonts w:hint="eastAsia" w:ascii="宋体" w:hAnsi="宋体"/>
          <w:sz w:val="24"/>
          <w:szCs w:val="24"/>
        </w:rPr>
        <w:t>.除不可抗力原因外，如遇下列情况之一者，甲方有权单方面终止合同，并追究乙方的相关责任：（1）合同签订后不能按合同时限要求提供服务；（2）所供服务不合格或与合同不符；（3）不能按合同履约；（4）履约验收不合格；（5）甲方要求乙方提供服务，经甲方要求24小时内无响应，48小时内不能提供服务方案或服务的，经甲方催促后仍不能整改或提供服务不达标的，甲方有权单方解除合同。</w:t>
      </w:r>
    </w:p>
    <w:p w14:paraId="1F2B6AE6">
      <w:pPr>
        <w:spacing w:line="360" w:lineRule="auto"/>
        <w:ind w:firstLine="561"/>
        <w:rPr>
          <w:rFonts w:ascii="宋体" w:hAnsi="宋体"/>
          <w:sz w:val="24"/>
          <w:szCs w:val="24"/>
        </w:rPr>
      </w:pPr>
      <w:r>
        <w:rPr>
          <w:rFonts w:ascii="宋体" w:hAnsi="宋体"/>
          <w:sz w:val="24"/>
          <w:szCs w:val="24"/>
        </w:rPr>
        <w:t>4</w:t>
      </w:r>
      <w:r>
        <w:rPr>
          <w:rFonts w:hint="eastAsia" w:ascii="宋体" w:hAnsi="宋体"/>
          <w:sz w:val="24"/>
          <w:szCs w:val="24"/>
        </w:rPr>
        <w:t>.乙方对所供服务出现的问题推托、拖延，24小时未做出服务响应，甲方有权</w:t>
      </w:r>
      <w:r>
        <w:rPr>
          <w:rFonts w:hint="eastAsia" w:ascii="宋体" w:hAnsi="宋体"/>
          <w:sz w:val="24"/>
          <w:szCs w:val="24"/>
          <w:lang w:val="en-US" w:eastAsia="zh-CN"/>
        </w:rPr>
        <w:t>从应付合同总价款中扣除相应款项</w:t>
      </w:r>
      <w:r>
        <w:rPr>
          <w:rFonts w:hint="eastAsia" w:ascii="宋体" w:hAnsi="宋体"/>
          <w:sz w:val="24"/>
          <w:szCs w:val="24"/>
        </w:rPr>
        <w:t>，或者甲方有权找第三方提供服务，由此产生的费用从</w:t>
      </w:r>
      <w:r>
        <w:rPr>
          <w:rFonts w:hint="eastAsia" w:ascii="宋体" w:hAnsi="宋体"/>
          <w:sz w:val="24"/>
          <w:szCs w:val="24"/>
          <w:lang w:val="en-US" w:eastAsia="zh-CN"/>
        </w:rPr>
        <w:t>应付合同总价款中</w:t>
      </w:r>
      <w:r>
        <w:rPr>
          <w:rFonts w:hint="eastAsia" w:ascii="宋体" w:hAnsi="宋体"/>
          <w:sz w:val="24"/>
          <w:szCs w:val="24"/>
        </w:rPr>
        <w:t>抵扣，费用高于</w:t>
      </w:r>
      <w:r>
        <w:rPr>
          <w:rFonts w:hint="eastAsia" w:ascii="宋体" w:hAnsi="宋体"/>
          <w:sz w:val="24"/>
          <w:szCs w:val="24"/>
          <w:lang w:val="en-US" w:eastAsia="zh-CN"/>
        </w:rPr>
        <w:t>未结合同价款的</w:t>
      </w:r>
      <w:r>
        <w:rPr>
          <w:rFonts w:hint="eastAsia" w:ascii="宋体" w:hAnsi="宋体"/>
          <w:sz w:val="24"/>
          <w:szCs w:val="24"/>
        </w:rPr>
        <w:t>，乙方在甲方提出损失赔偿之日起三日内</w:t>
      </w:r>
      <w:r>
        <w:rPr>
          <w:rFonts w:hint="eastAsia" w:ascii="宋体" w:hAnsi="宋体"/>
          <w:sz w:val="24"/>
          <w:szCs w:val="24"/>
          <w:lang w:val="en-US" w:eastAsia="zh-CN"/>
        </w:rPr>
        <w:t>补足差额</w:t>
      </w:r>
      <w:r>
        <w:rPr>
          <w:rFonts w:hint="eastAsia" w:ascii="宋体" w:hAnsi="宋体"/>
          <w:sz w:val="24"/>
          <w:szCs w:val="24"/>
        </w:rPr>
        <w:t>赔偿，逾期支付的，每逾期一日按合同总金额1%支付违约金。</w:t>
      </w:r>
    </w:p>
    <w:p w14:paraId="3F76C18D">
      <w:pPr>
        <w:spacing w:line="360" w:lineRule="auto"/>
        <w:ind w:firstLine="561"/>
        <w:rPr>
          <w:rFonts w:ascii="宋体" w:hAnsi="宋体"/>
          <w:sz w:val="24"/>
          <w:szCs w:val="24"/>
        </w:rPr>
      </w:pPr>
      <w:r>
        <w:rPr>
          <w:rFonts w:ascii="宋体" w:hAnsi="宋体"/>
          <w:sz w:val="24"/>
          <w:szCs w:val="24"/>
        </w:rPr>
        <w:t>5</w:t>
      </w:r>
      <w:r>
        <w:rPr>
          <w:rFonts w:hint="eastAsia" w:ascii="宋体" w:hAnsi="宋体"/>
          <w:sz w:val="24"/>
          <w:szCs w:val="24"/>
        </w:rPr>
        <w:t>.合同履约过程中，甲方应积极配合乙方进行验收以及验收前的外围配套等工作，否则因此导致服务不能按期验收时，不能追究乙方责任。</w:t>
      </w:r>
    </w:p>
    <w:p w14:paraId="0F04DA10">
      <w:pPr>
        <w:spacing w:line="360" w:lineRule="auto"/>
        <w:ind w:firstLine="561"/>
        <w:rPr>
          <w:rFonts w:ascii="宋体" w:hAnsi="宋体"/>
          <w:sz w:val="24"/>
          <w:szCs w:val="24"/>
        </w:rPr>
      </w:pPr>
      <w:r>
        <w:rPr>
          <w:rFonts w:ascii="宋体" w:hAnsi="宋体"/>
          <w:sz w:val="24"/>
          <w:szCs w:val="24"/>
        </w:rPr>
        <w:t>6.</w:t>
      </w:r>
      <w:r>
        <w:rPr>
          <w:rFonts w:hint="eastAsia" w:ascii="宋体" w:hAnsi="宋体"/>
          <w:sz w:val="24"/>
          <w:szCs w:val="24"/>
        </w:rPr>
        <w:t>甲方应在服务验收合格后</w:t>
      </w:r>
      <w:r>
        <w:rPr>
          <w:rFonts w:ascii="宋体" w:hAnsi="宋体"/>
          <w:sz w:val="24"/>
          <w:szCs w:val="24"/>
        </w:rPr>
        <w:t>15</w:t>
      </w:r>
      <w:r>
        <w:rPr>
          <w:rFonts w:hint="eastAsia" w:ascii="宋体" w:hAnsi="宋体"/>
          <w:sz w:val="24"/>
          <w:szCs w:val="24"/>
        </w:rPr>
        <w:t>天内按规定向乙方付款，最长时间不能超过</w:t>
      </w:r>
      <w:r>
        <w:rPr>
          <w:rFonts w:ascii="宋体" w:hAnsi="宋体"/>
          <w:sz w:val="24"/>
          <w:szCs w:val="24"/>
        </w:rPr>
        <w:t>30</w:t>
      </w:r>
      <w:r>
        <w:rPr>
          <w:rFonts w:hint="eastAsia" w:ascii="宋体" w:hAnsi="宋体"/>
          <w:sz w:val="24"/>
          <w:szCs w:val="24"/>
        </w:rPr>
        <w:t>天，否则，甲方应从验收合格30天后次日起，每日向乙方偿付逾期付款部分总值的万分之三的违约金，此项违约金额以逾期付款部分总值的百分之五为限度。</w:t>
      </w:r>
    </w:p>
    <w:p w14:paraId="3359346E">
      <w:pPr>
        <w:spacing w:line="360" w:lineRule="auto"/>
        <w:rPr>
          <w:rFonts w:ascii="宋体" w:hAnsi="宋体"/>
          <w:b/>
          <w:sz w:val="24"/>
          <w:szCs w:val="24"/>
        </w:rPr>
      </w:pPr>
      <w:r>
        <w:rPr>
          <w:rFonts w:hint="eastAsia" w:ascii="宋体" w:hAnsi="宋体"/>
          <w:b/>
          <w:sz w:val="24"/>
          <w:szCs w:val="24"/>
        </w:rPr>
        <w:t>六、不可抗力</w:t>
      </w:r>
    </w:p>
    <w:p w14:paraId="77F8EC74">
      <w:pPr>
        <w:spacing w:line="360" w:lineRule="auto"/>
        <w:ind w:firstLine="561"/>
        <w:rPr>
          <w:rFonts w:ascii="宋体" w:hAnsi="宋体"/>
          <w:sz w:val="24"/>
          <w:szCs w:val="24"/>
        </w:rPr>
      </w:pPr>
      <w:r>
        <w:rPr>
          <w:rFonts w:hint="eastAsia" w:ascii="宋体" w:hAnsi="宋体"/>
          <w:sz w:val="24"/>
          <w:szCs w:val="24"/>
        </w:rPr>
        <w:t>1.不可抗力是指本合同生效后，发生合同订立时不能预见、不能避免，并不能克服的客观情况，如地震、台风、水灾、战争等，致使直接影响本合同的履行或不能按约定的条件履行。</w:t>
      </w:r>
    </w:p>
    <w:p w14:paraId="37CE1397">
      <w:pPr>
        <w:spacing w:line="360" w:lineRule="auto"/>
        <w:ind w:firstLine="561"/>
        <w:rPr>
          <w:rFonts w:ascii="宋体" w:hAnsi="宋体"/>
          <w:sz w:val="24"/>
          <w:szCs w:val="24"/>
        </w:rPr>
      </w:pPr>
      <w:r>
        <w:rPr>
          <w:rFonts w:hint="eastAsia" w:ascii="宋体" w:hAnsi="宋体"/>
          <w:sz w:val="24"/>
          <w:szCs w:val="24"/>
        </w:rPr>
        <w:t>2.发生不可抗力的一方应立即通知对方，并在十五天内提供不可抗力的详情及将有关证明文件送交对方。</w:t>
      </w:r>
    </w:p>
    <w:p w14:paraId="5B3414CD">
      <w:pPr>
        <w:spacing w:line="360" w:lineRule="auto"/>
        <w:ind w:firstLine="561"/>
        <w:rPr>
          <w:rFonts w:ascii="宋体" w:hAnsi="宋体"/>
          <w:sz w:val="24"/>
          <w:szCs w:val="24"/>
        </w:rPr>
      </w:pPr>
      <w:r>
        <w:rPr>
          <w:rFonts w:hint="eastAsia" w:ascii="宋体" w:hAnsi="宋体"/>
          <w:sz w:val="24"/>
          <w:szCs w:val="24"/>
        </w:rPr>
        <w:t>3.发生不可抗力事件时，甲乙双方应协商以寻找合理的解决方法，双方不可放任不可抗力事件损害后果。</w:t>
      </w:r>
    </w:p>
    <w:p w14:paraId="3AF39DC4">
      <w:pPr>
        <w:spacing w:line="360" w:lineRule="auto"/>
        <w:ind w:firstLine="561"/>
        <w:rPr>
          <w:rFonts w:ascii="宋体" w:hAnsi="宋体"/>
          <w:sz w:val="24"/>
          <w:szCs w:val="24"/>
        </w:rPr>
      </w:pPr>
      <w:r>
        <w:rPr>
          <w:rFonts w:hint="eastAsia" w:ascii="宋体" w:hAnsi="宋体"/>
          <w:sz w:val="24"/>
          <w:szCs w:val="24"/>
        </w:rPr>
        <w:t>4.如不可抗力事件持续三十天时，甲乙双方应友好协商解决本合同是否继续履行或终止的问题。</w:t>
      </w:r>
    </w:p>
    <w:p w14:paraId="49AB70AD">
      <w:pPr>
        <w:spacing w:line="360" w:lineRule="auto"/>
        <w:rPr>
          <w:rFonts w:ascii="宋体" w:hAnsi="宋体"/>
          <w:b/>
          <w:color w:val="000000"/>
          <w:sz w:val="24"/>
          <w:szCs w:val="24"/>
        </w:rPr>
      </w:pPr>
      <w:r>
        <w:rPr>
          <w:rFonts w:hint="eastAsia" w:ascii="宋体" w:hAnsi="宋体"/>
          <w:b/>
          <w:color w:val="000000"/>
          <w:sz w:val="24"/>
          <w:szCs w:val="24"/>
        </w:rPr>
        <w:t>七、</w:t>
      </w:r>
      <w:r>
        <w:rPr>
          <w:rFonts w:ascii="宋体" w:hAnsi="宋体"/>
          <w:b/>
          <w:color w:val="000000"/>
          <w:sz w:val="24"/>
          <w:szCs w:val="24"/>
        </w:rPr>
        <w:t>合同生效与终止</w:t>
      </w:r>
    </w:p>
    <w:p w14:paraId="10C8A298">
      <w:pPr>
        <w:spacing w:line="360" w:lineRule="auto"/>
        <w:ind w:firstLine="561"/>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本合同自甲乙双方签字盖章之日起生效。本合同双方授权代表签字日期即为本合同的生效日期。如双方签字日期不一致时，以最后签字方的签字日期为合同的生效日期。</w:t>
      </w:r>
    </w:p>
    <w:p w14:paraId="03032F49">
      <w:pPr>
        <w:spacing w:line="360" w:lineRule="auto"/>
        <w:ind w:firstLine="561"/>
        <w:rPr>
          <w:rFonts w:ascii="宋体" w:hAnsi="宋体"/>
          <w:sz w:val="24"/>
          <w:szCs w:val="24"/>
        </w:rPr>
      </w:pPr>
      <w:r>
        <w:rPr>
          <w:rFonts w:ascii="宋体" w:hAnsi="宋体"/>
          <w:sz w:val="24"/>
          <w:szCs w:val="24"/>
        </w:rPr>
        <w:t>2.</w:t>
      </w:r>
      <w:r>
        <w:rPr>
          <w:rFonts w:hint="eastAsia" w:ascii="宋体" w:hAnsi="宋体"/>
          <w:sz w:val="24"/>
          <w:szCs w:val="24"/>
        </w:rPr>
        <w:t>本合同的最终质量保证期限届满日期，即为本合同的终止日期。但保密条款、争议解决和双方未了的债权和债务不受合同期满的影响，并且守约方有权提出索赔。</w:t>
      </w:r>
    </w:p>
    <w:p w14:paraId="1C69E027">
      <w:pPr>
        <w:spacing w:line="360" w:lineRule="auto"/>
        <w:ind w:firstLine="561"/>
        <w:rPr>
          <w:rFonts w:ascii="宋体" w:hAnsi="宋体"/>
          <w:sz w:val="24"/>
          <w:szCs w:val="24"/>
        </w:rPr>
      </w:pPr>
      <w:r>
        <w:rPr>
          <w:rFonts w:ascii="宋体" w:hAnsi="宋体"/>
          <w:sz w:val="24"/>
          <w:szCs w:val="24"/>
        </w:rPr>
        <w:t>3.</w:t>
      </w:r>
      <w:r>
        <w:rPr>
          <w:rFonts w:hint="eastAsia" w:ascii="宋体" w:hAnsi="宋体"/>
          <w:sz w:val="24"/>
          <w:szCs w:val="24"/>
        </w:rPr>
        <w:t>如乙方未能全面履行合同所有条款，甲方有权单方面解除合同，不退还乙方所交履约保证金（如有），以此作为对甲方的赔偿，并保留追究相关责任的权利。</w:t>
      </w:r>
    </w:p>
    <w:p w14:paraId="640390EB">
      <w:pPr>
        <w:spacing w:line="360" w:lineRule="auto"/>
        <w:rPr>
          <w:rFonts w:ascii="宋体" w:hAnsi="宋体"/>
          <w:b/>
          <w:sz w:val="24"/>
          <w:szCs w:val="24"/>
        </w:rPr>
      </w:pPr>
      <w:r>
        <w:rPr>
          <w:rFonts w:hint="eastAsia" w:ascii="宋体" w:hAnsi="宋体"/>
          <w:b/>
          <w:sz w:val="24"/>
          <w:szCs w:val="24"/>
        </w:rPr>
        <w:t>八、争议解决方式</w:t>
      </w:r>
    </w:p>
    <w:p w14:paraId="5A1462A2">
      <w:pPr>
        <w:pStyle w:val="4"/>
        <w:spacing w:line="360" w:lineRule="auto"/>
        <w:ind w:firstLine="537" w:firstLineChars="224"/>
        <w:rPr>
          <w:rFonts w:ascii="宋体" w:hAnsi="宋体"/>
        </w:rPr>
      </w:pPr>
      <w:r>
        <w:rPr>
          <w:rFonts w:hint="eastAsia" w:ascii="宋体" w:hAnsi="宋体"/>
        </w:rPr>
        <w:t>如有纠纷双方先行协商解决；达不成协议的向陕西省西安市鄠邑区人民法院提起诉讼。</w:t>
      </w:r>
    </w:p>
    <w:p w14:paraId="36716C33">
      <w:pPr>
        <w:spacing w:line="360" w:lineRule="auto"/>
        <w:rPr>
          <w:rFonts w:ascii="宋体" w:hAnsi="宋体"/>
          <w:b/>
          <w:color w:val="000000"/>
          <w:sz w:val="24"/>
          <w:szCs w:val="24"/>
        </w:rPr>
      </w:pPr>
      <w:r>
        <w:rPr>
          <w:rFonts w:hint="eastAsia" w:ascii="宋体" w:hAnsi="宋体"/>
          <w:b/>
          <w:color w:val="000000"/>
          <w:sz w:val="24"/>
          <w:szCs w:val="24"/>
        </w:rPr>
        <w:t>九、其它事项</w:t>
      </w:r>
    </w:p>
    <w:p w14:paraId="60EA12CA">
      <w:pPr>
        <w:spacing w:line="360" w:lineRule="auto"/>
        <w:ind w:firstLine="600" w:firstLineChars="250"/>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在本合同执行过程中，甲、乙双方协商签订的补充合同与原合同具有同等法律效力。采购文件及其补遗文件、投标文件和有关说明承诺（若有）是本合同不可分割的部分，为本合同的重要补充内容，与本合同具有同等法律效力。</w:t>
      </w:r>
    </w:p>
    <w:p w14:paraId="3B1D7102">
      <w:pPr>
        <w:spacing w:line="360" w:lineRule="auto"/>
        <w:ind w:firstLine="600" w:firstLineChars="250"/>
        <w:rPr>
          <w:rFonts w:ascii="宋体" w:hAnsi="宋体"/>
          <w:color w:val="000000"/>
          <w:sz w:val="24"/>
          <w:szCs w:val="24"/>
        </w:rPr>
      </w:pPr>
      <w:r>
        <w:rPr>
          <w:rFonts w:hint="eastAsia" w:ascii="宋体" w:hAnsi="宋体"/>
          <w:color w:val="000000"/>
          <w:sz w:val="24"/>
          <w:szCs w:val="24"/>
        </w:rPr>
        <w:t>2.未尽事宜，双方协商解决。</w:t>
      </w:r>
    </w:p>
    <w:p w14:paraId="6D06A893">
      <w:pPr>
        <w:spacing w:line="360" w:lineRule="auto"/>
        <w:ind w:firstLine="600" w:firstLineChars="250"/>
        <w:rPr>
          <w:rFonts w:hint="default" w:ascii="宋体" w:hAnsi="宋体" w:eastAsia="宋体"/>
          <w:color w:val="000000"/>
          <w:sz w:val="24"/>
          <w:szCs w:val="24"/>
          <w:lang w:val="en-US" w:eastAsia="zh-CN"/>
        </w:rPr>
      </w:pPr>
      <w:r>
        <w:rPr>
          <w:rFonts w:hint="eastAsia" w:ascii="宋体" w:hAnsi="宋体"/>
          <w:color w:val="000000"/>
          <w:sz w:val="24"/>
          <w:szCs w:val="24"/>
        </w:rPr>
        <w:t>3.合同签订地点、履行地点：西安市鄠邑区</w:t>
      </w:r>
      <w:r>
        <w:rPr>
          <w:rFonts w:hint="eastAsia" w:ascii="宋体" w:hAnsi="宋体"/>
          <w:color w:val="000000"/>
          <w:sz w:val="24"/>
          <w:szCs w:val="24"/>
          <w:lang w:val="en-US" w:eastAsia="zh-CN"/>
        </w:rPr>
        <w:t>陕西国防工业职业技术学院</w:t>
      </w:r>
    </w:p>
    <w:p w14:paraId="562417D4">
      <w:pPr>
        <w:spacing w:line="360" w:lineRule="auto"/>
        <w:ind w:firstLine="600" w:firstLineChars="250"/>
        <w:rPr>
          <w:rFonts w:ascii="宋体" w:hAnsi="宋体"/>
          <w:color w:val="000000"/>
          <w:sz w:val="24"/>
          <w:szCs w:val="24"/>
        </w:rPr>
      </w:pPr>
      <w:r>
        <w:rPr>
          <w:rFonts w:ascii="宋体" w:hAnsi="宋体"/>
          <w:color w:val="000000"/>
          <w:sz w:val="24"/>
          <w:szCs w:val="24"/>
        </w:rPr>
        <w:t>4</w:t>
      </w:r>
      <w:r>
        <w:rPr>
          <w:rFonts w:hint="eastAsia" w:ascii="宋体" w:hAnsi="宋体"/>
          <w:color w:val="000000"/>
          <w:sz w:val="24"/>
          <w:szCs w:val="24"/>
        </w:rPr>
        <w:t xml:space="preserve">.本合同一式 </w:t>
      </w:r>
      <w:r>
        <w:rPr>
          <w:rFonts w:hint="eastAsia" w:ascii="宋体" w:hAnsi="宋体"/>
          <w:color w:val="000000"/>
          <w:sz w:val="24"/>
          <w:szCs w:val="24"/>
          <w:u w:val="single"/>
          <w:lang w:val="en-US" w:eastAsia="zh-CN"/>
        </w:rPr>
        <w:t>8</w:t>
      </w:r>
      <w:r>
        <w:rPr>
          <w:rFonts w:hint="eastAsia" w:ascii="宋体" w:hAnsi="宋体"/>
          <w:color w:val="000000"/>
          <w:sz w:val="24"/>
          <w:szCs w:val="24"/>
        </w:rPr>
        <w:t>份，甲方执</w:t>
      </w:r>
      <w:r>
        <w:rPr>
          <w:rFonts w:hint="eastAsia" w:ascii="宋体" w:hAnsi="宋体"/>
          <w:color w:val="000000"/>
          <w:sz w:val="24"/>
          <w:szCs w:val="24"/>
          <w:u w:val="single"/>
          <w:lang w:val="en-US" w:eastAsia="zh-CN"/>
        </w:rPr>
        <w:t>6</w:t>
      </w:r>
      <w:r>
        <w:rPr>
          <w:rFonts w:hint="eastAsia" w:ascii="宋体" w:hAnsi="宋体"/>
          <w:color w:val="000000"/>
          <w:sz w:val="24"/>
          <w:szCs w:val="24"/>
        </w:rPr>
        <w:t>份，乙方执</w:t>
      </w:r>
      <w:r>
        <w:rPr>
          <w:rFonts w:hint="eastAsia" w:ascii="宋体" w:hAnsi="宋体"/>
          <w:color w:val="000000"/>
          <w:sz w:val="24"/>
          <w:szCs w:val="24"/>
          <w:u w:val="single"/>
        </w:rPr>
        <w:t>2</w:t>
      </w:r>
      <w:r>
        <w:rPr>
          <w:rFonts w:hint="eastAsia" w:ascii="宋体" w:hAnsi="宋体"/>
          <w:color w:val="000000"/>
          <w:sz w:val="24"/>
          <w:szCs w:val="24"/>
        </w:rPr>
        <w:t>份。</w:t>
      </w:r>
    </w:p>
    <w:p w14:paraId="1122451D">
      <w:pPr>
        <w:spacing w:line="360" w:lineRule="auto"/>
        <w:rPr>
          <w:rFonts w:ascii="宋体" w:hAnsi="宋体"/>
          <w:sz w:val="24"/>
          <w:szCs w:val="24"/>
        </w:rPr>
      </w:pPr>
      <w:r>
        <w:rPr>
          <w:rFonts w:hint="eastAsia" w:ascii="宋体" w:hAnsi="宋体"/>
          <w:sz w:val="24"/>
          <w:szCs w:val="24"/>
        </w:rPr>
        <w:t>附件：服务项目清单及验收标准</w:t>
      </w:r>
    </w:p>
    <w:p w14:paraId="23E20C6E">
      <w:pPr>
        <w:pStyle w:val="10"/>
        <w:widowControl w:val="0"/>
        <w:numPr>
          <w:ilvl w:val="0"/>
          <w:numId w:val="0"/>
        </w:numPr>
        <w:spacing w:line="360" w:lineRule="auto"/>
        <w:ind w:leftChars="0"/>
        <w:jc w:val="both"/>
        <w:rPr>
          <w:rFonts w:hint="eastAsia" w:ascii="宋体" w:hAnsi="宋体"/>
          <w:sz w:val="24"/>
          <w:szCs w:val="24"/>
        </w:rPr>
      </w:pPr>
      <w:r>
        <w:rPr>
          <w:rFonts w:hint="eastAsia" w:ascii="宋体" w:hAnsi="宋体"/>
          <w:sz w:val="24"/>
          <w:szCs w:val="24"/>
          <w:lang w:val="en-US" w:eastAsia="zh-CN"/>
        </w:rPr>
        <w:t>一</w:t>
      </w:r>
      <w:r>
        <w:rPr>
          <w:rFonts w:hint="eastAsia" w:ascii="宋体" w:hAnsi="宋体"/>
          <w:sz w:val="24"/>
          <w:szCs w:val="24"/>
        </w:rPr>
        <w:t>、服务项目清单</w:t>
      </w:r>
    </w:p>
    <w:tbl>
      <w:tblPr>
        <w:tblStyle w:val="6"/>
        <w:tblW w:w="8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
        <w:gridCol w:w="1099"/>
        <w:gridCol w:w="1444"/>
        <w:gridCol w:w="3226"/>
        <w:gridCol w:w="1082"/>
        <w:gridCol w:w="722"/>
      </w:tblGrid>
      <w:tr w14:paraId="5238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dxa"/>
            <w:noWrap w:val="0"/>
            <w:vAlign w:val="top"/>
          </w:tcPr>
          <w:p w14:paraId="044F5FC4">
            <w:p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1099" w:type="dxa"/>
            <w:noWrap w:val="0"/>
            <w:vAlign w:val="center"/>
          </w:tcPr>
          <w:p w14:paraId="27A941BD">
            <w:p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合作内容</w:t>
            </w:r>
          </w:p>
        </w:tc>
        <w:tc>
          <w:tcPr>
            <w:tcW w:w="1444" w:type="dxa"/>
            <w:noWrap w:val="0"/>
            <w:vAlign w:val="center"/>
          </w:tcPr>
          <w:p w14:paraId="617BB58A">
            <w:p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项目成果</w:t>
            </w:r>
          </w:p>
        </w:tc>
        <w:tc>
          <w:tcPr>
            <w:tcW w:w="3226" w:type="dxa"/>
            <w:noWrap w:val="0"/>
            <w:vAlign w:val="center"/>
          </w:tcPr>
          <w:p w14:paraId="456CEDC0">
            <w:p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具体要求</w:t>
            </w:r>
          </w:p>
        </w:tc>
        <w:tc>
          <w:tcPr>
            <w:tcW w:w="1082" w:type="dxa"/>
            <w:noWrap w:val="0"/>
            <w:vAlign w:val="center"/>
          </w:tcPr>
          <w:p w14:paraId="17F844B3">
            <w:pPr>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单价</w:t>
            </w:r>
          </w:p>
          <w:p w14:paraId="23B558EA">
            <w:pPr>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（万元）</w:t>
            </w:r>
          </w:p>
        </w:tc>
        <w:tc>
          <w:tcPr>
            <w:tcW w:w="722" w:type="dxa"/>
            <w:noWrap w:val="0"/>
            <w:vAlign w:val="center"/>
          </w:tcPr>
          <w:p w14:paraId="32B87384">
            <w:p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单位</w:t>
            </w:r>
          </w:p>
        </w:tc>
      </w:tr>
      <w:tr w14:paraId="0CD4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dxa"/>
            <w:vMerge w:val="restart"/>
            <w:noWrap w:val="0"/>
            <w:vAlign w:val="center"/>
          </w:tcPr>
          <w:p w14:paraId="70CD8B95">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099" w:type="dxa"/>
            <w:vMerge w:val="restart"/>
            <w:noWrap w:val="0"/>
            <w:vAlign w:val="center"/>
          </w:tcPr>
          <w:p w14:paraId="4ADC9182">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开发国际化教学标准和资源</w:t>
            </w:r>
          </w:p>
        </w:tc>
        <w:tc>
          <w:tcPr>
            <w:tcW w:w="1444" w:type="dxa"/>
            <w:noWrap w:val="0"/>
            <w:vAlign w:val="center"/>
          </w:tcPr>
          <w:p w14:paraId="506862F2">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国际化课程教学标准</w:t>
            </w:r>
          </w:p>
        </w:tc>
        <w:tc>
          <w:tcPr>
            <w:tcW w:w="3226" w:type="dxa"/>
            <w:noWrap w:val="0"/>
            <w:vAlign w:val="center"/>
          </w:tcPr>
          <w:p w14:paraId="6D32EC31">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（1）合作企业负责对接马来西亚相关高校和教育主管部门对课程标准制定的具体要求，包括文件收集与整理，对课程标准建设进行指导；</w:t>
            </w:r>
          </w:p>
          <w:p w14:paraId="74311E6E">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（2）合作企业组织海外合作单位的教育专家、教师和企业工程师开展线上或线下研讨会，共同制定课程标准；</w:t>
            </w:r>
          </w:p>
          <w:p w14:paraId="7C0A963E">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（3）提供会议研讨、课程标准资料的翻译工作；</w:t>
            </w:r>
          </w:p>
          <w:p w14:paraId="16846DC7">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（4）协助学校将课程标准上报马来西亚国家相关主管部门并获得认证和官网查询，出具课程标准认证证书。</w:t>
            </w:r>
          </w:p>
        </w:tc>
        <w:tc>
          <w:tcPr>
            <w:tcW w:w="1082" w:type="dxa"/>
            <w:noWrap w:val="0"/>
            <w:vAlign w:val="center"/>
          </w:tcPr>
          <w:p w14:paraId="3A4204AF">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6</w:t>
            </w:r>
          </w:p>
        </w:tc>
        <w:tc>
          <w:tcPr>
            <w:tcW w:w="722" w:type="dxa"/>
            <w:noWrap w:val="0"/>
            <w:vAlign w:val="center"/>
          </w:tcPr>
          <w:p w14:paraId="3B40FD3E">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项</w:t>
            </w:r>
          </w:p>
        </w:tc>
      </w:tr>
      <w:tr w14:paraId="43E03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dxa"/>
            <w:vMerge w:val="continue"/>
            <w:noWrap w:val="0"/>
            <w:vAlign w:val="center"/>
          </w:tcPr>
          <w:p w14:paraId="00B3828C">
            <w:pPr>
              <w:spacing w:line="240" w:lineRule="auto"/>
              <w:jc w:val="center"/>
              <w:rPr>
                <w:rFonts w:hint="eastAsia" w:ascii="宋体" w:hAnsi="宋体" w:eastAsia="宋体" w:cs="宋体"/>
                <w:b w:val="0"/>
                <w:bCs w:val="0"/>
                <w:sz w:val="21"/>
                <w:szCs w:val="21"/>
                <w:vertAlign w:val="baseline"/>
                <w:lang w:val="en-US" w:eastAsia="zh-CN"/>
              </w:rPr>
            </w:pPr>
          </w:p>
        </w:tc>
        <w:tc>
          <w:tcPr>
            <w:tcW w:w="1099" w:type="dxa"/>
            <w:vMerge w:val="continue"/>
            <w:noWrap w:val="0"/>
            <w:vAlign w:val="center"/>
          </w:tcPr>
          <w:p w14:paraId="0F25333C">
            <w:pPr>
              <w:spacing w:line="240" w:lineRule="auto"/>
              <w:jc w:val="center"/>
              <w:rPr>
                <w:rFonts w:hint="eastAsia" w:ascii="宋体" w:hAnsi="宋体" w:eastAsia="宋体" w:cs="宋体"/>
                <w:b w:val="0"/>
                <w:bCs w:val="0"/>
                <w:sz w:val="21"/>
                <w:szCs w:val="21"/>
                <w:vertAlign w:val="baseline"/>
                <w:lang w:val="en-US" w:eastAsia="zh-CN"/>
              </w:rPr>
            </w:pPr>
          </w:p>
        </w:tc>
        <w:tc>
          <w:tcPr>
            <w:tcW w:w="1444" w:type="dxa"/>
            <w:noWrap w:val="0"/>
            <w:vAlign w:val="center"/>
          </w:tcPr>
          <w:p w14:paraId="68B8BDBD">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国际化职业技能标准</w:t>
            </w:r>
          </w:p>
        </w:tc>
        <w:tc>
          <w:tcPr>
            <w:tcW w:w="3226" w:type="dxa"/>
            <w:noWrap w:val="0"/>
            <w:vAlign w:val="center"/>
          </w:tcPr>
          <w:p w14:paraId="7F47A0C1">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（1）合作开发智能控制技术领域相关职业技能标准；</w:t>
            </w:r>
          </w:p>
          <w:p w14:paraId="1BC5AB5E">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（2）负责在马来西亚行业企业应用，并获得当地行业协会认证。</w:t>
            </w:r>
          </w:p>
        </w:tc>
        <w:tc>
          <w:tcPr>
            <w:tcW w:w="1082" w:type="dxa"/>
            <w:noWrap w:val="0"/>
            <w:vAlign w:val="center"/>
          </w:tcPr>
          <w:p w14:paraId="73113BD3">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22" w:type="dxa"/>
            <w:noWrap w:val="0"/>
            <w:vAlign w:val="center"/>
          </w:tcPr>
          <w:p w14:paraId="188FBDDC">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项</w:t>
            </w:r>
          </w:p>
        </w:tc>
      </w:tr>
      <w:tr w14:paraId="7D1A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dxa"/>
            <w:vMerge w:val="continue"/>
            <w:noWrap w:val="0"/>
            <w:vAlign w:val="center"/>
          </w:tcPr>
          <w:p w14:paraId="5CD9B751">
            <w:pPr>
              <w:spacing w:line="240" w:lineRule="auto"/>
              <w:jc w:val="center"/>
              <w:rPr>
                <w:rFonts w:hint="eastAsia" w:ascii="宋体" w:hAnsi="宋体" w:eastAsia="宋体" w:cs="宋体"/>
                <w:b w:val="0"/>
                <w:bCs w:val="0"/>
                <w:sz w:val="21"/>
                <w:szCs w:val="21"/>
                <w:vertAlign w:val="baseline"/>
                <w:lang w:val="en-US" w:eastAsia="zh-CN"/>
              </w:rPr>
            </w:pPr>
          </w:p>
        </w:tc>
        <w:tc>
          <w:tcPr>
            <w:tcW w:w="1099" w:type="dxa"/>
            <w:vMerge w:val="continue"/>
            <w:noWrap w:val="0"/>
            <w:vAlign w:val="center"/>
          </w:tcPr>
          <w:p w14:paraId="14EE1707">
            <w:pPr>
              <w:spacing w:line="240" w:lineRule="auto"/>
              <w:jc w:val="center"/>
              <w:rPr>
                <w:rFonts w:hint="eastAsia" w:ascii="宋体" w:hAnsi="宋体" w:eastAsia="宋体" w:cs="宋体"/>
                <w:b w:val="0"/>
                <w:bCs w:val="0"/>
                <w:sz w:val="21"/>
                <w:szCs w:val="21"/>
                <w:vertAlign w:val="baseline"/>
                <w:lang w:val="en-US" w:eastAsia="zh-CN"/>
              </w:rPr>
            </w:pPr>
          </w:p>
        </w:tc>
        <w:tc>
          <w:tcPr>
            <w:tcW w:w="1444" w:type="dxa"/>
            <w:noWrap w:val="0"/>
            <w:vAlign w:val="center"/>
          </w:tcPr>
          <w:p w14:paraId="50482202">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国际化双语教材</w:t>
            </w:r>
          </w:p>
        </w:tc>
        <w:tc>
          <w:tcPr>
            <w:tcW w:w="3226" w:type="dxa"/>
            <w:noWrap w:val="0"/>
            <w:vAlign w:val="center"/>
          </w:tcPr>
          <w:p w14:paraId="6FBEB378">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（1）组建双语教材开发团队，对教材开发进行培训指导；</w:t>
            </w:r>
          </w:p>
          <w:p w14:paraId="10F23C76">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（2）提供国际化双语教材编写最新文件要求，组建翻译团队，对稿件进行翻译和审核；</w:t>
            </w:r>
          </w:p>
          <w:p w14:paraId="1F363CDB">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（3）对翻译后的教材进行校对，检查语法、拼写等错误，设计统一版式，确保美观实用。</w:t>
            </w:r>
          </w:p>
          <w:p w14:paraId="783AAB70">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（4）联系出版机构，对定版教材进行书号申请和公开出版。</w:t>
            </w:r>
          </w:p>
        </w:tc>
        <w:tc>
          <w:tcPr>
            <w:tcW w:w="1082" w:type="dxa"/>
            <w:noWrap w:val="0"/>
            <w:vAlign w:val="center"/>
          </w:tcPr>
          <w:p w14:paraId="41FF65D9">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6</w:t>
            </w:r>
          </w:p>
        </w:tc>
        <w:tc>
          <w:tcPr>
            <w:tcW w:w="722" w:type="dxa"/>
            <w:noWrap w:val="0"/>
            <w:vAlign w:val="center"/>
          </w:tcPr>
          <w:p w14:paraId="303F2305">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本</w:t>
            </w:r>
          </w:p>
        </w:tc>
      </w:tr>
      <w:tr w14:paraId="4D70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dxa"/>
            <w:vMerge w:val="restart"/>
            <w:noWrap w:val="0"/>
            <w:vAlign w:val="center"/>
          </w:tcPr>
          <w:p w14:paraId="265CFBAD">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99" w:type="dxa"/>
            <w:vMerge w:val="restart"/>
            <w:noWrap w:val="0"/>
            <w:vAlign w:val="center"/>
          </w:tcPr>
          <w:p w14:paraId="56759436">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为“走出去”企业开展技术培训</w:t>
            </w:r>
          </w:p>
        </w:tc>
        <w:tc>
          <w:tcPr>
            <w:tcW w:w="1444" w:type="dxa"/>
            <w:noWrap w:val="0"/>
            <w:vAlign w:val="center"/>
          </w:tcPr>
          <w:p w14:paraId="25998839">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教师赴海外授课及技术指导</w:t>
            </w:r>
          </w:p>
        </w:tc>
        <w:tc>
          <w:tcPr>
            <w:tcW w:w="3226" w:type="dxa"/>
            <w:noWrap w:val="0"/>
            <w:vAlign w:val="center"/>
          </w:tcPr>
          <w:p w14:paraId="7DC3E65B">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（1）选拔6名优秀教师赴马来西亚智能控制技术中心开展7天的线下培训及技术指导工作；</w:t>
            </w:r>
          </w:p>
          <w:p w14:paraId="285EBA18">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（2）安排教师为海外中资企业员工开展培训，不低于820人日；</w:t>
            </w:r>
          </w:p>
          <w:p w14:paraId="5DFDB9B6">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（3）负责教师海外相关工作的安排与协调；</w:t>
            </w:r>
          </w:p>
          <w:p w14:paraId="3795FCD9">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（4）负责相关往返机票、住宿、伙食、公杂和交通费用。</w:t>
            </w:r>
          </w:p>
        </w:tc>
        <w:tc>
          <w:tcPr>
            <w:tcW w:w="1082" w:type="dxa"/>
            <w:noWrap w:val="0"/>
            <w:vAlign w:val="center"/>
          </w:tcPr>
          <w:p w14:paraId="1A8F1A2A">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722" w:type="dxa"/>
            <w:noWrap w:val="0"/>
            <w:vAlign w:val="center"/>
          </w:tcPr>
          <w:p w14:paraId="4C2C0DEC">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次</w:t>
            </w:r>
          </w:p>
        </w:tc>
      </w:tr>
      <w:tr w14:paraId="03E2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jc w:val="center"/>
        </w:trPr>
        <w:tc>
          <w:tcPr>
            <w:tcW w:w="481" w:type="dxa"/>
            <w:vMerge w:val="continue"/>
            <w:noWrap w:val="0"/>
            <w:vAlign w:val="center"/>
          </w:tcPr>
          <w:p w14:paraId="12F1EEB7">
            <w:pPr>
              <w:spacing w:line="240" w:lineRule="auto"/>
              <w:jc w:val="center"/>
              <w:rPr>
                <w:rFonts w:hint="eastAsia" w:ascii="宋体" w:hAnsi="宋体" w:eastAsia="宋体" w:cs="宋体"/>
                <w:b w:val="0"/>
                <w:bCs w:val="0"/>
                <w:sz w:val="21"/>
                <w:szCs w:val="21"/>
                <w:vertAlign w:val="baseline"/>
                <w:lang w:val="en-US" w:eastAsia="zh-CN"/>
              </w:rPr>
            </w:pPr>
          </w:p>
        </w:tc>
        <w:tc>
          <w:tcPr>
            <w:tcW w:w="1099" w:type="dxa"/>
            <w:vMerge w:val="continue"/>
            <w:noWrap w:val="0"/>
            <w:vAlign w:val="center"/>
          </w:tcPr>
          <w:p w14:paraId="3776ADD9">
            <w:pPr>
              <w:spacing w:line="240" w:lineRule="auto"/>
              <w:jc w:val="center"/>
              <w:rPr>
                <w:rFonts w:hint="eastAsia" w:ascii="宋体" w:hAnsi="宋体" w:eastAsia="宋体" w:cs="宋体"/>
                <w:b w:val="0"/>
                <w:bCs w:val="0"/>
                <w:sz w:val="21"/>
                <w:szCs w:val="21"/>
                <w:vertAlign w:val="baseline"/>
                <w:lang w:val="en-US" w:eastAsia="zh-CN"/>
              </w:rPr>
            </w:pPr>
          </w:p>
        </w:tc>
        <w:tc>
          <w:tcPr>
            <w:tcW w:w="1444" w:type="dxa"/>
            <w:noWrap w:val="0"/>
            <w:vAlign w:val="center"/>
          </w:tcPr>
          <w:p w14:paraId="2F0A9998">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为海外企业员工开展线上技术培训</w:t>
            </w:r>
          </w:p>
        </w:tc>
        <w:tc>
          <w:tcPr>
            <w:tcW w:w="3226" w:type="dxa"/>
            <w:noWrap w:val="0"/>
            <w:vAlign w:val="center"/>
          </w:tcPr>
          <w:p w14:paraId="760B324D">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（1）负责组织智能控制领域相关技术线上培训，不低于400人日；</w:t>
            </w:r>
          </w:p>
          <w:p w14:paraId="207F7A43">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（2）负责招募马来西亚学生、中资企业员工；</w:t>
            </w:r>
          </w:p>
          <w:p w14:paraId="471C9D58">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（3）负责参训学院的招生、管理和学习等安排；</w:t>
            </w:r>
          </w:p>
          <w:p w14:paraId="3A5240A3">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（4）负责安排专人管理，对培训过程进行记录。</w:t>
            </w:r>
          </w:p>
        </w:tc>
        <w:tc>
          <w:tcPr>
            <w:tcW w:w="1082" w:type="dxa"/>
            <w:noWrap w:val="0"/>
            <w:vAlign w:val="center"/>
          </w:tcPr>
          <w:p w14:paraId="480AD5D0">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722" w:type="dxa"/>
            <w:noWrap w:val="0"/>
            <w:vAlign w:val="center"/>
          </w:tcPr>
          <w:p w14:paraId="12E395AC">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次</w:t>
            </w:r>
          </w:p>
        </w:tc>
      </w:tr>
      <w:tr w14:paraId="0D0B7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dxa"/>
            <w:noWrap w:val="0"/>
            <w:vAlign w:val="center"/>
          </w:tcPr>
          <w:p w14:paraId="618CF461">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099" w:type="dxa"/>
            <w:noWrap w:val="0"/>
            <w:vAlign w:val="center"/>
          </w:tcPr>
          <w:p w14:paraId="265A64C4">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共建马来西亚中国教师培训基地</w:t>
            </w:r>
          </w:p>
        </w:tc>
        <w:tc>
          <w:tcPr>
            <w:tcW w:w="1444" w:type="dxa"/>
            <w:noWrap w:val="0"/>
            <w:vAlign w:val="center"/>
          </w:tcPr>
          <w:p w14:paraId="40CDCBF3">
            <w:pPr>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挂牌成立陕西国防学院马来西亚教师培训基地并开展培训</w:t>
            </w:r>
          </w:p>
        </w:tc>
        <w:tc>
          <w:tcPr>
            <w:tcW w:w="3226" w:type="dxa"/>
            <w:noWrap w:val="0"/>
            <w:vAlign w:val="center"/>
          </w:tcPr>
          <w:p w14:paraId="24E95687">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（1）在陕西国防学院挂牌成立马来西亚中国师资培训基地；</w:t>
            </w:r>
          </w:p>
          <w:p w14:paraId="24940CCF">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（2）安排6名马来西亚教师来校开展7天技术培训；</w:t>
            </w:r>
          </w:p>
          <w:p w14:paraId="41F751E1">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（3）负责海外教师的选拔组织、出入境手续办理、交通费用等；</w:t>
            </w:r>
          </w:p>
          <w:p w14:paraId="5357BA8F">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（4）负责教师在中国培训期间的住宿餐饮及安排。</w:t>
            </w:r>
          </w:p>
          <w:p w14:paraId="080DA136">
            <w:pPr>
              <w:spacing w:line="240" w:lineRule="auto"/>
              <w:jc w:val="left"/>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（5）负责国内外相关媒体的新闻报道工作。</w:t>
            </w:r>
          </w:p>
        </w:tc>
        <w:tc>
          <w:tcPr>
            <w:tcW w:w="1082" w:type="dxa"/>
            <w:noWrap w:val="0"/>
            <w:vAlign w:val="center"/>
          </w:tcPr>
          <w:p w14:paraId="0FA0112F">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722" w:type="dxa"/>
            <w:noWrap w:val="0"/>
            <w:vAlign w:val="center"/>
          </w:tcPr>
          <w:p w14:paraId="1635EF9B">
            <w:pPr>
              <w:spacing w:line="36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个</w:t>
            </w:r>
          </w:p>
        </w:tc>
      </w:tr>
    </w:tbl>
    <w:p w14:paraId="2B92D92D">
      <w:pPr>
        <w:spacing w:line="360" w:lineRule="auto"/>
        <w:ind w:firstLine="480" w:firstLineChars="200"/>
        <w:rPr>
          <w:rFonts w:hint="eastAsia" w:ascii="宋体" w:hAnsi="宋体"/>
          <w:color w:val="000000"/>
          <w:sz w:val="24"/>
          <w:szCs w:val="24"/>
        </w:rPr>
      </w:pPr>
    </w:p>
    <w:p w14:paraId="01D3E369">
      <w:pPr>
        <w:spacing w:line="360" w:lineRule="auto"/>
        <w:rPr>
          <w:rFonts w:hint="eastAsia" w:ascii="宋体" w:hAnsi="宋体"/>
          <w:sz w:val="24"/>
          <w:szCs w:val="24"/>
        </w:rPr>
        <w:sectPr>
          <w:headerReference r:id="rId3" w:type="default"/>
          <w:footerReference r:id="rId4" w:type="default"/>
          <w:footerReference r:id="rId5" w:type="even"/>
          <w:pgSz w:w="11906" w:h="16838"/>
          <w:pgMar w:top="1191" w:right="1077" w:bottom="1191" w:left="1077" w:header="851" w:footer="851" w:gutter="0"/>
          <w:cols w:space="720" w:num="1"/>
          <w:docGrid w:type="lines" w:linePitch="312" w:charSpace="0"/>
        </w:sectPr>
      </w:pPr>
    </w:p>
    <w:p w14:paraId="2D7DC85E">
      <w:pPr>
        <w:spacing w:line="360" w:lineRule="auto"/>
        <w:rPr>
          <w:rFonts w:ascii="宋体" w:hAnsi="宋体"/>
          <w:sz w:val="24"/>
          <w:szCs w:val="24"/>
        </w:rPr>
      </w:pPr>
      <w:r>
        <w:rPr>
          <w:rFonts w:hint="eastAsia" w:ascii="宋体" w:hAnsi="宋体"/>
          <w:sz w:val="24"/>
          <w:szCs w:val="24"/>
        </w:rPr>
        <w:t>(</w:t>
      </w:r>
      <w:r>
        <w:rPr>
          <w:rFonts w:ascii="宋体" w:hAnsi="宋体"/>
          <w:sz w:val="24"/>
          <w:szCs w:val="24"/>
        </w:rPr>
        <w:t>以下空白部分无内容</w:t>
      </w:r>
      <w:r>
        <w:rPr>
          <w:rFonts w:hint="eastAsia" w:ascii="宋体" w:hAnsi="宋体"/>
          <w:sz w:val="24"/>
          <w:szCs w:val="24"/>
        </w:rPr>
        <w:t>)</w:t>
      </w:r>
    </w:p>
    <w:p w14:paraId="59A7A659">
      <w:pPr>
        <w:snapToGrid w:val="0"/>
        <w:spacing w:line="360" w:lineRule="auto"/>
        <w:jc w:val="both"/>
        <w:rPr>
          <w:rFonts w:hint="eastAsia" w:cs="Tahoma"/>
          <w:bCs/>
          <w:sz w:val="24"/>
        </w:rPr>
      </w:pPr>
    </w:p>
    <w:p w14:paraId="0727FE3F">
      <w:pPr>
        <w:snapToGrid w:val="0"/>
        <w:spacing w:line="360" w:lineRule="auto"/>
        <w:ind w:left="735" w:leftChars="200" w:hanging="315" w:hangingChars="150"/>
        <w:jc w:val="center"/>
        <w:rPr>
          <w:rFonts w:ascii="宋体" w:hAnsi="宋体" w:cs="Tahoma"/>
          <w:szCs w:val="21"/>
        </w:rPr>
      </w:pPr>
      <w:r>
        <w:rPr>
          <w:rFonts w:hint="eastAsia" w:ascii="宋体" w:hAnsi="宋体" w:cs="Tahoma"/>
          <w:szCs w:val="21"/>
        </w:rPr>
        <w:t>（以下无正文）</w:t>
      </w:r>
    </w:p>
    <w:p w14:paraId="7AA6A693">
      <w:pPr>
        <w:adjustRightInd w:val="0"/>
        <w:snapToGrid w:val="0"/>
        <w:spacing w:line="360" w:lineRule="auto"/>
        <w:jc w:val="both"/>
        <w:rPr>
          <w:rFonts w:hint="eastAsia"/>
        </w:rPr>
      </w:pPr>
    </w:p>
    <w:tbl>
      <w:tblPr>
        <w:tblStyle w:val="5"/>
        <w:tblW w:w="4807"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483"/>
        <w:gridCol w:w="5100"/>
      </w:tblGrid>
      <w:tr w14:paraId="75611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624" w:hRule="atLeast"/>
          <w:jc w:val="center"/>
        </w:trPr>
        <w:tc>
          <w:tcPr>
            <w:tcW w:w="2339" w:type="pct"/>
            <w:noWrap w:val="0"/>
            <w:vAlign w:val="center"/>
          </w:tcPr>
          <w:p w14:paraId="079FC3BB">
            <w:pPr>
              <w:rPr>
                <w:rFonts w:ascii="仿宋" w:hAnsi="仿宋" w:eastAsia="仿宋" w:cs="宋体"/>
                <w:color w:val="000000"/>
                <w:sz w:val="24"/>
                <w:szCs w:val="24"/>
              </w:rPr>
            </w:pPr>
            <w:r>
              <w:rPr>
                <w:rFonts w:hint="eastAsia" w:ascii="仿宋" w:hAnsi="仿宋" w:eastAsia="仿宋" w:cs="宋体"/>
                <w:color w:val="000000"/>
                <w:sz w:val="24"/>
                <w:szCs w:val="24"/>
              </w:rPr>
              <w:t>甲  方</w:t>
            </w:r>
          </w:p>
        </w:tc>
        <w:tc>
          <w:tcPr>
            <w:tcW w:w="2661" w:type="pct"/>
            <w:noWrap w:val="0"/>
            <w:vAlign w:val="center"/>
          </w:tcPr>
          <w:p w14:paraId="57FCA2EF">
            <w:pPr>
              <w:rPr>
                <w:rFonts w:ascii="仿宋" w:hAnsi="仿宋" w:eastAsia="仿宋" w:cs="宋体"/>
                <w:color w:val="000000"/>
                <w:sz w:val="24"/>
                <w:szCs w:val="24"/>
              </w:rPr>
            </w:pPr>
            <w:r>
              <w:rPr>
                <w:rFonts w:hint="eastAsia" w:ascii="仿宋" w:hAnsi="仿宋" w:eastAsia="仿宋" w:cs="宋体"/>
                <w:color w:val="000000"/>
                <w:sz w:val="24"/>
                <w:szCs w:val="24"/>
              </w:rPr>
              <w:t>乙  方</w:t>
            </w:r>
          </w:p>
        </w:tc>
      </w:tr>
      <w:tr w14:paraId="106DB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2339" w:type="pct"/>
            <w:noWrap w:val="0"/>
            <w:vAlign w:val="center"/>
          </w:tcPr>
          <w:p w14:paraId="310D520A">
            <w:pPr>
              <w:rPr>
                <w:rFonts w:ascii="仿宋" w:hAnsi="仿宋" w:eastAsia="仿宋" w:cs="宋体"/>
                <w:color w:val="000000"/>
                <w:sz w:val="24"/>
                <w:szCs w:val="24"/>
              </w:rPr>
            </w:pPr>
            <w:r>
              <w:rPr>
                <w:rFonts w:hint="eastAsia" w:ascii="Tahoma" w:hAnsi="Tahoma" w:cs="Tahoma"/>
                <w:b/>
                <w:szCs w:val="21"/>
              </w:rPr>
              <w:t>陕西国防工业职业技术学院</w:t>
            </w:r>
            <w:r>
              <w:rPr>
                <w:rFonts w:hint="eastAsia" w:ascii="仿宋" w:hAnsi="仿宋" w:eastAsia="仿宋" w:cs="宋体"/>
                <w:color w:val="000000"/>
                <w:sz w:val="24"/>
                <w:szCs w:val="24"/>
              </w:rPr>
              <w:t>（盖章）</w:t>
            </w:r>
          </w:p>
        </w:tc>
        <w:tc>
          <w:tcPr>
            <w:tcW w:w="2661" w:type="pct"/>
            <w:noWrap w:val="0"/>
            <w:vAlign w:val="center"/>
          </w:tcPr>
          <w:p w14:paraId="66B61F4A">
            <w:pPr>
              <w:jc w:val="both"/>
              <w:rPr>
                <w:rFonts w:ascii="仿宋" w:hAnsi="仿宋" w:eastAsia="仿宋" w:cs="宋体"/>
                <w:color w:val="FF0000"/>
                <w:szCs w:val="21"/>
              </w:rPr>
            </w:pPr>
            <w:r>
              <w:rPr>
                <w:rFonts w:hint="eastAsia" w:ascii="宋体" w:hAnsi="宋体" w:cs="宋体"/>
                <w:snapToGrid w:val="0"/>
                <w:sz w:val="24"/>
                <w:szCs w:val="24"/>
              </w:rPr>
              <w:t xml:space="preserve"> </w:t>
            </w:r>
            <w:r>
              <w:rPr>
                <w:rFonts w:hint="eastAsia" w:ascii="仿宋" w:hAnsi="仿宋" w:eastAsia="仿宋" w:cs="宋体"/>
                <w:color w:val="000000"/>
                <w:sz w:val="24"/>
                <w:szCs w:val="24"/>
              </w:rPr>
              <w:t>（盖章）</w:t>
            </w:r>
          </w:p>
        </w:tc>
      </w:tr>
      <w:tr w14:paraId="0F574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noWrap w:val="0"/>
            <w:vAlign w:val="center"/>
          </w:tcPr>
          <w:p w14:paraId="6FE2F707">
            <w:pPr>
              <w:rPr>
                <w:rFonts w:ascii="仿宋" w:hAnsi="仿宋" w:eastAsia="仿宋" w:cs="宋体"/>
                <w:color w:val="000000"/>
                <w:sz w:val="24"/>
                <w:szCs w:val="24"/>
              </w:rPr>
            </w:pPr>
            <w:r>
              <w:rPr>
                <w:rFonts w:hint="eastAsia" w:ascii="仿宋" w:hAnsi="仿宋" w:eastAsia="仿宋" w:cs="宋体"/>
                <w:color w:val="000000"/>
                <w:sz w:val="24"/>
                <w:szCs w:val="24"/>
              </w:rPr>
              <w:t>地址：陕西省西安市鄠邑区人民路8号</w:t>
            </w:r>
          </w:p>
        </w:tc>
        <w:tc>
          <w:tcPr>
            <w:tcW w:w="5100" w:type="dxa"/>
            <w:noWrap w:val="0"/>
            <w:vAlign w:val="center"/>
          </w:tcPr>
          <w:p w14:paraId="39357642">
            <w:pPr>
              <w:rPr>
                <w:rFonts w:ascii="仿宋" w:hAnsi="仿宋" w:eastAsia="仿宋" w:cs="宋体"/>
                <w:color w:val="FF0000"/>
                <w:szCs w:val="21"/>
              </w:rPr>
            </w:pPr>
            <w:r>
              <w:rPr>
                <w:rFonts w:hint="eastAsia" w:ascii="仿宋" w:hAnsi="仿宋" w:eastAsia="仿宋" w:cs="宋体"/>
                <w:color w:val="000000"/>
                <w:sz w:val="24"/>
                <w:szCs w:val="24"/>
              </w:rPr>
              <w:t>地址：</w:t>
            </w:r>
          </w:p>
        </w:tc>
      </w:tr>
      <w:tr w14:paraId="350C7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noWrap w:val="0"/>
            <w:vAlign w:val="center"/>
          </w:tcPr>
          <w:p w14:paraId="2AF0A992">
            <w:pPr>
              <w:spacing w:line="400" w:lineRule="exact"/>
              <w:rPr>
                <w:rFonts w:ascii="仿宋" w:hAnsi="仿宋" w:eastAsia="仿宋" w:cs="宋体"/>
                <w:color w:val="000000"/>
                <w:sz w:val="24"/>
                <w:szCs w:val="24"/>
              </w:rPr>
            </w:pPr>
            <w:r>
              <w:rPr>
                <w:rFonts w:hint="eastAsia" w:ascii="仿宋" w:hAnsi="仿宋" w:eastAsia="仿宋" w:cs="宋体"/>
                <w:color w:val="000000"/>
                <w:sz w:val="24"/>
                <w:szCs w:val="24"/>
              </w:rPr>
              <w:t>邮编：710300</w:t>
            </w:r>
          </w:p>
        </w:tc>
        <w:tc>
          <w:tcPr>
            <w:tcW w:w="5100" w:type="dxa"/>
            <w:noWrap w:val="0"/>
            <w:vAlign w:val="center"/>
          </w:tcPr>
          <w:p w14:paraId="0E61730B">
            <w:pPr>
              <w:rPr>
                <w:rFonts w:hint="default" w:ascii="仿宋" w:hAnsi="仿宋" w:eastAsia="仿宋" w:cs="宋体"/>
                <w:color w:val="FF0000"/>
                <w:szCs w:val="21"/>
                <w:lang w:val="en-US" w:eastAsia="zh-CN"/>
              </w:rPr>
            </w:pPr>
            <w:r>
              <w:rPr>
                <w:rFonts w:hint="eastAsia" w:ascii="仿宋" w:hAnsi="仿宋" w:eastAsia="仿宋" w:cs="宋体"/>
                <w:color w:val="000000"/>
                <w:sz w:val="24"/>
                <w:szCs w:val="24"/>
              </w:rPr>
              <w:t>邮编：</w:t>
            </w:r>
          </w:p>
        </w:tc>
      </w:tr>
      <w:tr w14:paraId="33035D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tcBorders>
              <w:bottom w:val="single" w:color="auto" w:sz="4" w:space="0"/>
            </w:tcBorders>
            <w:noWrap w:val="0"/>
            <w:vAlign w:val="center"/>
          </w:tcPr>
          <w:p w14:paraId="4F596A0B">
            <w:pPr>
              <w:rPr>
                <w:rFonts w:hint="default" w:ascii="仿宋" w:hAnsi="仿宋" w:eastAsia="仿宋" w:cs="宋体"/>
                <w:color w:val="000000"/>
                <w:sz w:val="24"/>
                <w:szCs w:val="24"/>
                <w:lang w:val="en-US" w:eastAsia="zh-CN"/>
              </w:rPr>
            </w:pPr>
            <w:r>
              <w:rPr>
                <w:rFonts w:hint="eastAsia" w:ascii="仿宋" w:hAnsi="仿宋" w:eastAsia="仿宋" w:cs="宋体"/>
                <w:color w:val="000000"/>
                <w:sz w:val="24"/>
                <w:szCs w:val="24"/>
              </w:rPr>
              <w:t>法定代表人：</w:t>
            </w:r>
            <w:r>
              <w:rPr>
                <w:rFonts w:hint="eastAsia" w:ascii="仿宋" w:hAnsi="仿宋" w:eastAsia="仿宋" w:cs="宋体"/>
                <w:color w:val="000000"/>
                <w:sz w:val="24"/>
                <w:szCs w:val="24"/>
                <w:lang w:val="en-US" w:eastAsia="zh-CN"/>
              </w:rPr>
              <w:t>张永军</w:t>
            </w:r>
          </w:p>
        </w:tc>
        <w:tc>
          <w:tcPr>
            <w:tcW w:w="5100" w:type="dxa"/>
            <w:noWrap w:val="0"/>
            <w:vAlign w:val="center"/>
          </w:tcPr>
          <w:p w14:paraId="1386BAF9">
            <w:pPr>
              <w:rPr>
                <w:rFonts w:ascii="仿宋" w:hAnsi="仿宋" w:eastAsia="仿宋" w:cs="宋体"/>
                <w:color w:val="FF0000"/>
                <w:szCs w:val="21"/>
              </w:rPr>
            </w:pPr>
            <w:r>
              <w:rPr>
                <w:rFonts w:hint="eastAsia" w:ascii="仿宋" w:hAnsi="仿宋" w:eastAsia="仿宋" w:cs="宋体"/>
                <w:color w:val="000000"/>
                <w:sz w:val="24"/>
                <w:szCs w:val="24"/>
              </w:rPr>
              <w:t>法定代表人：</w:t>
            </w:r>
          </w:p>
        </w:tc>
      </w:tr>
      <w:tr w14:paraId="19B47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tcBorders>
              <w:top w:val="single" w:color="auto" w:sz="4" w:space="0"/>
            </w:tcBorders>
            <w:noWrap w:val="0"/>
            <w:vAlign w:val="center"/>
          </w:tcPr>
          <w:p w14:paraId="07D3B02F">
            <w:pPr>
              <w:rPr>
                <w:rFonts w:ascii="仿宋" w:hAnsi="仿宋" w:eastAsia="仿宋" w:cs="宋体"/>
                <w:color w:val="000000"/>
                <w:sz w:val="24"/>
                <w:szCs w:val="24"/>
              </w:rPr>
            </w:pPr>
            <w:r>
              <w:rPr>
                <w:rFonts w:hint="eastAsia" w:ascii="仿宋" w:hAnsi="仿宋" w:eastAsia="仿宋" w:cs="宋体"/>
                <w:color w:val="000000"/>
                <w:sz w:val="24"/>
                <w:szCs w:val="24"/>
              </w:rPr>
              <w:t>被授权代表：（签字）</w:t>
            </w:r>
          </w:p>
        </w:tc>
        <w:tc>
          <w:tcPr>
            <w:tcW w:w="5100" w:type="dxa"/>
            <w:noWrap w:val="0"/>
            <w:vAlign w:val="center"/>
          </w:tcPr>
          <w:p w14:paraId="482EDC15">
            <w:pPr>
              <w:rPr>
                <w:rFonts w:ascii="仿宋" w:hAnsi="仿宋" w:eastAsia="仿宋" w:cs="宋体"/>
                <w:color w:val="FF0000"/>
                <w:szCs w:val="21"/>
              </w:rPr>
            </w:pPr>
            <w:r>
              <w:rPr>
                <w:rFonts w:hint="eastAsia" w:ascii="仿宋" w:hAnsi="仿宋" w:eastAsia="仿宋" w:cs="宋体"/>
                <w:color w:val="000000"/>
                <w:sz w:val="24"/>
                <w:szCs w:val="24"/>
              </w:rPr>
              <w:t>被授权代表：（签字）</w:t>
            </w:r>
          </w:p>
        </w:tc>
      </w:tr>
      <w:tr w14:paraId="207D8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noWrap w:val="0"/>
            <w:vAlign w:val="center"/>
          </w:tcPr>
          <w:p w14:paraId="7CFA8BDA">
            <w:pPr>
              <w:rPr>
                <w:rFonts w:ascii="仿宋" w:hAnsi="仿宋" w:eastAsia="仿宋" w:cs="宋体"/>
                <w:color w:val="000000"/>
                <w:sz w:val="24"/>
                <w:szCs w:val="24"/>
              </w:rPr>
            </w:pPr>
            <w:r>
              <w:rPr>
                <w:rFonts w:hint="eastAsia" w:ascii="仿宋" w:hAnsi="仿宋" w:eastAsia="仿宋" w:cs="宋体"/>
                <w:color w:val="000000"/>
                <w:sz w:val="24"/>
                <w:szCs w:val="24"/>
              </w:rPr>
              <w:t>电话：029-81480108</w:t>
            </w:r>
          </w:p>
        </w:tc>
        <w:tc>
          <w:tcPr>
            <w:tcW w:w="5100" w:type="dxa"/>
            <w:noWrap w:val="0"/>
            <w:vAlign w:val="center"/>
          </w:tcPr>
          <w:p w14:paraId="0F2847D9">
            <w:pPr>
              <w:rPr>
                <w:rFonts w:ascii="仿宋" w:hAnsi="仿宋" w:eastAsia="仿宋" w:cs="宋体"/>
                <w:color w:val="FF0000"/>
                <w:szCs w:val="21"/>
              </w:rPr>
            </w:pPr>
            <w:r>
              <w:rPr>
                <w:rFonts w:hint="eastAsia" w:ascii="仿宋" w:hAnsi="仿宋" w:eastAsia="仿宋" w:cs="宋体"/>
                <w:color w:val="000000"/>
                <w:sz w:val="24"/>
                <w:szCs w:val="24"/>
              </w:rPr>
              <w:t>电话：</w:t>
            </w:r>
          </w:p>
        </w:tc>
      </w:tr>
      <w:tr w14:paraId="2ACCB1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tcBorders>
              <w:bottom w:val="single" w:color="auto" w:sz="4" w:space="0"/>
            </w:tcBorders>
            <w:noWrap w:val="0"/>
            <w:vAlign w:val="center"/>
          </w:tcPr>
          <w:p w14:paraId="016511AA">
            <w:pPr>
              <w:rPr>
                <w:rFonts w:ascii="仿宋" w:hAnsi="仿宋" w:eastAsia="仿宋" w:cs="宋体"/>
                <w:color w:val="000000"/>
                <w:sz w:val="24"/>
                <w:szCs w:val="24"/>
              </w:rPr>
            </w:pPr>
            <w:r>
              <w:rPr>
                <w:rFonts w:hint="eastAsia" w:ascii="仿宋" w:hAnsi="仿宋" w:eastAsia="仿宋" w:cs="宋体"/>
                <w:color w:val="000000"/>
                <w:sz w:val="24"/>
                <w:szCs w:val="24"/>
              </w:rPr>
              <w:t>传真：029-81480005</w:t>
            </w:r>
          </w:p>
        </w:tc>
        <w:tc>
          <w:tcPr>
            <w:tcW w:w="5100" w:type="dxa"/>
            <w:noWrap w:val="0"/>
            <w:vAlign w:val="center"/>
          </w:tcPr>
          <w:p w14:paraId="21448E95">
            <w:pPr>
              <w:rPr>
                <w:rFonts w:ascii="仿宋" w:hAnsi="仿宋" w:eastAsia="仿宋" w:cs="宋体"/>
                <w:color w:val="FF0000"/>
                <w:szCs w:val="21"/>
              </w:rPr>
            </w:pPr>
            <w:r>
              <w:rPr>
                <w:rFonts w:hint="eastAsia" w:ascii="仿宋" w:hAnsi="仿宋" w:eastAsia="仿宋" w:cs="宋体"/>
                <w:color w:val="000000"/>
                <w:sz w:val="24"/>
                <w:szCs w:val="24"/>
              </w:rPr>
              <w:t>传真：</w:t>
            </w:r>
          </w:p>
        </w:tc>
      </w:tr>
      <w:tr w14:paraId="21650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tcBorders>
              <w:top w:val="single" w:color="auto" w:sz="4" w:space="0"/>
              <w:bottom w:val="single" w:color="auto" w:sz="4" w:space="0"/>
            </w:tcBorders>
            <w:noWrap w:val="0"/>
            <w:vAlign w:val="center"/>
          </w:tcPr>
          <w:p w14:paraId="5ADA0EEB">
            <w:pPr>
              <w:rPr>
                <w:rFonts w:hint="eastAsia" w:ascii="仿宋" w:hAnsi="仿宋" w:eastAsia="仿宋" w:cs="宋体"/>
                <w:color w:val="000000"/>
                <w:sz w:val="24"/>
                <w:szCs w:val="24"/>
              </w:rPr>
            </w:pPr>
            <w:r>
              <w:rPr>
                <w:rFonts w:hint="eastAsia" w:ascii="仿宋" w:hAnsi="仿宋" w:eastAsia="仿宋" w:cs="宋体"/>
                <w:color w:val="000000"/>
                <w:sz w:val="24"/>
                <w:szCs w:val="24"/>
              </w:rPr>
              <w:t>开户银行：</w:t>
            </w:r>
            <w:r>
              <w:rPr>
                <w:rFonts w:hint="eastAsia" w:ascii="仿宋" w:hAnsi="仿宋" w:eastAsia="仿宋" w:cs="宋体"/>
                <w:szCs w:val="21"/>
              </w:rPr>
              <w:t>陕西秦农农村商业银行股份有限公司余下支行</w:t>
            </w:r>
          </w:p>
        </w:tc>
        <w:tc>
          <w:tcPr>
            <w:tcW w:w="5100" w:type="dxa"/>
            <w:noWrap w:val="0"/>
            <w:vAlign w:val="center"/>
          </w:tcPr>
          <w:p w14:paraId="7682A0A4">
            <w:pPr>
              <w:rPr>
                <w:rFonts w:hint="eastAsia" w:ascii="仿宋" w:hAnsi="仿宋" w:eastAsia="仿宋" w:cs="宋体"/>
                <w:color w:val="FF0000"/>
                <w:szCs w:val="21"/>
              </w:rPr>
            </w:pPr>
            <w:r>
              <w:rPr>
                <w:rFonts w:hint="eastAsia" w:ascii="仿宋" w:hAnsi="仿宋" w:eastAsia="仿宋" w:cs="宋体"/>
                <w:color w:val="000000"/>
                <w:sz w:val="24"/>
                <w:szCs w:val="24"/>
              </w:rPr>
              <w:t>开户银行：</w:t>
            </w:r>
          </w:p>
        </w:tc>
      </w:tr>
      <w:tr w14:paraId="5246F1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tcBorders>
              <w:top w:val="single" w:color="auto" w:sz="4" w:space="0"/>
              <w:bottom w:val="single" w:color="auto" w:sz="4" w:space="0"/>
            </w:tcBorders>
            <w:noWrap w:val="0"/>
            <w:vAlign w:val="center"/>
          </w:tcPr>
          <w:p w14:paraId="6CCB53FD">
            <w:pPr>
              <w:rPr>
                <w:rFonts w:hint="eastAsia" w:ascii="仿宋" w:hAnsi="仿宋" w:eastAsia="仿宋" w:cs="宋体"/>
                <w:color w:val="000000"/>
                <w:sz w:val="24"/>
                <w:szCs w:val="24"/>
              </w:rPr>
            </w:pPr>
            <w:r>
              <w:rPr>
                <w:rFonts w:hint="eastAsia" w:ascii="仿宋" w:hAnsi="仿宋" w:eastAsia="仿宋" w:cs="宋体"/>
                <w:color w:val="000000"/>
                <w:sz w:val="24"/>
                <w:szCs w:val="24"/>
              </w:rPr>
              <w:t>账户名称：陕西国防工业职业技术学院</w:t>
            </w:r>
          </w:p>
        </w:tc>
        <w:tc>
          <w:tcPr>
            <w:tcW w:w="5100" w:type="dxa"/>
            <w:tcBorders>
              <w:bottom w:val="single" w:color="auto" w:sz="4" w:space="0"/>
            </w:tcBorders>
            <w:noWrap w:val="0"/>
            <w:vAlign w:val="center"/>
          </w:tcPr>
          <w:p w14:paraId="3EC4104C">
            <w:pPr>
              <w:rPr>
                <w:rFonts w:hint="eastAsia" w:ascii="仿宋" w:hAnsi="仿宋" w:eastAsia="仿宋" w:cs="宋体"/>
                <w:color w:val="FF0000"/>
                <w:szCs w:val="21"/>
              </w:rPr>
            </w:pPr>
            <w:r>
              <w:rPr>
                <w:rFonts w:hint="eastAsia" w:ascii="仿宋" w:hAnsi="仿宋" w:eastAsia="仿宋" w:cs="宋体"/>
                <w:color w:val="000000"/>
                <w:sz w:val="24"/>
                <w:szCs w:val="24"/>
              </w:rPr>
              <w:t>账户名称：</w:t>
            </w:r>
          </w:p>
        </w:tc>
      </w:tr>
      <w:tr w14:paraId="5A1A4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339" w:type="pct"/>
            <w:tcBorders>
              <w:top w:val="single" w:color="auto" w:sz="4" w:space="0"/>
            </w:tcBorders>
            <w:noWrap w:val="0"/>
            <w:vAlign w:val="center"/>
          </w:tcPr>
          <w:p w14:paraId="24BBD933">
            <w:pPr>
              <w:rPr>
                <w:rFonts w:hint="eastAsia" w:ascii="仿宋" w:hAnsi="仿宋" w:eastAsia="仿宋" w:cs="宋体"/>
                <w:color w:val="000000"/>
                <w:sz w:val="24"/>
                <w:szCs w:val="24"/>
              </w:rPr>
            </w:pPr>
            <w:r>
              <w:rPr>
                <w:rFonts w:hint="eastAsia" w:ascii="仿宋" w:hAnsi="仿宋" w:eastAsia="仿宋" w:cs="宋体"/>
                <w:color w:val="000000"/>
                <w:sz w:val="24"/>
                <w:szCs w:val="24"/>
              </w:rPr>
              <w:t>账号:  2701092201201000018150</w:t>
            </w:r>
          </w:p>
        </w:tc>
        <w:tc>
          <w:tcPr>
            <w:tcW w:w="5100" w:type="dxa"/>
            <w:tcBorders>
              <w:top w:val="single" w:color="auto" w:sz="4" w:space="0"/>
            </w:tcBorders>
            <w:noWrap w:val="0"/>
            <w:vAlign w:val="center"/>
          </w:tcPr>
          <w:p w14:paraId="6BA6FE43">
            <w:pPr>
              <w:rPr>
                <w:rFonts w:hint="eastAsia" w:ascii="仿宋" w:hAnsi="仿宋" w:eastAsia="仿宋" w:cs="宋体"/>
                <w:color w:val="FF0000"/>
                <w:szCs w:val="21"/>
              </w:rPr>
            </w:pPr>
            <w:r>
              <w:rPr>
                <w:rFonts w:hint="eastAsia" w:ascii="仿宋" w:hAnsi="仿宋" w:eastAsia="仿宋" w:cs="宋体"/>
                <w:color w:val="000000"/>
                <w:sz w:val="28"/>
                <w:szCs w:val="28"/>
              </w:rPr>
              <w:t>账号:</w:t>
            </w:r>
          </w:p>
        </w:tc>
      </w:tr>
    </w:tbl>
    <w:p w14:paraId="7EA34F20">
      <w:pPr>
        <w:adjustRightInd w:val="0"/>
        <w:snapToGrid w:val="0"/>
        <w:spacing w:line="360" w:lineRule="auto"/>
        <w:jc w:val="both"/>
      </w:pPr>
    </w:p>
    <w:p w14:paraId="577D18F9">
      <w:bookmarkStart w:id="0" w:name="_GoBack"/>
      <w:bookmarkEnd w:id="0"/>
    </w:p>
    <w:sectPr>
      <w:pgSz w:w="11906" w:h="16838"/>
      <w:pgMar w:top="1191" w:right="1077" w:bottom="1191" w:left="1077"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A00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AC4CBD">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5</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48AC4CBD">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5</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75354">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5</w:t>
    </w:r>
    <w:r>
      <w:fldChar w:fldCharType="end"/>
    </w:r>
  </w:p>
  <w:p w14:paraId="54BF9C7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D0392">
    <w:pPr>
      <w:pStyle w:val="3"/>
    </w:pPr>
    <w:r>
      <w:rPr>
        <w:rFonts w:hint="eastAsia"/>
      </w:rPr>
      <w:t>陕西国防工业职业技术学院服务项目合同书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D33D0"/>
    <w:multiLevelType w:val="singleLevel"/>
    <w:tmpl w:val="D7FD33D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8D6924"/>
    <w:rsid w:val="038D6924"/>
    <w:rsid w:val="494A3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val="0"/>
      <w:jc w:val="both"/>
    </w:pPr>
    <w:rPr>
      <w:kern w:val="2"/>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1"/>
    <w:basedOn w:val="1"/>
    <w:next w:val="4"/>
    <w:uiPriority w:val="0"/>
    <w:pPr>
      <w:spacing w:before="100" w:beforeAutospacing="1" w:after="100" w:afterAutospacing="1"/>
    </w:pPr>
    <w:rPr>
      <w:rFonts w:ascii="宋体" w:hAnsi="宋体"/>
      <w:sz w:val="24"/>
      <w:szCs w:val="24"/>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2026-06-18T09:34:00Z</dcterms:created>
  <dc:creator>投标函编辑</dc:creator>
  <cp:lastModifiedBy>投标函编辑</cp:lastModifiedBy>
  <dcterms:modified xsi:type="dcterms:W3CDTF">2026-06-18T09:34:45Z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49661B3F26C74332821BB10E710D549A_11</vt:lpwstr>
  </property>
  <property fmtid="{D5CDD505-2E9C-101B-9397-08002B2CF9AE}" pid="4" name="KSOTemplateDocerSaveRecord">
    <vt:lpwstr>eyJoZGlkIjoiZDgxMGJjZjcxODEyZmFiZjFmOTVlODc2MWEwMzgwYjkiLCJ1c2VySWQiOiI0MjgwMjQ4NTcifQ==</vt:lpwstr>
  </property>
</Properties>
</file>