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版本号：0617-2621FZ1449.1B120260707001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马来西亚智能控制技术企业培训中心(二次)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0617-2621FZ1449.1B1</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马来西亚智能控制技术企业培训中心(二次)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0617-2621FZ1449.1B1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马来西亚智能控制技术企业培训中心(二次)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海外技术培训中心建设，积极响应“一带一路”倡议，提升专业群国际交流合作水平，结合马来西亚职业技能人才培养和中资企业用人需求，输出“中国标准”，助推“一带一路”沿线国家国际职教高质量共建和人才培养水平提升，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采购包1（马来西亚智能控制技术企业培训中心）：属于专门面向中小企业采购。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陕国职院经办人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 5 %作为履约保证金，待合同履约完毕后无息退还；逾期退还履约保证金，产生的资金占用费双方协商。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进行收费。收款账号：开户名称：西北（陕西）国际招标有限公司 开户银行： 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海外技术培训中心建设，积极响应“一带一路”倡议，提升专业群国际交流合作水平，结合马来西亚职业技能人才培养和中资企业用人需求，输出“中国标准”，助推“一带一路”沿线国家国际职教高质量共建和人才培养水平提升，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8"/>
              <w:gridCol w:w="305"/>
              <w:gridCol w:w="1980"/>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项目概况</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通过海外技术培训中心建设，积极响应</w:t>
                  </w:r>
                  <w:r>
                    <w:rPr>
                      <w:rFonts w:ascii="仿宋_GB2312" w:hAnsi="仿宋_GB2312" w:cs="仿宋_GB2312" w:eastAsia="仿宋_GB2312"/>
                      <w:sz w:val="19"/>
                    </w:rPr>
                    <w:t>“一带一路”倡议，提升专业群国际交流合作水平，结合马来西亚职业技能人才培养和中资企业用人需求，输出“中国标准”，助推“一带一路”沿线国家国际职教高质量共建和人才培养水平提升。</w:t>
                  </w:r>
                </w:p>
                <w:p>
                  <w:pPr>
                    <w:pStyle w:val="null3"/>
                  </w:pPr>
                  <w:r>
                    <w:rPr>
                      <w:rFonts w:ascii="仿宋_GB2312" w:hAnsi="仿宋_GB2312" w:cs="仿宋_GB2312" w:eastAsia="仿宋_GB2312"/>
                      <w:sz w:val="19"/>
                    </w:rPr>
                    <w:t>当前学校在建设海外技术培训中心时，主要有几个方面的考虑：</w:t>
                  </w:r>
                </w:p>
                <w:p>
                  <w:pPr>
                    <w:pStyle w:val="null3"/>
                  </w:pPr>
                  <w:r>
                    <w:rPr>
                      <w:rFonts w:ascii="仿宋_GB2312" w:hAnsi="仿宋_GB2312" w:cs="仿宋_GB2312" w:eastAsia="仿宋_GB2312"/>
                      <w:sz w:val="19"/>
                    </w:rPr>
                    <w:t>1 海外技术培训中心建设要符合国家新双高建设最新要求，教随产出助力“走出去”企业参与国际产能合作。</w:t>
                  </w:r>
                </w:p>
                <w:p>
                  <w:pPr>
                    <w:pStyle w:val="null3"/>
                  </w:pPr>
                  <w:r>
                    <w:rPr>
                      <w:rFonts w:ascii="仿宋_GB2312" w:hAnsi="仿宋_GB2312" w:cs="仿宋_GB2312" w:eastAsia="仿宋_GB2312"/>
                      <w:sz w:val="19"/>
                    </w:rPr>
                    <w:t>2 本项目计划开展智能控制、人工智能等专业的国际化教学标准、资源建设和技术技能培训，旨在发挥学校的专业优势和人才培养优势，探索形成职业教育国际产教融合的新模式。</w:t>
                  </w:r>
                </w:p>
                <w:p>
                  <w:pPr>
                    <w:pStyle w:val="null3"/>
                  </w:pPr>
                  <w:r>
                    <w:rPr>
                      <w:rFonts w:ascii="仿宋_GB2312" w:hAnsi="仿宋_GB2312" w:cs="仿宋_GB2312" w:eastAsia="仿宋_GB2312"/>
                      <w:sz w:val="19"/>
                    </w:rPr>
                    <w:t>3 通过标准共研、资源共建、技术培训等项目，将中国职教的技术标准、教学资源输出到马来西亚，获得行业、企业和高校的相关认证，并在实际工作中应用与推广，不断扩大中国职教的辐射影响范围。</w:t>
                  </w:r>
                </w:p>
                <w:p>
                  <w:pPr>
                    <w:pStyle w:val="null3"/>
                  </w:pPr>
                  <w:r>
                    <w:rPr>
                      <w:rFonts w:ascii="仿宋_GB2312" w:hAnsi="仿宋_GB2312" w:cs="仿宋_GB2312" w:eastAsia="仿宋_GB2312"/>
                      <w:sz w:val="19"/>
                    </w:rPr>
                    <w:t>4 海外技术培训中心建设能够很好支撑本校的国际交流合作建设工作。助力企业突破海外发展技能人才短缺瓶颈，推动专业群国际影响力与产业服务能力同步提升。</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采购清单及技术标准、配置要求、服务要求</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67"/>
                    <w:gridCol w:w="131"/>
                    <w:gridCol w:w="215"/>
                    <w:gridCol w:w="1102"/>
                    <w:gridCol w:w="85"/>
                    <w:gridCol w:w="80"/>
                  </w:tblGrid>
                  <w:tr>
                    <w:tc>
                      <w:tcPr>
                        <w:tcW w:type="dxa" w:w="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项目成果</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需求或性能描述</w:t>
                        </w:r>
                      </w:p>
                    </w:tc>
                    <w:tc>
                      <w:tcPr>
                        <w:tcW w:type="dxa" w:w="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单位</w:t>
                        </w:r>
                      </w:p>
                    </w:tc>
                    <w:tc>
                      <w:tcPr>
                        <w:tcW w:type="dxa" w:w="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数量</w:t>
                        </w:r>
                      </w:p>
                    </w:tc>
                  </w:tr>
                  <w:tr>
                    <w:tc>
                      <w:tcPr>
                        <w:tcW w:type="dxa" w:w="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开发国际化标准资源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国际化教学标准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(1)★合作企业负责对接马来西亚相关高校和教育主管部门对课程标准制定的具体要求，包括文件收集与整理，对课程标准建设进行指导；</w:t>
                        </w:r>
                      </w:p>
                      <w:p>
                        <w:pPr>
                          <w:pStyle w:val="null3"/>
                        </w:pPr>
                        <w:r>
                          <w:rPr>
                            <w:rFonts w:ascii="仿宋_GB2312" w:hAnsi="仿宋_GB2312" w:cs="仿宋_GB2312" w:eastAsia="仿宋_GB2312"/>
                            <w:sz w:val="19"/>
                          </w:rPr>
                          <w:t>(2)合作企业组织海外合作单位的教育专家、教师和企业工程师开展线上或线下研讨会，共同制定课程标准；</w:t>
                        </w:r>
                      </w:p>
                      <w:p>
                        <w:pPr>
                          <w:pStyle w:val="null3"/>
                        </w:pPr>
                        <w:r>
                          <w:rPr>
                            <w:rFonts w:ascii="仿宋_GB2312" w:hAnsi="仿宋_GB2312" w:cs="仿宋_GB2312" w:eastAsia="仿宋_GB2312"/>
                            <w:sz w:val="19"/>
                          </w:rPr>
                          <w:t>(3)提供会议研讨、课程标准资料的翻译工作；</w:t>
                        </w:r>
                      </w:p>
                      <w:p>
                        <w:pPr>
                          <w:pStyle w:val="null3"/>
                        </w:pPr>
                        <w:r>
                          <w:rPr>
                            <w:rFonts w:ascii="仿宋_GB2312" w:hAnsi="仿宋_GB2312" w:cs="仿宋_GB2312" w:eastAsia="仿宋_GB2312"/>
                            <w:sz w:val="19"/>
                          </w:rPr>
                          <w:t>(4)★协助学校将课程标准上报马来西亚国家相关主管部门并获得认证和官网查询，出具课程标准认证证书。</w:t>
                        </w: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项</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2</w:t>
                        </w:r>
                      </w:p>
                    </w:tc>
                  </w:tr>
                  <w:tr>
                    <w:tc>
                      <w:tcPr>
                        <w:tcW w:type="dxa" w:w="67"/>
                        <w:vMerge/>
                        <w:tcBorders>
                          <w:top w:val="none" w:color="000000" w:sz="4"/>
                          <w:left w:val="single" w:color="000000" w:sz="4"/>
                          <w:bottom w:val="single" w:color="000000" w:sz="4"/>
                          <w:right w:val="single" w:color="000000" w:sz="4"/>
                        </w:tcBorders>
                      </w:tcPr>
                      <w:p/>
                    </w:tc>
                    <w:tc>
                      <w:tcPr>
                        <w:tcW w:type="dxa" w:w="131"/>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国际化职业技能标准</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(1)合作开发智能控制技术领域相关职业技能标准（中英文版）；</w:t>
                        </w:r>
                      </w:p>
                      <w:p>
                        <w:pPr>
                          <w:pStyle w:val="null3"/>
                        </w:pPr>
                        <w:r>
                          <w:rPr>
                            <w:rFonts w:ascii="仿宋_GB2312" w:hAnsi="仿宋_GB2312" w:cs="仿宋_GB2312" w:eastAsia="仿宋_GB2312"/>
                            <w:sz w:val="19"/>
                          </w:rPr>
                          <w:t>(2)★负责在马来西亚行业企业应用，并获得当地行业协会认证。</w:t>
                        </w:r>
                      </w:p>
                      <w:p>
                        <w:pPr>
                          <w:pStyle w:val="null3"/>
                        </w:pP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项</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3</w:t>
                        </w:r>
                      </w:p>
                    </w:tc>
                  </w:tr>
                  <w:tr>
                    <w:tc>
                      <w:tcPr>
                        <w:tcW w:type="dxa" w:w="67"/>
                        <w:vMerge/>
                        <w:tcBorders>
                          <w:top w:val="none" w:color="000000" w:sz="4"/>
                          <w:left w:val="single" w:color="000000" w:sz="4"/>
                          <w:bottom w:val="single" w:color="000000" w:sz="4"/>
                          <w:right w:val="single" w:color="000000" w:sz="4"/>
                        </w:tcBorders>
                      </w:tcPr>
                      <w:p/>
                    </w:tc>
                    <w:tc>
                      <w:tcPr>
                        <w:tcW w:type="dxa" w:w="131"/>
                        <w:vMerge/>
                        <w:tcBorders>
                          <w:top w:val="none" w:color="000000" w:sz="4"/>
                          <w:left w:val="none" w:color="000000" w:sz="4"/>
                          <w:bottom w:val="singl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国际化双语教材</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(1)组建双语教材开发团队，对教材开发进行培训指导；</w:t>
                        </w:r>
                      </w:p>
                      <w:p>
                        <w:pPr>
                          <w:pStyle w:val="null3"/>
                        </w:pPr>
                        <w:r>
                          <w:rPr>
                            <w:rFonts w:ascii="仿宋_GB2312" w:hAnsi="仿宋_GB2312" w:cs="仿宋_GB2312" w:eastAsia="仿宋_GB2312"/>
                            <w:sz w:val="19"/>
                          </w:rPr>
                          <w:t>(2)提供国际化双语教材编写最新文件要求，组建翻译团队，对稿件进行翻译和审核；</w:t>
                        </w:r>
                      </w:p>
                      <w:p>
                        <w:pPr>
                          <w:pStyle w:val="null3"/>
                        </w:pPr>
                        <w:r>
                          <w:rPr>
                            <w:rFonts w:ascii="仿宋_GB2312" w:hAnsi="仿宋_GB2312" w:cs="仿宋_GB2312" w:eastAsia="仿宋_GB2312"/>
                            <w:sz w:val="19"/>
                          </w:rPr>
                          <w:t>(3)★对翻译后的教材进行校对，检查语法、拼写等错误，设计统一版式，确保美观实用；</w:t>
                        </w:r>
                      </w:p>
                      <w:p>
                        <w:pPr>
                          <w:pStyle w:val="null3"/>
                        </w:pPr>
                        <w:r>
                          <w:rPr>
                            <w:rFonts w:ascii="仿宋_GB2312" w:hAnsi="仿宋_GB2312" w:cs="仿宋_GB2312" w:eastAsia="仿宋_GB2312"/>
                            <w:sz w:val="19"/>
                          </w:rPr>
                          <w:t>(4)★联系出版机构，对定版教材进行书号申请和公开出版。</w:t>
                        </w: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本</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4</w:t>
                        </w:r>
                      </w:p>
                    </w:tc>
                  </w:tr>
                  <w:tr>
                    <w:tc>
                      <w:tcPr>
                        <w:tcW w:type="dxa" w:w="6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w:t>
                        </w:r>
                        <w:r>
                          <w:rPr>
                            <w:rFonts w:ascii="仿宋_GB2312" w:hAnsi="仿宋_GB2312" w:cs="仿宋_GB2312" w:eastAsia="仿宋_GB2312"/>
                            <w:sz w:val="19"/>
                          </w:rPr>
                          <w:t>“走出去”企业开展技术培训</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教师赴海外授课及技术指导</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(1)选拔6名优秀教师赴马来西亚智能控制技术中心开展7天的线下培训及技术指导工作；</w:t>
                        </w:r>
                      </w:p>
                      <w:p>
                        <w:pPr>
                          <w:pStyle w:val="null3"/>
                        </w:pPr>
                        <w:r>
                          <w:rPr>
                            <w:rFonts w:ascii="仿宋_GB2312" w:hAnsi="仿宋_GB2312" w:cs="仿宋_GB2312" w:eastAsia="仿宋_GB2312"/>
                            <w:sz w:val="19"/>
                          </w:rPr>
                          <w:t>(2)★安排教师为海外中资企业员工开展培训，不低于820人日；</w:t>
                        </w:r>
                      </w:p>
                      <w:p>
                        <w:pPr>
                          <w:pStyle w:val="null3"/>
                        </w:pPr>
                        <w:r>
                          <w:rPr>
                            <w:rFonts w:ascii="仿宋_GB2312" w:hAnsi="仿宋_GB2312" w:cs="仿宋_GB2312" w:eastAsia="仿宋_GB2312"/>
                            <w:sz w:val="19"/>
                          </w:rPr>
                          <w:t>(3)★负责教师海外相关工作的安排与协调；</w:t>
                        </w:r>
                      </w:p>
                      <w:p>
                        <w:pPr>
                          <w:pStyle w:val="null3"/>
                        </w:pPr>
                        <w:r>
                          <w:rPr>
                            <w:rFonts w:ascii="仿宋_GB2312" w:hAnsi="仿宋_GB2312" w:cs="仿宋_GB2312" w:eastAsia="仿宋_GB2312"/>
                            <w:sz w:val="19"/>
                          </w:rPr>
                          <w:t>(4)★负责相关往返机票、住宿、伙食、公杂和交通费用。</w:t>
                        </w: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次</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18</w:t>
                        </w:r>
                      </w:p>
                    </w:tc>
                  </w:tr>
                  <w:tr>
                    <w:tc>
                      <w:tcPr>
                        <w:tcW w:type="dxa" w:w="67"/>
                        <w:vMerge/>
                        <w:tcBorders>
                          <w:top w:val="none" w:color="000000" w:sz="4"/>
                          <w:left w:val="single" w:color="000000" w:sz="4"/>
                          <w:bottom w:val="none" w:color="000000" w:sz="4"/>
                          <w:right w:val="single" w:color="000000" w:sz="4"/>
                        </w:tcBorders>
                      </w:tcPr>
                      <w:p/>
                    </w:tc>
                    <w:tc>
                      <w:tcPr>
                        <w:tcW w:type="dxa" w:w="131"/>
                        <w:vMerge/>
                        <w:tcBorders>
                          <w:top w:val="none" w:color="000000" w:sz="4"/>
                          <w:left w:val="none" w:color="000000" w:sz="4"/>
                          <w:bottom w:val="none" w:color="000000" w:sz="4"/>
                          <w:right w:val="single" w:color="000000" w:sz="4"/>
                        </w:tcBorders>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为海外企业员工开展线上技术培训</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(1)负责组织智能控制领域相关技术线上培训，不低于400人日；</w:t>
                        </w:r>
                      </w:p>
                      <w:p>
                        <w:pPr>
                          <w:pStyle w:val="null3"/>
                        </w:pPr>
                        <w:r>
                          <w:rPr>
                            <w:rFonts w:ascii="仿宋_GB2312" w:hAnsi="仿宋_GB2312" w:cs="仿宋_GB2312" w:eastAsia="仿宋_GB2312"/>
                            <w:sz w:val="19"/>
                          </w:rPr>
                          <w:t>(2)★负责招募马来西亚学生、中资企业员工；</w:t>
                        </w:r>
                      </w:p>
                      <w:p>
                        <w:pPr>
                          <w:pStyle w:val="null3"/>
                        </w:pPr>
                        <w:r>
                          <w:rPr>
                            <w:rFonts w:ascii="仿宋_GB2312" w:hAnsi="仿宋_GB2312" w:cs="仿宋_GB2312" w:eastAsia="仿宋_GB2312"/>
                            <w:sz w:val="19"/>
                          </w:rPr>
                          <w:t>(3)★负责参训学院的招生、管理和学习等安排；</w:t>
                        </w:r>
                      </w:p>
                      <w:p>
                        <w:pPr>
                          <w:pStyle w:val="null3"/>
                        </w:pPr>
                        <w:r>
                          <w:rPr>
                            <w:rFonts w:ascii="仿宋_GB2312" w:hAnsi="仿宋_GB2312" w:cs="仿宋_GB2312" w:eastAsia="仿宋_GB2312"/>
                            <w:sz w:val="19"/>
                          </w:rPr>
                          <w:t>(4)负责安排专人管理，对培训过程进行记录。</w:t>
                        </w:r>
                      </w:p>
                      <w:p>
                        <w:pPr>
                          <w:pStyle w:val="null3"/>
                        </w:pP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次</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w:t>
                        </w:r>
                      </w:p>
                    </w:tc>
                  </w:tr>
                  <w:tr>
                    <w:tc>
                      <w:tcPr>
                        <w:tcW w:type="dxa" w:w="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共建马来西亚中国教师培训基地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挂牌成立陕西国防学院马来西亚教师培训基地并开展培训</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(1)★在陕西国防学院挂牌成立马来西亚中国师资培训基地；</w:t>
                        </w:r>
                      </w:p>
                      <w:p>
                        <w:pPr>
                          <w:pStyle w:val="null3"/>
                        </w:pPr>
                        <w:r>
                          <w:rPr>
                            <w:rFonts w:ascii="仿宋_GB2312" w:hAnsi="仿宋_GB2312" w:cs="仿宋_GB2312" w:eastAsia="仿宋_GB2312"/>
                            <w:sz w:val="19"/>
                          </w:rPr>
                          <w:t>(2)★安排6名马来西亚教师来校开展7天技术培训；</w:t>
                        </w:r>
                      </w:p>
                      <w:p>
                        <w:pPr>
                          <w:pStyle w:val="null3"/>
                        </w:pPr>
                        <w:r>
                          <w:rPr>
                            <w:rFonts w:ascii="仿宋_GB2312" w:hAnsi="仿宋_GB2312" w:cs="仿宋_GB2312" w:eastAsia="仿宋_GB2312"/>
                            <w:sz w:val="19"/>
                          </w:rPr>
                          <w:t>(3)★负责海外教师的选拔组织、出入境手续办理、交通费用等；</w:t>
                        </w:r>
                      </w:p>
                      <w:p>
                        <w:pPr>
                          <w:pStyle w:val="null3"/>
                        </w:pPr>
                        <w:r>
                          <w:rPr>
                            <w:rFonts w:ascii="仿宋_GB2312" w:hAnsi="仿宋_GB2312" w:cs="仿宋_GB2312" w:eastAsia="仿宋_GB2312"/>
                            <w:sz w:val="19"/>
                          </w:rPr>
                          <w:t>(4)★负责教师在中国培训期间的住宿餐饮及安排；</w:t>
                        </w:r>
                      </w:p>
                      <w:p>
                        <w:pPr>
                          <w:pStyle w:val="null3"/>
                        </w:pPr>
                        <w:r>
                          <w:rPr>
                            <w:rFonts w:ascii="仿宋_GB2312" w:hAnsi="仿宋_GB2312" w:cs="仿宋_GB2312" w:eastAsia="仿宋_GB2312"/>
                            <w:sz w:val="19"/>
                          </w:rPr>
                          <w:t>(5)★负责国内外相关媒体的新闻报道工作。</w:t>
                        </w:r>
                      </w:p>
                      <w:p>
                        <w:pPr>
                          <w:pStyle w:val="null3"/>
                        </w:pPr>
                      </w:p>
                    </w:tc>
                    <w:tc>
                      <w:tcPr>
                        <w:tcW w:type="dxa" w:w="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项</w:t>
                        </w:r>
                      </w:p>
                    </w:tc>
                    <w:tc>
                      <w:tcPr>
                        <w:tcW w:type="dxa" w:w="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w:t>
                        </w:r>
                      </w:p>
                    </w:tc>
                  </w:tr>
                </w:tbl>
                <w:p>
                  <w:pPr>
                    <w:pStyle w:val="null3"/>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商务要求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服务期</w:t>
                  </w:r>
                  <w:r>
                    <w:rPr>
                      <w:rFonts w:ascii="仿宋_GB2312" w:hAnsi="仿宋_GB2312" w:cs="仿宋_GB2312" w:eastAsia="仿宋_GB2312"/>
                      <w:sz w:val="19"/>
                    </w:rPr>
                    <w:t>：</w:t>
                  </w:r>
                  <w:r>
                    <w:rPr>
                      <w:rFonts w:ascii="仿宋_GB2312" w:hAnsi="仿宋_GB2312" w:cs="仿宋_GB2312" w:eastAsia="仿宋_GB2312"/>
                      <w:sz w:val="19"/>
                    </w:rPr>
                    <w:t>自合同签订之日起</w:t>
                  </w:r>
                  <w:r>
                    <w:rPr>
                      <w:rFonts w:ascii="仿宋_GB2312" w:hAnsi="仿宋_GB2312" w:cs="仿宋_GB2312" w:eastAsia="仿宋_GB2312"/>
                      <w:sz w:val="19"/>
                    </w:rPr>
                    <w:t>130天内完成所有采购需求内容</w:t>
                  </w:r>
                </w:p>
                <w:p>
                  <w:pPr>
                    <w:pStyle w:val="null3"/>
                  </w:pPr>
                  <w:r>
                    <w:rPr>
                      <w:rFonts w:ascii="仿宋_GB2312" w:hAnsi="仿宋_GB2312" w:cs="仿宋_GB2312" w:eastAsia="仿宋_GB2312"/>
                      <w:sz w:val="19"/>
                    </w:rPr>
                    <w:t>2.服务地点：</w:t>
                  </w:r>
                  <w:r>
                    <w:rPr>
                      <w:rFonts w:ascii="仿宋_GB2312" w:hAnsi="仿宋_GB2312" w:cs="仿宋_GB2312" w:eastAsia="仿宋_GB2312"/>
                      <w:sz w:val="19"/>
                    </w:rPr>
                    <w:t>采购人指定地点。</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3.付款：</w:t>
                  </w:r>
                  <w:r>
                    <w:rPr>
                      <w:rFonts w:ascii="仿宋_GB2312" w:hAnsi="仿宋_GB2312" w:cs="仿宋_GB2312" w:eastAsia="仿宋_GB2312"/>
                      <w:sz w:val="19"/>
                    </w:rPr>
                    <w:t>合同签订后，达到付款条件起</w:t>
                  </w:r>
                  <w:r>
                    <w:rPr>
                      <w:rFonts w:ascii="仿宋_GB2312" w:hAnsi="仿宋_GB2312" w:cs="仿宋_GB2312" w:eastAsia="仿宋_GB2312"/>
                      <w:sz w:val="19"/>
                    </w:rPr>
                    <w:t>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自合同签订之日起130天内完成所有采购需求内容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进度款，甲方进行初次验收，验收合格后，达到付款条件起30个工作日内，支付合同总金额的10.0%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进度款，乙方完成所有的服务，并提供验收报告给甲方，甲方组织验收，验收合格后，达到付款条件起7个工作日内，支付合同总金额的50.0%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（1）违约责任：按民法典约定。 （2）解决争议的方法：向甲方所在地人民法院提起诉讼。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技术商务部分.docx 供应商应提交的相关资格证明材料 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资格部分.docx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1.响应文件的完整性、有效性、响应性审查 响应文件是否按照磋商文件要求的格式编写。 2.响应文件的签署、加盖印章是否有效；提供的各种证明文件、数据、资料是否有效。 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根据本项目实际需求及特点，制定方案，方案内容包含①培训方案②接待方案③应急预案④保密方案⑤后勤保障方案。 每有一项缺项扣2分，每有一处内容存在缺陷，扣0.5分，扣完为止。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对项目的理解熟悉程度</w:t>
            </w:r>
          </w:p>
        </w:tc>
        <w:tc>
          <w:tcPr>
            <w:tcW w:type="dxa" w:w="2492"/>
          </w:tcPr>
          <w:p>
            <w:pPr>
              <w:pStyle w:val="null3"/>
            </w:pPr>
            <w:r>
              <w:rPr>
                <w:rFonts w:ascii="仿宋_GB2312" w:hAnsi="仿宋_GB2312" w:cs="仿宋_GB2312" w:eastAsia="仿宋_GB2312"/>
              </w:rPr>
              <w:t>综合考虑供应商对项目理解及针对本项目的任务分析。包含①项目理解；②项目任务分析、服务流程叙述、项目重难点分析；③项目合理化建议。评审标准:以上各项方案内容全面详细、阐述条理清晰详尽、符合本项目采购需求，能有效保障本项目实施的得6分，每有一项方案缺失扣2分。每有一处内容存在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综合考虑供应商对本项目应急措施。①应急措施；②安全应急措施；③培训场地安全应急措施；④其他突发情况应急预案。 评审标准:以上各项方案内容全面详细、阐述条理清晰详尽、符合本项目采购需求，能有效保障本项目实施的得4分，每有一项方案缺失扣1分。方案每项每存在一种缺陷扣0.5分，扣完为止；未提供不计分。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项目负责人情况</w:t>
            </w:r>
          </w:p>
        </w:tc>
        <w:tc>
          <w:tcPr>
            <w:tcW w:type="dxa" w:w="2492"/>
          </w:tcPr>
          <w:p>
            <w:pPr>
              <w:pStyle w:val="null3"/>
            </w:pPr>
            <w:r>
              <w:rPr>
                <w:rFonts w:ascii="仿宋_GB2312" w:hAnsi="仿宋_GB2312" w:cs="仿宋_GB2312" w:eastAsia="仿宋_GB2312"/>
              </w:rPr>
              <w:t>（1）拟派项目负责人： 1）外籍项目负责人（1名）评审评分（满分6分） ①外籍项目负责人具备国外认证师资的，得2分；备注：须提供《外籍项目负责人信息表》及相对应的人员资料，人员资料包括护照、毕业证、职称证、及相关师资证书复印件（以上资料须全部提供），未按要求提供相关证明材料不得分。 ②外籍项目负责人教育管理经验＜5年的，得2分；育管理经验≥5年的，得4分； 注：须提供劳动合同复印件或甲方开具的管理经验证明，未按要求提供相关证明材料不得分。 2）中方项目负责人（1名）评审评分（满分6分） ①中方项目负责人具备国际合作交流经验的，每提供1个有效合同业绩得1分，满分6分； 注：以合同复印件为准（需包含封面页、项目负责人姓名、服务内容页、签章页）并加盖供应商公章，未按要求提供相关证明材料不得分。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培训场地及培训设施</w:t>
            </w:r>
          </w:p>
        </w:tc>
        <w:tc>
          <w:tcPr>
            <w:tcW w:type="dxa" w:w="2492"/>
          </w:tcPr>
          <w:p>
            <w:pPr>
              <w:pStyle w:val="null3"/>
            </w:pPr>
            <w:r>
              <w:rPr>
                <w:rFonts w:ascii="仿宋_GB2312" w:hAnsi="仿宋_GB2312" w:cs="仿宋_GB2312" w:eastAsia="仿宋_GB2312"/>
              </w:rPr>
              <w:t>针对本项目提供的的培训场地及培训设施，包含①培训场地、培训设备②多媒体设施、住宿环境③餐厅环境④网络设备。 备注：①-④每提供1份有效场地服务协议（有效期内的购买合同或租赁合同或可使用场地的其他辅证明材料）及实景照片、设施设备照片得1分，满分4分。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后勤保障措施</w:t>
            </w:r>
          </w:p>
        </w:tc>
        <w:tc>
          <w:tcPr>
            <w:tcW w:type="dxa" w:w="2492"/>
          </w:tcPr>
          <w:p>
            <w:pPr>
              <w:pStyle w:val="null3"/>
            </w:pPr>
            <w:r>
              <w:rPr>
                <w:rFonts w:ascii="仿宋_GB2312" w:hAnsi="仿宋_GB2312" w:cs="仿宋_GB2312" w:eastAsia="仿宋_GB2312"/>
              </w:rPr>
              <w:t>针对本项目提供的后勤保障措施进行评审，包括①后勤保障指学员食宿②交通③安全④卫生⑤消防等服务保障。 每有一项缺项扣2分，每有一处内容存在缺陷，扣0.5分，扣完为止。 备注：1.缺陷是指内容不合理、虽有内容但不完善、内容表述前后不一致、套用其他项目方案或与项目需求不匹配及其他不利于项目实施的等任意一种情形。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项目服务保障措施</w:t>
            </w:r>
          </w:p>
        </w:tc>
        <w:tc>
          <w:tcPr>
            <w:tcW w:type="dxa" w:w="2492"/>
          </w:tcPr>
          <w:p>
            <w:pPr>
              <w:pStyle w:val="null3"/>
            </w:pPr>
            <w:r>
              <w:rPr>
                <w:rFonts w:ascii="仿宋_GB2312" w:hAnsi="仿宋_GB2312" w:cs="仿宋_GB2312" w:eastAsia="仿宋_GB2312"/>
              </w:rPr>
              <w:t>根据供应商提供的项目服务保障措施情况进行赋分，内容包括①服务质量保障措施②服务进度保障措施③针对本项目的管理制度（包含但不限于教学管理制度、日常管理制度、人员岗位职责、财务制度和奖惩办法等规章制度）。每有一项缺项扣3分，每有一处内容存在缺陷，扣1分，扣完为止。 备注：1.缺陷是指内容不合理、虽有内容但不完善、内容表述前后不一致、套用其他项目方案或与项目需求不匹配及其他不利于项目实施的等任意一种情形。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业绩情况</w:t>
            </w:r>
          </w:p>
        </w:tc>
        <w:tc>
          <w:tcPr>
            <w:tcW w:type="dxa" w:w="2492"/>
          </w:tcPr>
          <w:p>
            <w:pPr>
              <w:pStyle w:val="null3"/>
            </w:pPr>
            <w:r>
              <w:rPr>
                <w:rFonts w:ascii="仿宋_GB2312" w:hAnsi="仿宋_GB2312" w:cs="仿宋_GB2312" w:eastAsia="仿宋_GB2312"/>
              </w:rPr>
              <w:t>供应商2023年1月1日至今已完成的类似业绩证明材料，每提供1份有效业绩得3分，最多得15分。 备注：提供培训服务合同复印件，以合同签订日期为准（需包含封面页、合同服务内容页、金额页、签章页）并加盖供应商公章，未按要求提供相关证明材料不得分。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价格分统一采用低价优先法计算，即满足磋商文件要求且最低的响应报价（最后报价）为基准价，其价格分为满分（30分）。其他供应商的价格分统一按照下列公式计算： 响应报价得分=(基准价／响应报价（最后报价）)×10分。 注：1、计算分数时四舍五入取小数点后两位；2、落实政府采购政策：详见采购文件。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