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4911AC">
      <w:pPr>
        <w:widowControl/>
        <w:spacing w:line="480" w:lineRule="atLeas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  <w:highlight w:val="none"/>
        </w:rPr>
        <w:t>谈判响应方案说明</w:t>
      </w:r>
    </w:p>
    <w:p w14:paraId="4E37D172">
      <w:pPr>
        <w:widowControl/>
        <w:spacing w:line="480" w:lineRule="atLeast"/>
        <w:jc w:val="left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</w:p>
    <w:p w14:paraId="4E6AD3B6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一、供应商企业简介。</w:t>
      </w:r>
    </w:p>
    <w:p w14:paraId="7348CA07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二、供应商根据采购内容及要求，自主编写方案说明。</w:t>
      </w:r>
    </w:p>
    <w:p w14:paraId="4A7B5160">
      <w:pPr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三、供应商认为有必要说明的问题。</w:t>
      </w:r>
    </w:p>
    <w:p w14:paraId="29AFC53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781D4A"/>
    <w:rsid w:val="3C78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2026-07-27T02:04:00Z</dcterms:created>
  <dc:creator>Aurora</dc:creator>
  <cp:lastModifiedBy>Aurora</cp:lastModifiedBy>
  <dcterms:modified xsi:type="dcterms:W3CDTF">2026-07-27T02:10:58Z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9C68D38CADF74AD4BC9CD8D90C87FAF7_11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